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 Trust Lands: The Law of America's Educational Land Trusts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"1-1" \h \z \u</w:instrText>
            <w:fldChar w:fldCharType="separate"/>
            <w:fldChar w:fldCharType="end"/>
          </w:r>
        </w:p>
      </w:sdtContent>
    </w:sdt>
    <w:p>
      <w:pPr>
        <w:pStyle w:val="Heading1"/>
      </w:pPr>
      <w:bookmarkStart w:id="20" w:name="X0d80ec26a09ef461a72e34857c8e8153c509971"/>
      <w:r>
        <w:t xml:space="preserve">School Trust Lands: The Law of America’s Educational Land Trusts</w:t>
      </w:r>
      <w:bookmarkEnd w:id="20"/>
    </w:p>
    <w:p>
      <w:pPr>
        <w:pStyle w:val="FirstParagraph"/>
      </w:pPr>
      <w:r>
        <w:rPr>
          <w:b/>
        </w:rPr>
        <w:t xml:space="preserve">A working treatise of the school trust field</w:t>
      </w:r>
    </w:p>
    <w:p>
      <w:pPr>
        <w:pStyle w:val="BodyText"/>
      </w:pPr>
      <w:r>
        <w:t xml:space="preserve">Published by the Oregon Advocates for School Trust Lands as part of America’s School Trust Library</w:t>
      </w:r>
    </w:p>
    <w:p>
      <w:pPr>
        <w:pStyle w:val="BodyText"/>
      </w:pPr>
      <w:r>
        <w:t xml:space="preserve">Working edition — June 2026</w:t>
      </w:r>
    </w:p>
    <w:p>
      <w:r>
        <w:br w:type="page"/>
      </w:r>
    </w:p>
    <w:p>
      <w:pPr>
        <w:pStyle w:val="Heading2"/>
      </w:pPr>
      <w:bookmarkStart w:id="21" w:name="a-note-on-this-edition"/>
      <w:r>
        <w:t xml:space="preserve">A Note on This Edition</w:t>
      </w:r>
      <w:bookmarkEnd w:id="21"/>
    </w:p>
    <w:p>
      <w:pPr>
        <w:pStyle w:val="FirstParagraph"/>
      </w:pPr>
      <w:r>
        <w:t xml:space="preserve">This is a working edition of a treatise in active development. It is complete in architecture — twenty chapters and twenty-one state appendices — and candid about its condition: where a citation, quotation, date, or figure has not yet been confirmed against the primary source, the text says so, in place, with a visible flag. Those flags are not blemishes the editors failed to remove. They are the point. A treatise asks to be trusted, and trust is earned by showing the reader which assertions are settled and which are still being run to ground.</w:t>
      </w:r>
    </w:p>
    <w:p>
      <w:pPr>
        <w:pStyle w:val="BodyText"/>
      </w:pPr>
      <w:r>
        <w:t xml:space="preserve">Readers who can supply or correct a source are invited to write through schooltrusts.net. Corrections are logged, verified against primary documents, and carried into the next edition.</w:t>
      </w:r>
    </w:p>
    <w:p>
      <w:pPr>
        <w:pStyle w:val="Heading2"/>
      </w:pPr>
      <w:bookmarkStart w:id="22" w:name="preface"/>
      <w:r>
        <w:t xml:space="preserve">Preface</w:t>
      </w:r>
      <w:bookmarkEnd w:id="22"/>
    </w:p>
    <w:p>
      <w:pPr>
        <w:pStyle w:val="FirstParagraph"/>
      </w:pPr>
      <w:r>
        <w:t xml:space="preserve">No one-volume treatise of American school-trust law has existed before this one. The field’s law lives scattered: six United States Supreme Court decisions spanning 1852 to 1989; dozens of state supreme court decisions across more than a dozen jurisdictions; the enabling and admission acts themselves; state constitutional provisions; attorney general opinions that in some states are the only sustained legal analysis the trust has ever received. A lawyer who needs the law of this field — a litigator, a legislative counsel, an attorney general’s deputy, a school-district lawyer — has had to assemble it from scratch, every time.</w:t>
      </w:r>
    </w:p>
    <w:p>
      <w:pPr>
        <w:pStyle w:val="BodyText"/>
      </w:pPr>
      <w:r>
        <w:t xml:space="preserve">This volume assembles it once, under a single doctrinal architecture. The volume moves in four arcs. It opens with origins: the English trust machinery the founders inherited, the granting instruments Congress wrote, their reception into state organic law, and the settled trust character of the grants. It then states the duties: loyalty, prudence, impartiality, full value, the rules against self-dealing and below-market disposition, the duty to account. Third, enforcement: who may sue, the structural problem of an attorney general who advises both trustee and state, federal enforcement, justiciability, immunity, and remedies. It closes with reform: what the states that rebuilt their trusts actually did, and a model act that would give every state the enforcement machinery the granting instruments assumed. State-by-state appendices follow the chapters.</w:t>
      </w:r>
    </w:p>
    <w:p>
      <w:pPr>
        <w:pStyle w:val="BodyText"/>
      </w:pPr>
      <w:r>
        <w:t xml:space="preserve">The treatise is written for the practitioner, but not only for the practitioner. The school trust is the oldest continuously operating fiduciary undertaking in American public life, and the questions this body of law answers — how a sovereign binds itself, how a perpetual obligation survives the indifference of those who hold it, how beneficiaries who cannot vote or sue are nonetheless owed loyalty — are questions every generation of public-trust design has to answer again.</w:t>
      </w:r>
    </w:p>
    <w:p>
      <w:pPr>
        <w:pStyle w:val="Heading2"/>
      </w:pPr>
      <w:bookmarkStart w:id="23" w:name="how-this-book-is-sourced"/>
      <w:r>
        <w:t xml:space="preserve">How This Book Is Sourced</w:t>
      </w:r>
      <w:bookmarkEnd w:id="23"/>
    </w:p>
    <w:p>
      <w:pPr>
        <w:pStyle w:val="FirstParagraph"/>
      </w:pPr>
      <w:r>
        <w:t xml:space="preserve">Three disciplines govern every citation in this volume.</w:t>
      </w:r>
    </w:p>
    <w:p>
      <w:pPr>
        <w:pStyle w:val="BodyText"/>
      </w:pPr>
      <w:r>
        <w:rPr>
          <w:b/>
        </w:rPr>
        <w:t xml:space="preserve">Primary sources first.</w:t>
      </w:r>
      <w:r>
        <w:t xml:space="preserve"> </w:t>
      </w:r>
      <w:r>
        <w:t xml:space="preserve">Every quotation from a judicial opinion is verified against the opinion itself wherever the opinion is held in the Library’s archive of primary documents; where verification is still pending, the citation carries a visible flag. Quotations are never reconstructed from memory. Several well-traveled quotations in this field turn out, on verification, not to exist in the opinions they are attributed to; where this volume has caught one, the note says so, so that the error is not merely avoided but marked.</w:t>
      </w:r>
    </w:p>
    <w:p>
      <w:pPr>
        <w:pStyle w:val="BodyText"/>
      </w:pPr>
      <w:r>
        <w:rPr>
          <w:b/>
        </w:rPr>
        <w:t xml:space="preserve">Authority means authority.</w:t>
      </w:r>
      <w:r>
        <w:t xml:space="preserve"> </w:t>
      </w:r>
      <w:r>
        <w:t xml:space="preserve">This treatise is produced by an advocacy project that also drafts model legislation and publishes companion books for general readers. None of that work product is cited in this volume as authority for any proposition of law, history, or fact. The model act analyzed in Chapter 20 is a proposal, identified as such wherever it appears. The project’s own court filings, where cited, are cited as record documents and identified as the project’s own. Companion works are referenced only as further reading.</w:t>
      </w:r>
    </w:p>
    <w:p>
      <w:pPr>
        <w:pStyle w:val="BodyText"/>
      </w:pPr>
      <w:r>
        <w:rPr>
          <w:b/>
        </w:rPr>
        <w:t xml:space="preserve">Status travels with the cite.</w:t>
      </w:r>
      <w:r>
        <w:t xml:space="preserve"> </w:t>
      </w:r>
      <w:r>
        <w:t xml:space="preserve">Citations rest on a maintained register of authorities that records, for each one, whether the primary text is held and verified, held in part, or still awaited. Flags in the text mirror that register and are removed only when verification closes.</w:t>
      </w:r>
    </w:p>
    <w:p>
      <w:pPr>
        <w:pStyle w:val="Heading2"/>
      </w:pPr>
      <w:bookmarkStart w:id="24" w:name="authorship"/>
      <w:r>
        <w:t xml:space="preserve">Authorship</w:t>
      </w:r>
      <w:bookmarkEnd w:id="24"/>
    </w:p>
    <w:p>
      <w:pPr>
        <w:pStyle w:val="FirstParagraph"/>
      </w:pPr>
      <w:r>
        <w:t xml:space="preserve">This treatise was drafted by Claude, an AI system made by Anthropic, working under the editorial direction of the Oregon Advocates for School Trust Lands, with verification against primary sources as described above. Human editorial review is ongoing; this working edition has not yet received complete expert legal review, and flagged passages await it. It is offered as legal scholarship in progress, not legal advice, and no reader should rely on it in place of counsel.</w:t>
      </w:r>
    </w:p>
    <w:p>
      <w:pPr>
        <w:pStyle w:val="Heading2"/>
      </w:pPr>
      <w:bookmarkStart w:id="25" w:name="companion-works"/>
      <w:r>
        <w:t xml:space="preserve">Companion Works</w:t>
      </w:r>
      <w:bookmarkEnd w:id="25"/>
    </w:p>
    <w:p>
      <w:pPr>
        <w:pStyle w:val="FirstParagraph"/>
      </w:pPr>
      <w:r>
        <w:rPr>
          <w:i/>
        </w:rPr>
        <w:t xml:space="preserve">The Forgotten Forever Gift to Public Schools</w:t>
      </w:r>
      <w:r>
        <w:t xml:space="preserve"> </w:t>
      </w:r>
      <w:r>
        <w:t xml:space="preserve">tells the history assembled here as a narrative for general readers, state by state.</w:t>
      </w:r>
      <w:r>
        <w:t xml:space="preserve"> </w:t>
      </w:r>
      <w:r>
        <w:rPr>
          <w:i/>
        </w:rPr>
        <w:t xml:space="preserve">Stewards of the Republic</w:t>
      </w:r>
      <w:r>
        <w:t xml:space="preserve"> </w:t>
      </w:r>
      <w:r>
        <w:t xml:space="preserve">looks forward, from this field’s record to the design of the perpetual institutions now being chartered. The Uniform Public Trust Enforcement Act, with commentary, is the model legislation analyzed in Chapter 20. All are program documents of the same project, and none is authority for anything asserted here.</w:t>
      </w:r>
    </w:p>
    <w:p>
      <w:r>
        <w:br w:type="page"/>
      </w:r>
    </w:p>
    <w:p>
      <w:r>
        <w:br w:type="page"/>
      </w:r>
    </w:p>
    <w:p>
      <w:pPr>
        <w:pStyle w:val="Heading1"/>
      </w:pPr>
      <w:bookmarkStart w:id="26" w:name="X527e5fc11ecedb341818f0e9c7d5bb1d3e5b483"/>
      <w:r>
        <w:t xml:space="preserve">Chapter 1 — Deep Roots: Where the Trust Came From (v1)</w:t>
      </w:r>
      <w:bookmarkEnd w:id="26"/>
    </w:p>
    <w:p>
      <w:pPr>
        <w:pStyle w:val="FirstParagraph"/>
      </w:pPr>
      <w:r>
        <w:rPr>
          <w:i/>
        </w:rPr>
        <w:t xml:space="preserve">Status: v1. This chapter opens Part I: the deep roots of the trust concept — five centuries of English equity — before the American granting instruments that Chapter 2 takes up. v1 implements the renumbering pass (this chapter, provisionally numbered zero in the v0 draft, is now Chapter 1, and every chapter that follows shifts up by one) and the citation pass: every load-bearing historical claim now carries a footnote, on the convention of one omnibus authorities note per section (Baker, Maitland, Simpson, Holdsworth, Jones, and company at chapter level) plus specific primary citations for every statute, case, and quotation. Citations whose pins rest on standard scholarly attribution rather than a completed shelf pull are tagged [VERIFY pin]; the two unpulled Restatement sections keep a full [VERIFY]. No quotation is reconstructed from memory or invented.</w:t>
      </w:r>
    </w:p>
    <w:p>
      <w:r>
        <w:pict>
          <v:rect style="width:0;height:1.5pt" o:hralign="center" o:hrstd="t" o:hr="t"/>
        </w:pict>
      </w:r>
    </w:p>
    <w:p>
      <w:pPr>
        <w:pStyle w:val="Heading3"/>
      </w:pPr>
      <w:bookmarkStart w:id="27" w:name="why-a-chapter-before-1785"/>
      <w:r>
        <w:t xml:space="preserve">§ 1.1 Why a chapter before 1785</w:t>
      </w:r>
      <w:bookmarkEnd w:id="27"/>
    </w:p>
    <w:p>
      <w:pPr>
        <w:pStyle w:val="FirstParagraph"/>
      </w:pPr>
      <w:r>
        <w:t xml:space="preserve">Every chapter that follows uses the word</w:t>
      </w:r>
      <w:r>
        <w:t xml:space="preserve"> </w:t>
      </w:r>
      <w:r>
        <w:t xml:space="preserve">“</w:t>
      </w:r>
      <w:r>
        <w:t xml:space="preserve">trust</w:t>
      </w:r>
      <w:r>
        <w:t xml:space="preserve">”</w:t>
      </w:r>
      <w:r>
        <w:t xml:space="preserve"> </w:t>
      </w:r>
      <w:r>
        <w:t xml:space="preserve">as though its meaning were self-evident. It is not. When a state supreme court holds that school lands granted by Congress are held in trust, it does more than choose a label: it conscripts an entire body of doctrine — duties of loyalty, prudence, and impartiality; the obligation to account; remedies of surcharge, restoration, and nullity; enforcement by public officers on behalf of beneficiaries who cannot sue for themselves. None of that machinery was invented for school lands. It was built, piece by piece, over roughly five centuries in another country, for other purposes, and it stood complete and well-tested on the day the Confederation Congress reserved the sixteenth section of every township for the maintenance of public schools.</w:t>
      </w:r>
      <w:r>
        <w:rPr>
          <w:rStyle w:val="FootnoteReference"/>
        </w:rPr>
        <w:footnoteReference w:id="28"/>
      </w:r>
    </w:p>
    <w:p>
      <w:pPr>
        <w:pStyle w:val="BodyText"/>
      </w:pPr>
      <w:r>
        <w:t xml:space="preserve">The practitioner who knows where the machinery came from understands why it works the way it does: why a court can hold a state’s conduct actionable though its paper title is perfect; why the beneficiaries of the school trust need not be — cannot be — named individuals; why the trust is built to outlast every person alive at its creation; why the attorney general is the default enforcer of charitable trusts, and why that default creates the structural conflict examined in Chapter 14. Each of those features has a birthplace, and this chapter visits them in order. Frederic Maitland, the great historian of English law, called the result</w:t>
      </w:r>
      <w:r>
        <w:t xml:space="preserve"> </w:t>
      </w:r>
      <w:r>
        <w:t xml:space="preserve">“</w:t>
      </w:r>
      <w:r>
        <w:t xml:space="preserve">the development from century to century of the trust idea,</w:t>
      </w:r>
      <w:r>
        <w:t xml:space="preserve">”</w:t>
      </w:r>
      <w:r>
        <w:t xml:space="preserve"> </w:t>
      </w:r>
      <w:r>
        <w:t xml:space="preserve">and judged it the greatest and most distinctive achievement Englishmen ever performed in the field of jurisprudence.</w:t>
      </w:r>
      <w:r>
        <w:rPr>
          <w:rStyle w:val="FootnoteReference"/>
        </w:rPr>
        <w:footnoteReference w:id="29"/>
      </w:r>
      <w:r>
        <w:t xml:space="preserve"> </w:t>
      </w:r>
      <w:r>
        <w:t xml:space="preserve">The school trust is one of that idea’s most ambitious deployments. What follows is the honest lineage — including, in § 1.4, one popular ancestor that does not belong on the family tree.</w:t>
      </w:r>
    </w:p>
    <w:p>
      <w:pPr>
        <w:pStyle w:val="Heading3"/>
      </w:pPr>
      <w:bookmarkStart w:id="30" w:name="Xb56abd5675ad9ecbb4f25173aa90f52ae666d9c"/>
      <w:r>
        <w:t xml:space="preserve">§ 1.2 The use: land held by one for the benefit of another</w:t>
      </w:r>
      <w:bookmarkEnd w:id="30"/>
    </w:p>
    <w:p>
      <w:pPr>
        <w:pStyle w:val="FirstParagraph"/>
      </w:pPr>
      <w:r>
        <w:t xml:space="preserve">Medieval English land law was magnificently rigid. Land was the principal form of wealth and the basis of military and political obligation, and the common law managed it through a small set of inflexible rules: title turned on seisin — formal, visible possession; freehold land could not be left by will; and every descent or transfer triggered feudal incidents — wardship, marriage, relief, escheat — which functioned as taxes payable to the lord, most lucratively to the Crown. A landowner who wanted to provide for younger sons, secure a daughter’s marriage portion, pay debts after death, or give to the Church found the front door of the common law locked.</w:t>
      </w:r>
      <w:r>
        <w:rPr>
          <w:rStyle w:val="FootnoteReference"/>
        </w:rPr>
        <w:footnoteReference w:id="31"/>
      </w:r>
    </w:p>
    <w:p>
      <w:pPr>
        <w:pStyle w:val="BodyText"/>
      </w:pPr>
      <w:r>
        <w:t xml:space="preserve">So English landowners went around it. The device was the feoffment to uses: the landowner (A) conveyed the land to a trusted person or group (B, the feoffee to uses)</w:t>
      </w:r>
      <w:r>
        <w:t xml:space="preserve"> </w:t>
      </w:r>
      <w:r>
        <w:rPr>
          <w:i/>
        </w:rPr>
        <w:t xml:space="preserve">to the use of</w:t>
      </w:r>
      <w:r>
        <w:t xml:space="preserve"> </w:t>
      </w:r>
      <w:r>
        <w:t xml:space="preserve">a third (C, the</w:t>
      </w:r>
      <w:r>
        <w:t xml:space="preserve"> </w:t>
      </w:r>
      <w:r>
        <w:rPr>
          <w:i/>
        </w:rPr>
        <w:t xml:space="preserve">cestui que use</w:t>
      </w:r>
      <w:r>
        <w:t xml:space="preserve"> </w:t>
      </w:r>
      <w:r>
        <w:t xml:space="preserve">— often A himself, his family, or a purpose). B held the legal title with all its formal incidents; C took the benefit — occupation, rents, profits. Title and enjoyment, which the common law fused, had been split.</w:t>
      </w:r>
    </w:p>
    <w:p>
      <w:pPr>
        <w:pStyle w:val="BodyText"/>
      </w:pPr>
      <w:r>
        <w:t xml:space="preserve">The traditional illustration is the crusader’s problem. A knight departing for the Holy Land — a journey of years, with a real chance of no return — needed someone at home holding full legal powers over his land: to collect rents, maintain the estate, defend lawsuits, deal with the lord. So he enfeoffed a friend, on the understanding that the friend held for the knight’s wife and children and would reconvey on his return. If the friend instead kept the land, the common law courts saw only what their writs could see: the friend’s seisin, formally unimpeachable. The knight’s family held a promise and nothing else. The story is traditional, and it should be told as such; the surviving records suggest the great engines of the use were more prosaic.</w:t>
      </w:r>
      <w:r>
        <w:rPr>
          <w:rStyle w:val="FootnoteReference"/>
        </w:rPr>
        <w:footnoteReference w:id="32"/>
      </w:r>
      <w:r>
        <w:t xml:space="preserve"> </w:t>
      </w:r>
      <w:r>
        <w:t xml:space="preserve">The Franciscan friars, who reached England in 1224 vowed to absolute poverty, could not own land — so townsmen held land</w:t>
      </w:r>
      <w:r>
        <w:t xml:space="preserve"> </w:t>
      </w:r>
      <w:r>
        <w:rPr>
          <w:i/>
        </w:rPr>
        <w:t xml:space="preserve">to the use of</w:t>
      </w:r>
      <w:r>
        <w:t xml:space="preserve"> </w:t>
      </w:r>
      <w:r>
        <w:t xml:space="preserve">the friars, who thereby had houses without having property.</w:t>
      </w:r>
      <w:r>
        <w:rPr>
          <w:rStyle w:val="FootnoteReference"/>
        </w:rPr>
        <w:footnoteReference w:id="33"/>
      </w:r>
      <w:r>
        <w:t xml:space="preserve"> </w:t>
      </w:r>
      <w:r>
        <w:t xml:space="preserve">And above all the use was tax planning: land conveyed to multiple feoffees to uses never suffered a death of the title-holder, so wardship, marriage, and relief never fell due, and the landowner achieved devise-by-will in everything but name. By the late fifteenth century the device was so general that a reading at the inns of court could declare, around 1489, that the greater part of the land of England was held in use.</w:t>
      </w:r>
      <w:r>
        <w:rPr>
          <w:rStyle w:val="FootnoteReference"/>
        </w:rPr>
        <w:footnoteReference w:id="34"/>
      </w:r>
    </w:p>
    <w:p>
      <w:pPr>
        <w:pStyle w:val="BodyText"/>
      </w:pPr>
      <w:r>
        <w:t xml:space="preserve">In the use, the modern reader recognizes the trust’s anatomy already complete: legal title in one person, beneficial enjoyment in another, and between them an obligation — at first merely moral — that the law’s ordinary courts could not see.</w:t>
      </w:r>
    </w:p>
    <w:p>
      <w:pPr>
        <w:pStyle w:val="Heading3"/>
      </w:pPr>
      <w:bookmarkStart w:id="35" w:name="X7f6f39d8a6b9abd6c3b62297cd619c2a9eaa4bb"/>
      <w:r>
        <w:t xml:space="preserve">§ 1.3 Chancery: conscience enforced against legal title</w:t>
      </w:r>
      <w:bookmarkEnd w:id="35"/>
    </w:p>
    <w:p>
      <w:pPr>
        <w:pStyle w:val="FirstParagraph"/>
      </w:pPr>
      <w:r>
        <w:t xml:space="preserve">The obligation acquired teeth in the Court of Chancery. A</w:t>
      </w:r>
      <w:r>
        <w:t xml:space="preserve"> </w:t>
      </w:r>
      <w:r>
        <w:rPr>
          <w:i/>
        </w:rPr>
        <w:t xml:space="preserve">cestui que use</w:t>
      </w:r>
      <w:r>
        <w:t xml:space="preserve"> </w:t>
      </w:r>
      <w:r>
        <w:t xml:space="preserve">cheated by his feoffee could not sue at common law, but he could petition the king, the fountain of justice, for relief where law gave none. The king delegated such petitions to his Chancellor — in the formative period almost always a cleric, traditionally styled the keeper of the king’s conscience. The Chancellor proceeded in a manner the common law did not: he issued a subpoena compelling the defendant’s personal attendance, examined him on oath about his own conduct, and ordered him — on pain of imprisonment for contempt — to perform the obligation he had undertaken. Equity, in the enduring maxim, acts</w:t>
      </w:r>
      <w:r>
        <w:t xml:space="preserve"> </w:t>
      </w:r>
      <w:r>
        <w:rPr>
          <w:i/>
        </w:rPr>
        <w:t xml:space="preserve">in personam</w:t>
      </w:r>
      <w:r>
        <w:t xml:space="preserve">: it does not deny that the defendant holds the legal title; it compels the holder of legal title to use it conscientiously.</w:t>
      </w:r>
      <w:r>
        <w:rPr>
          <w:rStyle w:val="FootnoteReference"/>
        </w:rPr>
        <w:footnoteReference w:id="36"/>
      </w:r>
    </w:p>
    <w:p>
      <w:pPr>
        <w:pStyle w:val="BodyText"/>
      </w:pPr>
      <w:r>
        <w:t xml:space="preserve">By the fifteenth century the Chancellors enforced uses as a matter of routine, and the beneficiary’s interest hardened from a moral claim into something the law would call property: descendible, transferable, and good against everyone who took the legal estate except a bona fide purchaser for value without notice. That last exception fixed the conceptual structure permanently — the beneficiary’s right was a burden on conscience, and it bound every conscience that took the land knowing of it.</w:t>
      </w:r>
    </w:p>
    <w:p>
      <w:pPr>
        <w:pStyle w:val="BodyText"/>
      </w:pPr>
      <w:r>
        <w:t xml:space="preserve">The deep structure of every modern trust case is visible here, and the reader will meet it again throughout this volume in school-trust dress: a defendant whose formal title is flawless and whose conduct is nonetheless actionable, because the title came into his hands burdened with a purpose. When a state supreme court holds that a legislature’s undoubted title to granted school lands does not free it to treat them as ordinary public domain, the court is performing Chancery’s ancient operation — looking through a perfect legal title to the obligation underneath it.</w:t>
      </w:r>
    </w:p>
    <w:p>
      <w:pPr>
        <w:pStyle w:val="Heading3"/>
      </w:pPr>
      <w:bookmarkStart w:id="37" w:name="magna-carta-context-not-ancestry"/>
      <w:r>
        <w:t xml:space="preserve">§ 1.4 Magna Carta: context, not ancestry</w:t>
      </w:r>
      <w:bookmarkEnd w:id="37"/>
    </w:p>
    <w:p>
      <w:pPr>
        <w:pStyle w:val="FirstParagraph"/>
      </w:pPr>
      <w:r>
        <w:t xml:space="preserve">A word is needed here about Magna Carta, because writing about school trusts sometimes reaches back to 1215 for a founding ancestor, and the reach is longer than the evidence. The charter King John sealed at Runnymede contains no trust doctrine. It says nothing of uses, which developed into a general practice more than a century later;</w:t>
      </w:r>
      <w:r>
        <w:rPr>
          <w:rStyle w:val="FootnoteReference"/>
        </w:rPr>
        <w:footnoteReference w:id="38"/>
      </w:r>
      <w:r>
        <w:t xml:space="preserve"> </w:t>
      </w:r>
      <w:r>
        <w:t xml:space="preserve">it created no court of conscience; nothing in the line of doctrine traced in this chapter descends from it. A treatise owes its readers the distinction between lineage and atmosphere, and Magna Carta is atmosphere. What it genuinely contributes is one proposition, and it is a proposition this field cannot do without: that the sovereign can be bound by his own written undertakings.</w:t>
      </w:r>
      <w:r>
        <w:t xml:space="preserve"> </w:t>
      </w:r>
      <w:r>
        <w:t xml:space="preserve">“</w:t>
      </w:r>
      <w:r>
        <w:t xml:space="preserve">To no one will we sell, to no one will we deny or delay, right or justice,</w:t>
      </w:r>
      <w:r>
        <w:t xml:space="preserve">”</w:t>
      </w:r>
      <w:r>
        <w:t xml:space="preserve"> </w:t>
      </w:r>
      <w:r>
        <w:t xml:space="preserve">the 1215 charter promised — a king putting his own future conduct under written obligation.</w:t>
      </w:r>
      <w:r>
        <w:rPr>
          <w:rStyle w:val="FootnoteReference"/>
        </w:rPr>
        <w:footnoteReference w:id="39"/>
      </w:r>
      <w:r>
        <w:t xml:space="preserve"> </w:t>
      </w:r>
      <w:r>
        <w:t xml:space="preserve">The promise had a fragile start (the charter was annulled within weeks at John’s request and survived only through reissues, in 1216, 1217, and 1225, whose text — confirmed by Edward I in 1297 — entered the statute book),</w:t>
      </w:r>
      <w:r>
        <w:rPr>
          <w:rStyle w:val="FootnoteReference"/>
        </w:rPr>
        <w:footnoteReference w:id="40"/>
      </w:r>
      <w:r>
        <w:t xml:space="preserve"> </w:t>
      </w:r>
      <w:r>
        <w:t xml:space="preserve">but the idea survived the parchment, and English and then American law grew up inside it. When Chapter 2 presents enabling acts whose terms,</w:t>
      </w:r>
      <w:r>
        <w:t xml:space="preserve"> </w:t>
      </w:r>
      <w:r>
        <w:t xml:space="preserve">“</w:t>
      </w:r>
      <w:r>
        <w:t xml:space="preserve">if accepted, shall be obligatory on the United States and upon the said State,</w:t>
      </w:r>
      <w:r>
        <w:t xml:space="preserve">”</w:t>
      </w:r>
      <w:r>
        <w:t xml:space="preserve"> </w:t>
      </w:r>
      <w:r>
        <w:t xml:space="preserve">it is that idea — promises binding the sovereign — doing the work. That is rule-of-law context, honestly stated, and this chapter claims nothing more for 1215.</w:t>
      </w:r>
    </w:p>
    <w:p>
      <w:pPr>
        <w:pStyle w:val="Heading3"/>
      </w:pPr>
      <w:bookmarkStart w:id="41" w:name="X2bede117b70eb1253a5f7ba62ee305cb7bb1a01"/>
      <w:r>
        <w:t xml:space="preserve">§ 1.5 The Statute of Uses (1536) and the trust’s survival of its own abolition</w:t>
      </w:r>
      <w:bookmarkEnd w:id="41"/>
    </w:p>
    <w:p>
      <w:pPr>
        <w:pStyle w:val="FirstParagraph"/>
      </w:pPr>
      <w:r>
        <w:t xml:space="preserve">The use was too successful. By stripping the Crown of feudal incidents it had become, in fiscal effect, a kingdom-wide tax shelter, and Henry VIII — chronically short of revenue — moved against it.</w:t>
      </w:r>
      <w:r>
        <w:rPr>
          <w:rStyle w:val="FootnoteReference"/>
        </w:rPr>
        <w:footnoteReference w:id="42"/>
      </w:r>
      <w:r>
        <w:t xml:space="preserve"> </w:t>
      </w:r>
      <w:r>
        <w:t xml:space="preserve">The Statute of Uses, 27 Hen. VIII, c. 10 (1536),</w:t>
      </w:r>
      <w:r>
        <w:rPr>
          <w:rStyle w:val="FootnoteReference"/>
        </w:rPr>
        <w:footnoteReference w:id="43"/>
      </w:r>
      <w:r>
        <w:t xml:space="preserve"> </w:t>
      </w:r>
      <w:r>
        <w:t xml:space="preserve">did not prohibit the use; it did something cleverer. It</w:t>
      </w:r>
      <w:r>
        <w:t xml:space="preserve"> </w:t>
      </w:r>
      <w:r>
        <w:rPr>
          <w:i/>
        </w:rPr>
        <w:t xml:space="preserve">executed</w:t>
      </w:r>
      <w:r>
        <w:t xml:space="preserve"> </w:t>
      </w:r>
      <w:r>
        <w:t xml:space="preserve">the use: wherever one person stood seised of land to the use of another, the statute transferred the legal estate to the beneficiary. The split between title and benefit was forcibly fused; the feoffees vanished from the picture; and the incidents fell due again on a legal owner the Crown could see. (The reform was harsh enough that Parliament shortly conceded part of what the use had provided informally: the Statute of Wills, 32 Hen. VIII, c. 1 (1540), allowed devise of most freehold land.)</w:t>
      </w:r>
      <w:r>
        <w:rPr>
          <w:rStyle w:val="FootnoteReference"/>
        </w:rPr>
        <w:footnoteReference w:id="44"/>
      </w:r>
    </w:p>
    <w:p>
      <w:pPr>
        <w:pStyle w:val="BodyText"/>
      </w:pPr>
      <w:r>
        <w:t xml:space="preserve">If the story had ended there, this volume’s subject would bear another name. It did not end there, for three reasons that every first-year trusts course still teaches. The statute executed only passive uses of freehold land: it did not reach uses of leaseholds or personal property, and it did not reach</w:t>
      </w:r>
      <w:r>
        <w:t xml:space="preserve"> </w:t>
      </w:r>
      <w:r>
        <w:rPr>
          <w:i/>
        </w:rPr>
        <w:t xml:space="preserve">active</w:t>
      </w:r>
      <w:r>
        <w:t xml:space="preserve"> </w:t>
      </w:r>
      <w:r>
        <w:t xml:space="preserve">uses, where the feoffee had real duties to perform — collecting rents and paying them over, managing, selling — because there the feoffee’s title was the working instrument of the arrangement, not a shell.</w:t>
      </w:r>
      <w:r>
        <w:rPr>
          <w:rStyle w:val="FootnoteReference"/>
        </w:rPr>
        <w:footnoteReference w:id="45"/>
      </w:r>
      <w:r>
        <w:t xml:space="preserve"> </w:t>
      </w:r>
      <w:r>
        <w:t xml:space="preserve">And, decisively, there was the use upon a use. The common law courts held, in Tyrrel’s Case (1557),</w:t>
      </w:r>
      <w:r>
        <w:rPr>
          <w:rStyle w:val="FootnoteReference"/>
        </w:rPr>
        <w:footnoteReference w:id="46"/>
      </w:r>
      <w:r>
        <w:t xml:space="preserve"> </w:t>
      </w:r>
      <w:r>
        <w:t xml:space="preserve">that a second use limited upon a first was simply void at law —</w:t>
      </w:r>
      <w:r>
        <w:t xml:space="preserve"> </w:t>
      </w:r>
      <w:r>
        <w:t xml:space="preserve">“</w:t>
      </w:r>
      <w:r>
        <w:t xml:space="preserve">to B to the use of C to the use of D</w:t>
      </w:r>
      <w:r>
        <w:t xml:space="preserve">”</w:t>
      </w:r>
      <w:r>
        <w:t xml:space="preserve"> </w:t>
      </w:r>
      <w:r>
        <w:t xml:space="preserve">gave D nothing. Chancery eventually saw its opening in exactly that holding: the second use, invisible at law, was a perfect object for enforcement in conscience, and by the latter half of the seventeenth century the Chancellors enforced it as a matter of course.</w:t>
      </w:r>
      <w:r>
        <w:rPr>
          <w:rStyle w:val="FootnoteReference"/>
        </w:rPr>
        <w:footnoteReference w:id="47"/>
      </w:r>
      <w:r>
        <w:t xml:space="preserve"> </w:t>
      </w:r>
      <w:r>
        <w:t xml:space="preserve">The interest enforced in equity behind a legal title took, in time, a new name: the</w:t>
      </w:r>
      <w:r>
        <w:t xml:space="preserve"> </w:t>
      </w:r>
      <w:r>
        <w:rPr>
          <w:i/>
        </w:rPr>
        <w:t xml:space="preserve">trust</w:t>
      </w:r>
      <w:r>
        <w:t xml:space="preserve">. Lord Hardwicke supplied the standard epitaph for the statute in 1738 — a statute made upon great consideration, introduced in a solemn and pompous manner, had</w:t>
      </w:r>
      <w:r>
        <w:t xml:space="preserve"> </w:t>
      </w:r>
      <w:r>
        <w:t xml:space="preserve">“</w:t>
      </w:r>
      <w:r>
        <w:t xml:space="preserve">no other effect than to add at most, three words to a conveyance.</w:t>
      </w:r>
      <w:r>
        <w:t xml:space="preserve">”</w:t>
      </w:r>
      <w:r>
        <w:rPr>
          <w:rStyle w:val="FootnoteReference"/>
        </w:rPr>
        <w:footnoteReference w:id="48"/>
      </w:r>
    </w:p>
    <w:p>
      <w:pPr>
        <w:pStyle w:val="BodyText"/>
      </w:pPr>
      <w:r>
        <w:t xml:space="preserve">The episode deserves a moment’s reflection, stated as history rather than doctrine. The trust is not merely an old institution; it is a survivor of deliberate legislative abolition. Parliament, at the urging of a determined sovereign with a direct financial interest in the outcome, enacted a statute designed to collapse split ownership — and within a century conveyancers and Chancellors had rebuilt it, because the demand for an instrument separating management from benefit was real and the legal system ultimately accommodates real demand. The trust’s reputation for resilience, which the school-trust cases will repeatedly confirm, was earned at the start.</w:t>
      </w:r>
    </w:p>
    <w:p>
      <w:pPr>
        <w:pStyle w:val="Heading3"/>
      </w:pPr>
      <w:bookmarkStart w:id="49" w:name="Xd868ef73a1da1dc19645994ba95e7b344c536fe"/>
      <w:r>
        <w:t xml:space="preserve">§ 1.6 The Statute of Charitable Uses (1601): the trust acquires a public form</w:t>
      </w:r>
      <w:bookmarkEnd w:id="49"/>
    </w:p>
    <w:p>
      <w:pPr>
        <w:pStyle w:val="FirstParagraph"/>
      </w:pPr>
      <w:r>
        <w:t xml:space="preserve">The private trust is only half the school trust’s parentage. The other half is the charitable use, and its charter document is the Statute of Charitable Uses, 43 Eliz. I, c. 4 (1601) — the</w:t>
      </w:r>
      <w:r>
        <w:t xml:space="preserve"> </w:t>
      </w:r>
      <w:r>
        <w:t xml:space="preserve">“</w:t>
      </w:r>
      <w:r>
        <w:t xml:space="preserve">Statute of Elizabeth.</w:t>
      </w:r>
      <w:r>
        <w:t xml:space="preserve">”</w:t>
      </w:r>
      <w:r>
        <w:t xml:space="preserve"> </w:t>
      </w:r>
      <w:r>
        <w:t xml:space="preserve">England’s dissolution of the monasteries had destroyed much of the old ecclesiastical machinery of poor relief and education; private charitable giving was filling the gap; and Parliament acted to protect the gifts from the negligence and fraud of those who held them.</w:t>
      </w:r>
      <w:r>
        <w:rPr>
          <w:rStyle w:val="FootnoteReference"/>
        </w:rPr>
        <w:footnoteReference w:id="50"/>
      </w:r>
      <w:r>
        <w:t xml:space="preserve"> </w:t>
      </w:r>
      <w:r>
        <w:t xml:space="preserve">The statute’s preamble catalogued the purposes the law would recognize as charitable — relief of aged, impotent, and poor people; maintenance of sick and maimed soldiers and mariners;</w:t>
      </w:r>
      <w:r>
        <w:t xml:space="preserve"> </w:t>
      </w:r>
      <w:r>
        <w:t xml:space="preserve">“</w:t>
      </w:r>
      <w:r>
        <w:t xml:space="preserve">schools of learning, free schools, and scholars in universities</w:t>
      </w:r>
      <w:r>
        <w:t xml:space="preserve">”</w:t>
      </w:r>
      <w:r>
        <w:t xml:space="preserve">; repair of bridges, ports, churches, and highways; education and preferment of orphans; and more.</w:t>
      </w:r>
      <w:r>
        <w:rPr>
          <w:rStyle w:val="FootnoteReference"/>
        </w:rPr>
        <w:footnoteReference w:id="51"/>
      </w:r>
      <w:r>
        <w:t xml:space="preserve"> </w:t>
      </w:r>
      <w:r>
        <w:t xml:space="preserve">Note what stands in the catalogue by name, third in order: schools. The dedication of property to education has been a charitable purpose at the headwaters of the doctrine, not an extension of it.</w:t>
      </w:r>
    </w:p>
    <w:p>
      <w:pPr>
        <w:pStyle w:val="BodyText"/>
      </w:pPr>
      <w:r>
        <w:t xml:space="preserve">The statute’s enforcement mechanism — commissions issued under the Great Seal to inquire into the misapplication of charitable gifts and decree redress — eventually withered, but the preamble’s catalogue became the common law’s working definition of charity,</w:t>
      </w:r>
      <w:r>
        <w:rPr>
          <w:rStyle w:val="FootnoteReference"/>
        </w:rPr>
        <w:footnoteReference w:id="52"/>
      </w:r>
      <w:r>
        <w:t xml:space="preserve"> </w:t>
      </w:r>
      <w:r>
        <w:t xml:space="preserve">and enforcement settled where it has remained: in the Crown’s law officers. The Attorney General sues to enforce charitable trusts on behalf of the Crown as</w:t>
      </w:r>
      <w:r>
        <w:t xml:space="preserve"> </w:t>
      </w:r>
      <w:r>
        <w:rPr>
          <w:i/>
        </w:rPr>
        <w:t xml:space="preserve">parens patriae</w:t>
      </w:r>
      <w:r>
        <w:t xml:space="preserve">, for a reason that goes to the structure of the institution.</w:t>
      </w:r>
      <w:r>
        <w:rPr>
          <w:rStyle w:val="FootnoteReference"/>
        </w:rPr>
        <w:footnoteReference w:id="53"/>
      </w:r>
      <w:r>
        <w:t xml:space="preserve"> </w:t>
      </w:r>
      <w:r>
        <w:t xml:space="preserve">A charitable trust has no named beneficiaries; its beneficiaries are an indefinite class defined by purpose. No one of them owns the claim, so a public officer asserts it for all of them.</w:t>
      </w:r>
    </w:p>
    <w:p>
      <w:pPr>
        <w:pStyle w:val="BodyText"/>
      </w:pPr>
      <w:r>
        <w:t xml:space="preserve">Three features distinguish the charitable trust from its private cousin, and the reader should hold all three, because all three reappear as load-bearing elements of school-trust law. First, the indefinite beneficiary class: a charitable trust serves</w:t>
      </w:r>
      <w:r>
        <w:t xml:space="preserve"> </w:t>
      </w:r>
      <w:r>
        <w:t xml:space="preserve">“</w:t>
      </w:r>
      <w:r>
        <w:t xml:space="preserve">the poor of the parish</w:t>
      </w:r>
      <w:r>
        <w:t xml:space="preserve">”</w:t>
      </w:r>
      <w:r>
        <w:t xml:space="preserve"> </w:t>
      </w:r>
      <w:r>
        <w:t xml:space="preserve">or</w:t>
      </w:r>
      <w:r>
        <w:t xml:space="preserve"> </w:t>
      </w:r>
      <w:r>
        <w:t xml:space="preserve">“</w:t>
      </w:r>
      <w:r>
        <w:t xml:space="preserve">scholars</w:t>
      </w:r>
      <w:r>
        <w:t xml:space="preserve">”</w:t>
      </w:r>
      <w:r>
        <w:t xml:space="preserve"> </w:t>
      </w:r>
      <w:r>
        <w:t xml:space="preserve">— or, in this field, the schoolchildren of a state, including children not yet born (Chapter 8). Second, perpetual duration: the charitable trust is exempt from the rule against perpetuities and is built to last forever (§ 1.7). Third, public supervision and public enforcement: the state’s law officers are the default enforcers — which is the lineage invoked when courts channel school-trust enforcement to attorneys general (Chapter 13), and which collides with reality when the attorney general’s other client is the trustee accused of the breach (Chapter 14). The collision is not a modern accident; it is the oldest open question in the charitable trust’s design.</w:t>
      </w:r>
    </w:p>
    <w:p>
      <w:pPr>
        <w:pStyle w:val="Heading3"/>
      </w:pPr>
      <w:bookmarkStart w:id="54" w:name="the-laws-time-machine"/>
      <w:r>
        <w:t xml:space="preserve">§ 1.7 The law’s time machine</w:t>
      </w:r>
      <w:bookmarkEnd w:id="54"/>
    </w:p>
    <w:p>
      <w:pPr>
        <w:pStyle w:val="FirstParagraph"/>
      </w:pPr>
      <w:r>
        <w:t xml:space="preserve">Step back from the chronology and ask what the matured trust could do, by the end of the seventeenth century, that no other legal instrument could. The answer is the reason this chapter exists: the trust is the one instrument the Anglo-American tradition designed to carry property</w:t>
      </w:r>
      <w:r>
        <w:t xml:space="preserve"> </w:t>
      </w:r>
      <w:r>
        <w:rPr>
          <w:i/>
        </w:rPr>
        <w:t xml:space="preserve">and purpose</w:t>
      </w:r>
      <w:r>
        <w:t xml:space="preserve"> </w:t>
      </w:r>
      <w:r>
        <w:t xml:space="preserve">across generations.</w:t>
      </w:r>
    </w:p>
    <w:p>
      <w:pPr>
        <w:pStyle w:val="BodyText"/>
      </w:pPr>
      <w:r>
        <w:t xml:space="preserve">Consider the alternatives as they stood. A contract binds its parties and dies with privity; it cannot reach people not yet born. A corporation, in that era, existed only by sovereign charter and at sovereign sufferance.</w:t>
      </w:r>
      <w:r>
        <w:rPr>
          <w:rStyle w:val="FootnoteReference"/>
        </w:rPr>
        <w:footnoteReference w:id="55"/>
      </w:r>
      <w:r>
        <w:t xml:space="preserve"> </w:t>
      </w:r>
      <w:r>
        <w:t xml:space="preserve">An outright conveyance in fee simple transfers everything and controls nothing: the new owner’s purposes are his own, and the grantor’s intentions follow the deed into the drawer. Only the trust separates the management of property from its enjoyment and binds the manager to a purpose — a purpose that persists, enforceable in equity, while managers die and are replaced, while beneficiaries are born, grow old, and are succeeded, while the property itself changes form from land to proceeds and back again.</w:t>
      </w:r>
    </w:p>
    <w:p>
      <w:pPr>
        <w:pStyle w:val="BodyText"/>
      </w:pPr>
      <w:r>
        <w:t xml:space="preserve">English law, having built this engine, immediately installed a governor on it. The rule against perpetuities — taking classical shape from the Duke of Norfolk’s Case (1682)</w:t>
      </w:r>
      <w:r>
        <w:rPr>
          <w:rStyle w:val="FootnoteReference"/>
        </w:rPr>
        <w:footnoteReference w:id="56"/>
      </w:r>
      <w:r>
        <w:t xml:space="preserve"> </w:t>
      </w:r>
      <w:r>
        <w:t xml:space="preserve">— confines private trusts to a horizon measured by lives in being plus twenty-one years, because the law distrusts dead-hand control of wealth in private hands. But the charitable trust is exempt.</w:t>
      </w:r>
      <w:r>
        <w:rPr>
          <w:rStyle w:val="FootnoteReference"/>
        </w:rPr>
        <w:footnoteReference w:id="57"/>
      </w:r>
      <w:r>
        <w:t xml:space="preserve"> </w:t>
      </w:r>
      <w:r>
        <w:t xml:space="preserve">It alone may run forever, and the exemption is purchased with the two features noted in § 1.6: a public purpose, and public supervision. Perpetuity, in the Anglo-American tradition, is not a property right; it is a privilege conditioned on serving the public and remaining accountable to it.</w:t>
      </w:r>
    </w:p>
    <w:p>
      <w:pPr>
        <w:pStyle w:val="BodyText"/>
      </w:pPr>
      <w:r>
        <w:t xml:space="preserve">So stood the equipment at the close of the seventeenth century: a complete, tested technology for the precise problem the Confederation Congress would confront in 1785 — how to dedicate an asset to a purpose, in perpetuity, under managers not yet identified, for beneficiaries not yet born, with enforcement that depends on no individual’s survival or virtue. No other instrument in the inventory could do it. One could.</w:t>
      </w:r>
    </w:p>
    <w:p>
      <w:pPr>
        <w:pStyle w:val="Heading3"/>
      </w:pPr>
      <w:bookmarkStart w:id="58" w:name="crossing-the-atlantic"/>
      <w:r>
        <w:t xml:space="preserve">§ 1.8 Crossing the Atlantic</w:t>
      </w:r>
      <w:bookmarkEnd w:id="58"/>
    </w:p>
    <w:p>
      <w:pPr>
        <w:pStyle w:val="FirstParagraph"/>
      </w:pPr>
      <w:r>
        <w:t xml:space="preserve">The colonists carried the common law with them, and with it the equitable learning embedded in English property practice. Charitable dedication to education arrived early and conspicuously: the college at Cambridge, Massachusetts was named Harvard College in 1639, by order of the colony’s General Court, in recognition of John Harvard’s 1638 bequest — three years after the colony’s founding appropriation of 1636 — and endowed grammar schools dotted the colonies thereafter.</w:t>
      </w:r>
      <w:r>
        <w:rPr>
          <w:rStyle w:val="FootnoteReference"/>
        </w:rPr>
        <w:footnoteReference w:id="59"/>
      </w:r>
      <w:r>
        <w:t xml:space="preserve"> </w:t>
      </w:r>
      <w:r>
        <w:t xml:space="preserve">Institutional reception was uneven in a way the modern practitioner should find familiar: some colonies and states maintained separate courts of chancery; others — Massachusetts most famously — refused a separate chancery out of suspicion of prerogative justice, yet enforced trust obligations through their ordinary courts; the post-Revolutionary reception statutes generally adopted English law as it stood at a fixed date.</w:t>
      </w:r>
      <w:r>
        <w:rPr>
          <w:rStyle w:val="FootnoteReference"/>
        </w:rPr>
        <w:footnoteReference w:id="60"/>
      </w:r>
      <w:r>
        <w:t xml:space="preserve"> </w:t>
      </w:r>
      <w:r>
        <w:t xml:space="preserve">The lesson of that unevenness is that the trust proved separable from the court that raised it. The doctrine crossed even where the institution did not.</w:t>
      </w:r>
    </w:p>
    <w:p>
      <w:pPr>
        <w:pStyle w:val="BodyText"/>
      </w:pPr>
      <w:r>
        <w:t xml:space="preserve">The Statute of Charitable Uses itself had a rougher crossing, and the episode is worth one paragraph for what it reveals. In Trustees of the Philadelphia Baptist Ass’n v. Hart’s Executors,</w:t>
      </w:r>
      <w:r>
        <w:rPr>
          <w:rStyle w:val="FootnoteReference"/>
        </w:rPr>
        <w:footnoteReference w:id="61"/>
      </w:r>
      <w:r>
        <w:t xml:space="preserve"> </w:t>
      </w:r>
      <w:r>
        <w:t xml:space="preserve">the Supreme Court, per Chief Justice Marshall, held a charitable bequest unenforceable in Virginia, which had repealed the Elizabethan statute — on the theory that the power to enforce charitable trusts with indefinite beneficiaries derived from the statute and fell with it. A generation later, on a fuller historical record, Vidal v. Girard’s Executors</w:t>
      </w:r>
      <w:r>
        <w:rPr>
          <w:rStyle w:val="FootnoteReference"/>
        </w:rPr>
        <w:footnoteReference w:id="62"/>
      </w:r>
      <w:r>
        <w:t xml:space="preserve"> </w:t>
      </w:r>
      <w:r>
        <w:t xml:space="preserve">corrected the course: charitable trusts lie within equity’s inherent jurisdiction, the Elizabethan statute being in substance declaratory of an older law. Both decisions postdate 1785 and are cited here not as doctrine of this field but for what they establish about the equipment’s condition at the founding: the technology had crossed; only its statutory pedigree was briefly disputed; and the dispute resolved in favor of the deeper, pre-statutory root. American law settled, that is, on the view that the charitable trust does not depend on any single enactment — it is part of equity itself.</w:t>
      </w:r>
    </w:p>
    <w:p>
      <w:pPr>
        <w:pStyle w:val="BodyText"/>
      </w:pPr>
      <w:r>
        <w:t xml:space="preserve">By 1785, then, the trust concept available to the Confederation Congress was not exotic learning. It was the ordinary, well-thumbed instrument of Anglo-American property law for dedicating wealth to purposes — including, by name and from the beginning, schools.</w:t>
      </w:r>
    </w:p>
    <w:p>
      <w:pPr>
        <w:pStyle w:val="Heading3"/>
      </w:pPr>
      <w:bookmarkStart w:id="63" w:name="standing-ready-may-20-1785"/>
      <w:r>
        <w:t xml:space="preserve">§ 1.9 Standing ready: May 20, 1785</w:t>
      </w:r>
      <w:bookmarkEnd w:id="63"/>
    </w:p>
    <w:p>
      <w:pPr>
        <w:pStyle w:val="FirstParagraph"/>
      </w:pPr>
      <w:r>
        <w:t xml:space="preserve">On May 20, 1785, the Confederation Congress adopted the Land Ordinance that organized the public domain into surveyed townships of thirty-six numbered sections — and reserved the sixteenth for schools:</w:t>
      </w:r>
      <w:r>
        <w:t xml:space="preserve"> </w:t>
      </w:r>
      <w:r>
        <w:t xml:space="preserve">“</w:t>
      </w:r>
      <w:r>
        <w:t xml:space="preserve">There shall be reserved the lot No. 16, of every township, for the maintenance of public schools within the said township.</w:t>
      </w:r>
      <w:r>
        <w:t xml:space="preserve">”</w:t>
      </w:r>
      <w:r>
        <w:rPr>
          <w:rStyle w:val="FootnoteReference"/>
        </w:rPr>
        <w:footnoteReference w:id="64"/>
      </w:r>
      <w:r>
        <w:t xml:space="preserve"> </w:t>
      </w:r>
      <w:r>
        <w:t xml:space="preserve">Two years later the Northwest Ordinance supplied the policy declaration that the case law still quotes:</w:t>
      </w:r>
      <w:r>
        <w:t xml:space="preserve"> </w:t>
      </w:r>
      <w:r>
        <w:t xml:space="preserve">“</w:t>
      </w:r>
      <w:r>
        <w:t xml:space="preserve">Religion, morality, and knowledge, being necessary to good government and the happiness of mankind, schools and the means of education shall forever be encouraged.</w:t>
      </w:r>
      <w:r>
        <w:t xml:space="preserve">”</w:t>
      </w:r>
      <w:r>
        <w:rPr>
          <w:rStyle w:val="FootnoteReference"/>
        </w:rPr>
        <w:footnoteReference w:id="65"/>
      </w:r>
    </w:p>
    <w:p>
      <w:pPr>
        <w:pStyle w:val="BodyText"/>
      </w:pPr>
      <w:r>
        <w:t xml:space="preserve">The drafters of 1785 did not write the words</w:t>
      </w:r>
      <w:r>
        <w:t xml:space="preserve"> </w:t>
      </w:r>
      <w:r>
        <w:t xml:space="preserve">“</w:t>
      </w:r>
      <w:r>
        <w:t xml:space="preserve">in trust,</w:t>
      </w:r>
      <w:r>
        <w:t xml:space="preserve">”</w:t>
      </w:r>
      <w:r>
        <w:rPr>
          <w:rStyle w:val="FootnoteReference"/>
        </w:rPr>
        <w:footnoteReference w:id="66"/>
      </w:r>
      <w:r>
        <w:t xml:space="preserve"> </w:t>
      </w:r>
      <w:r>
        <w:t xml:space="preserve">and Chapter 4 will show how much litigation that omission has fed. But observe what they did, against the background this chapter has assembled. They dedicated identified property — a fixed, surveyed section in every township — to a stated public purpose, education, named in the charitable canon since 1601. They dedicated it in perpetuity —</w:t>
      </w:r>
      <w:r>
        <w:t xml:space="preserve"> </w:t>
      </w:r>
      <w:r>
        <w:t xml:space="preserve">“</w:t>
      </w:r>
      <w:r>
        <w:t xml:space="preserve">forever,</w:t>
      </w:r>
      <w:r>
        <w:t xml:space="preserve">”</w:t>
      </w:r>
      <w:r>
        <w:t xml:space="preserve"> </w:t>
      </w:r>
      <w:r>
        <w:t xml:space="preserve">the 1787 ordinance would say of the encouragement of schools — for an indefinite class of beneficiaries consisting principally of persons not yet born. They placed the legal title in hands other than the beneficiaries’ and burdened those hands with the purpose. Five centuries of equity had built exactly one instrument answering that description, had given it a name, and had hung a complete set of duties, remedies, and enforcers on the name. Whether the grants carry everything the name implies — whether the states took as trustees in the full, judicially enforceable sense, with the duties of Part III and the remedies of Part VII — is the central question of this field, joined in Chapter 4 and answered state by state throughout this volume.</w:t>
      </w:r>
    </w:p>
    <w:p>
      <w:pPr>
        <w:pStyle w:val="BodyText"/>
      </w:pPr>
      <w:r>
        <w:t xml:space="preserve">First, though, the instruments themselves: what Congress actually granted, to whom, in what words, and on what terms — generation by generation, from the single reserved section of 1785 to the four-section trusts of 1910 and the Alaska departure of 1958. That is Chapter 2.</w:t>
      </w:r>
    </w:p>
    <w:p>
      <w:r>
        <w:pict>
          <v:rect style="width:0;height:1.5pt" o:hralign="center" o:hrstd="t" o:hr="t"/>
        </w:pict>
      </w:r>
    </w:p>
    <w:p>
      <w:pPr>
        <w:pStyle w:val="FirstParagraph"/>
      </w:pPr>
      <w:r>
        <w:rPr>
          <w:i/>
        </w:rPr>
        <w:t xml:space="preserve">End of Chapter 1 v1. Forward: Chapter 2 (The Granting Instruments). Verification queue for this chapter: pull and pin Restatement (Second) of Trusts §§ 391 and 365 (both load-bearing — § 391 for Chapters 13–14); confirm the Maitland quotation’s page and</w:t>
      </w:r>
      <w:r>
        <w:rPr>
          <w:i/>
        </w:rPr>
        <w:t xml:space="preserve"> </w:t>
      </w:r>
      <w:r>
        <w:rPr>
          <w:i/>
        </w:rPr>
        <w:t xml:space="preserve">“</w:t>
      </w:r>
      <w:r>
        <w:rPr>
          <w:i/>
        </w:rPr>
        <w:t xml:space="preserve">could</w:t>
      </w:r>
      <w:r>
        <w:rPr>
          <w:i/>
        </w:rPr>
        <w:t xml:space="preserve">”</w:t>
      </w:r>
      <w:r>
        <w:rPr>
          <w:i/>
        </w:rPr>
        <w:t xml:space="preserve">/</w:t>
      </w:r>
      <w:r>
        <w:rPr>
          <w:i/>
        </w:rPr>
        <w:t xml:space="preserve">“</w:t>
      </w:r>
      <w:r>
        <w:rPr>
          <w:i/>
        </w:rPr>
        <w:t xml:space="preserve">should</w:t>
      </w:r>
      <w:r>
        <w:rPr>
          <w:i/>
        </w:rPr>
        <w:t xml:space="preserve">”</w:t>
      </w:r>
      <w:r>
        <w:rPr>
          <w:i/>
        </w:rPr>
        <w:t xml:space="preserve"> </w:t>
      </w:r>
      <w:r>
        <w:rPr>
          <w:i/>
        </w:rPr>
        <w:t xml:space="preserve">wording against Selected Essays; page-pin every [VERIFY pin] chapter-level citation from the editions on the shelf (Baker, Simpson, Holdsworth, Pollock &amp; Maitland, Jones, Jordan, Gray, Morison, Holt, Blackstone, Friedman, Hall, Ives, Barton, Biancalana, Moorman); confirm the Hopkins Atkyns page, the Tyrrel English Reports page and the N.G. Jones journal pin, the Pemsel page, and the JCC internal page; complete the whole-ordinance no-trust-language read (shared with Chapter 2’s queue). Resolved this pass (flags removed or downgraded): Maitland essay attribution (</w:t>
      </w:r>
      <w:r>
        <w:rPr>
          <w:i/>
        </w:rPr>
        <w:t xml:space="preserve">“</w:t>
      </w:r>
      <w:r>
        <w:rPr>
          <w:i/>
        </w:rPr>
        <w:t xml:space="preserve">The Unincorporate Body</w:t>
      </w:r>
      <w:r>
        <w:rPr>
          <w:i/>
        </w:rPr>
        <w:t xml:space="preserve">”</w:t>
      </w:r>
      <w:r>
        <w:rPr>
          <w:i/>
        </w:rPr>
        <w:t xml:space="preserve">); Magna Carta 1225 chapter 29; Hopkins v. Hopkins reporter citation and wording; Harvard 1636 appropriation / 1638 bequest / 1639 naming sequence. Shelf-pull pass (web sources, 2026-06-08) verified or corrected: Maitland wording</w:t>
      </w:r>
      <w:r>
        <w:rPr>
          <w:i/>
        </w:rPr>
        <w:t xml:space="preserve"> </w:t>
      </w:r>
      <w:r>
        <w:rPr>
          <w:i/>
        </w:rPr>
        <w:t xml:space="preserve">“</w:t>
      </w:r>
      <w:r>
        <w:rPr>
          <w:i/>
        </w:rPr>
        <w:t xml:space="preserve">should</w:t>
      </w:r>
      <w:r>
        <w:rPr>
          <w:i/>
        </w:rPr>
        <w:t xml:space="preserve">”</w:t>
      </w:r>
      <w:r>
        <w:rPr>
          <w:i/>
        </w:rPr>
        <w:t xml:space="preserve"> </w:t>
      </w:r>
      <w:r>
        <w:rPr>
          <w:i/>
        </w:rPr>
        <w:t xml:space="preserve">(essay title</w:t>
      </w:r>
      <w:r>
        <w:rPr>
          <w:i/>
        </w:rPr>
        <w:t xml:space="preserve"> </w:t>
      </w:r>
      <w:r>
        <w:rPr>
          <w:i/>
        </w:rPr>
        <w:t xml:space="preserve">“</w:t>
      </w:r>
      <w:r>
        <w:rPr>
          <w:i/>
        </w:rPr>
        <w:t xml:space="preserve">Trust and Corporation</w:t>
      </w:r>
      <w:r>
        <w:rPr>
          <w:i/>
        </w:rPr>
        <w:t xml:space="preserve">”</w:t>
      </w:r>
      <w:r>
        <w:rPr>
          <w:i/>
        </w:rPr>
        <w:t xml:space="preserve"> </w:t>
      </w:r>
      <w:r>
        <w:rPr>
          <w:i/>
        </w:rPr>
        <w:t xml:space="preserve">to confirm on the physical pull); Blackstone star-page corrected</w:t>
      </w:r>
      <w:r>
        <w:rPr>
          <w:i/>
        </w:rPr>
        <w:t xml:space="preserve"> </w:t>
      </w:r>
      <w:r>
        <w:t xml:space="preserve">472–73 →</w:t>
      </w:r>
      <w:r>
        <w:t xml:space="preserve"> </w:t>
      </w:r>
      <w:r>
        <w:rPr>
          <w:i/>
        </w:rPr>
        <w:t xml:space="preserve">460; Restatement (Second) of Trusts §§ 391 and 365 section numbers; Tyrrel 73 Eng. Rep. 336; Hopkins 1 Atk. 581, 591 / 26 Eng. Rep. 365, 372; Pemsel [1891] A.C. 531 (Macnaghten at 583); Ives 82 Eng. Hist. Rev. 673 (673–697); Barton 81 Law Q. Rev. 562 (562–577); and the 1785 Ordinance reservation text. STILL pending a physical shelf / HeinOnline / HathiTrust pull (not free-web confirmable): the chapter-level page pins inside the modern treatises (Baker, Simpson, Holdsworth, Pollock &amp; Maitland, Maitland’s Equity, Gray, Scott, Gareth Jones, Jordan, Morison, Friedman, Hall, Moorman, Bean, Biancalana) and the exact internal page in 28 J. Cont. Cong. (375/378).</w:t>
      </w:r>
    </w:p>
    <w:p>
      <w:r>
        <w:br w:type="page"/>
      </w:r>
    </w:p>
    <w:p>
      <w:pPr>
        <w:pStyle w:val="Heading1"/>
      </w:pPr>
      <w:bookmarkStart w:id="67" w:name="chapter-2-the-granting-instruments-v1"/>
      <w:r>
        <w:t xml:space="preserve">Chapter 2 — The Granting Instruments (v1)</w:t>
      </w:r>
      <w:bookmarkEnd w:id="67"/>
    </w:p>
    <w:p>
      <w:pPr>
        <w:pStyle w:val="FirstParagraph"/>
      </w:pPr>
      <w:r>
        <w:rPr>
          <w:i/>
        </w:rPr>
        <w:t xml:space="preserve">Status: v1, corpus-bounded draft — renumbered (formerly Chapter 1) per the 2026-06-07 chapter map and converted from numeric footnotes to named keys per</w:t>
      </w:r>
      <w:r>
        <w:rPr>
          <w:i/>
        </w:rPr>
        <w:t xml:space="preserve"> </w:t>
      </w:r>
      <w:r>
        <w:rPr>
          <w:rStyle w:val="VerbatimChar"/>
          <w:i/>
        </w:rPr>
        <w:t xml:space="preserve">_tools/CITATION_STANDARD.md</w:t>
      </w:r>
      <w:r>
        <w:rPr>
          <w:i/>
        </w:rPr>
        <w:t xml:space="preserve">; change ledger at</w:t>
      </w:r>
      <w:r>
        <w:rPr>
          <w:i/>
        </w:rPr>
        <w:t xml:space="preserve"> </w:t>
      </w:r>
      <w:r>
        <w:rPr>
          <w:rStyle w:val="VerbatimChar"/>
          <w:i/>
        </w:rPr>
        <w:t xml:space="preserve">_citation_audit/impl_ch02-05.md</w:t>
      </w:r>
      <w:r>
        <w:rPr>
          <w:i/>
        </w:rPr>
        <w:t xml:space="preserve">. Every authority herein is carried in the project’s verified research files; [VERIFY] flags mark items awaiting primary-source confirmation under quality gate G3.</w:t>
      </w:r>
    </w:p>
    <w:p>
      <w:r>
        <w:pict>
          <v:rect style="width:0;height:1.5pt" o:hralign="center" o:hrstd="t" o:hr="t"/>
        </w:pict>
      </w:r>
    </w:p>
    <w:p>
      <w:pPr>
        <w:pStyle w:val="Heading3"/>
      </w:pPr>
      <w:bookmarkStart w:id="68" w:name="the-subject-and-the-sources"/>
      <w:r>
        <w:t xml:space="preserve">§ 2.1 The subject and the sources</w:t>
      </w:r>
      <w:bookmarkEnd w:id="68"/>
    </w:p>
    <w:p>
      <w:pPr>
        <w:pStyle w:val="FirstParagraph"/>
      </w:pPr>
      <w:r>
        <w:t xml:space="preserve">American school-trust law governs the lands and funds that the United States granted to the states, at or before statehood, for the support of public schools, and the duties of the states that accepted them. The field’s primary instruments fall into four groups: the land-policy ordinances of the Confederation era; the enabling and admission acts by which Congress fixed the terms of each state’s admission; the state constitutional provisions by which each state accepted the grant into its organic law (treated in Chapter 3); and the general federal land statutes, now codified at 43 U.S.C. § 851 et seq., that govern lieu selections and indemnity.</w:t>
      </w:r>
      <w:r>
        <w:rPr>
          <w:rStyle w:val="FootnoteReference"/>
        </w:rPr>
        <w:footnoteReference w:id="69"/>
      </w:r>
    </w:p>
    <w:p>
      <w:pPr>
        <w:pStyle w:val="BodyText"/>
      </w:pPr>
      <w:r>
        <w:t xml:space="preserve">Across seven decades of statehood legislation the grants follow a single design. Congress conveyed designated sections of every township to the new state for the support of its schools; the state, by accepting admission on those terms, bound itself to the dedication. Justice Powell stated the exchange concisely:</w:t>
      </w:r>
      <w:r>
        <w:t xml:space="preserve"> </w:t>
      </w:r>
      <w:r>
        <w:t xml:space="preserve">“</w:t>
      </w:r>
      <w:r>
        <w:t xml:space="preserve">As consideration for each new State’s pledge not to tax federal lands, Congress granted the State a fixed proportion of the lands within its borders for the support of public education.</w:t>
      </w:r>
      <w:r>
        <w:t xml:space="preserve">”</w:t>
      </w:r>
      <w:r>
        <w:rPr>
          <w:rStyle w:val="FootnoteReference"/>
        </w:rPr>
        <w:footnoteReference w:id="70"/>
      </w:r>
      <w:r>
        <w:rPr>
          <w:rStyle w:val="FootnoteReference"/>
        </w:rPr>
        <w:footnoteReference w:id="71"/>
      </w:r>
      <w:r>
        <w:t xml:space="preserve"> </w:t>
      </w:r>
      <w:r>
        <w:t xml:space="preserve">What changed over the decades was not the design but the drafting: each generation of instruments wrote the protective terms more explicitly than the last, until the 1910 New Mexico–Arizona act stated the trust, the remedy, and the enforcer in so many words. That progression — and the litigation significance of where each state’s instrument falls on it — is this chapter’s organizing thread.</w:t>
      </w:r>
    </w:p>
    <w:p>
      <w:pPr>
        <w:pStyle w:val="Heading3"/>
      </w:pPr>
      <w:bookmarkStart w:id="72" w:name="the-ordinance-origins-17851787"/>
      <w:r>
        <w:t xml:space="preserve">§ 2.2 The ordinance origins, 1785–1787</w:t>
      </w:r>
      <w:bookmarkEnd w:id="72"/>
    </w:p>
    <w:p>
      <w:pPr>
        <w:pStyle w:val="FirstParagraph"/>
      </w:pPr>
      <w:r>
        <w:t xml:space="preserve">The school grant predates the Constitution. The Land Ordinance of 1785, which established the rectangular survey of townships divided into thirty-six numbered lots of one mile square — the</w:t>
      </w:r>
      <w:r>
        <w:t xml:space="preserve"> </w:t>
      </w:r>
      <w:r>
        <w:t xml:space="preserve">“</w:t>
      </w:r>
      <w:r>
        <w:t xml:space="preserve">sections</w:t>
      </w:r>
      <w:r>
        <w:t xml:space="preserve">”</w:t>
      </w:r>
      <w:r>
        <w:t xml:space="preserve"> </w:t>
      </w:r>
      <w:r>
        <w:t xml:space="preserve">of later law — provided:</w:t>
      </w:r>
      <w:r>
        <w:t xml:space="preserve"> </w:t>
      </w:r>
      <w:r>
        <w:t xml:space="preserve">“</w:t>
      </w:r>
      <w:r>
        <w:t xml:space="preserve">There shall be reserved the lot No. 16, of every township, for the maintenance of public schools within the said township.</w:t>
      </w:r>
      <w:r>
        <w:t xml:space="preserve">”</w:t>
      </w:r>
      <w:r>
        <w:t xml:space="preserve"> </w:t>
      </w:r>
      <w:r>
        <w:t xml:space="preserve">The ordinance wrote the reservation into the federal deed form itself, so every patent issued under it carried the school-lot reservation by its terms. The Northwest Ordinance of 1787 supplied the accompanying policy declaration:</w:t>
      </w:r>
      <w:r>
        <w:t xml:space="preserve"> </w:t>
      </w:r>
      <w:r>
        <w:t xml:space="preserve">“</w:t>
      </w:r>
      <w:r>
        <w:t xml:space="preserve">Religion, morality, and knowledge, being necessary to good government and the happiness of mankind, schools and the means of education shall forever be encouraged.</w:t>
      </w:r>
      <w:r>
        <w:t xml:space="preserve">”</w:t>
      </w:r>
      <w:r>
        <w:t xml:space="preserve"> </w:t>
      </w:r>
      <w:r>
        <w:t xml:space="preserve">The modern case law cites both instruments as the origin of the compact framework that the enabling acts later carried into each admission.</w:t>
      </w:r>
      <w:r>
        <w:rPr>
          <w:rStyle w:val="FootnoteReference"/>
        </w:rPr>
        <w:footnoteReference w:id="73"/>
      </w:r>
      <w:r>
        <w:rPr>
          <w:rStyle w:val="FootnoteReference"/>
        </w:rPr>
        <w:footnoteReference w:id="74"/>
      </w:r>
    </w:p>
    <w:p>
      <w:pPr>
        <w:pStyle w:val="BodyText"/>
      </w:pPr>
      <w:r>
        <w:t xml:space="preserve">Two features of the ordinance design persisted into everything that followed. First, the unit of dedication was the township section — a fixed, surveyed, identifiable parcel, which is why school-trust litigation to this day is litigation about specific land. Second, the dedication ran to school support as such, a purpose restriction that the courts of the receiving states would later read as the defining term of a trust. See Chapter 4.</w:t>
      </w:r>
    </w:p>
    <w:p>
      <w:pPr>
        <w:pStyle w:val="Heading3"/>
      </w:pPr>
      <w:bookmarkStart w:id="75" w:name="Xb6d6932ff64e1f64510f28b941191a8030f5fdd"/>
      <w:r>
        <w:t xml:space="preserve">§ 2.3 The township-trust generation: the single-section states</w:t>
      </w:r>
      <w:bookmarkEnd w:id="75"/>
    </w:p>
    <w:p>
      <w:pPr>
        <w:pStyle w:val="FirstParagraph"/>
      </w:pPr>
      <w:r>
        <w:t xml:space="preserve">The earliest statehood grants conveyed one section — Section 16 — per township, dedicated to the schools of that township rather than to a consolidated state fund.</w:t>
      </w:r>
    </w:p>
    <w:p>
      <w:pPr>
        <w:pStyle w:val="BodyText"/>
      </w:pPr>
      <w:r>
        <w:rPr>
          <w:b/>
        </w:rPr>
        <w:t xml:space="preserve">Louisiana (1812).</w:t>
      </w:r>
      <w:r>
        <w:t xml:space="preserve"> </w:t>
      </w:r>
      <w:r>
        <w:t xml:space="preserve">The Louisiana Enabling Act of February 20, 1811, 2 Stat. 641, which authorized formation of a state constitution, and the Act of April 8, 1812, 2 Stat. 701, which admitted the state, together reserved Section 16 of each township for the support of schools within the township.</w:t>
      </w:r>
      <w:r>
        <w:rPr>
          <w:rStyle w:val="FootnoteReference"/>
        </w:rPr>
        <w:footnoteReference w:id="76"/>
      </w:r>
      <w:r>
        <w:t xml:space="preserve"> </w:t>
      </w:r>
      <w:r>
        <w:t xml:space="preserve">Administration settled at the parish level: parish school boards function as statutory trustees for the Section 16 lands within their parish, with supervisory authority in the State Land Office and the legislature. The 1811–12 instruments predate the protective conventions Congress developed for the western states after 1850 and accordingly lack the explicit</w:t>
      </w:r>
      <w:r>
        <w:t xml:space="preserve"> </w:t>
      </w:r>
      <w:r>
        <w:t xml:space="preserve">“</w:t>
      </w:r>
      <w:r>
        <w:t xml:space="preserve">inviolability,</w:t>
      </w:r>
      <w:r>
        <w:t xml:space="preserve">”</w:t>
      </w:r>
      <w:r>
        <w:t xml:space="preserve"> </w:t>
      </w:r>
      <w:r>
        <w:t xml:space="preserve">“</w:t>
      </w:r>
      <w:r>
        <w:t xml:space="preserve">permanent fund,</w:t>
      </w:r>
      <w:r>
        <w:t xml:space="preserve">”</w:t>
      </w:r>
      <w:r>
        <w:t xml:space="preserve"> </w:t>
      </w:r>
      <w:r>
        <w:t xml:space="preserve">and</w:t>
      </w:r>
      <w:r>
        <w:t xml:space="preserve"> </w:t>
      </w:r>
      <w:r>
        <w:t xml:space="preserve">“</w:t>
      </w:r>
      <w:r>
        <w:t xml:space="preserve">appraised value</w:t>
      </w:r>
      <w:r>
        <w:t xml:space="preserve">”</w:t>
      </w:r>
      <w:r>
        <w:t xml:space="preserve"> </w:t>
      </w:r>
      <w:r>
        <w:t xml:space="preserve">language of the later compacts. Louisiana’s courts have held the trust character of the grant binding on the state nonetheless.</w:t>
      </w:r>
      <w:r>
        <w:rPr>
          <w:rStyle w:val="FootnoteReference"/>
        </w:rPr>
        <w:footnoteReference w:id="77"/>
      </w:r>
    </w:p>
    <w:p>
      <w:pPr>
        <w:pStyle w:val="BodyText"/>
      </w:pPr>
      <w:r>
        <w:rPr>
          <w:b/>
        </w:rPr>
        <w:t xml:space="preserve">Mississippi (1817).</w:t>
      </w:r>
      <w:r>
        <w:t xml:space="preserve"> </w:t>
      </w:r>
      <w:r>
        <w:t xml:space="preserve">The Mississippi Enabling Act of March 1, 1817, 3 Stat. 348, together with the Act of December 10, 1817 admitting the state, reserved Section 16 of every township for the support of schools within the township.</w:t>
      </w:r>
      <w:r>
        <w:rPr>
          <w:rStyle w:val="FootnoteReference"/>
        </w:rPr>
        <w:footnoteReference w:id="78"/>
      </w:r>
      <w:r>
        <w:t xml:space="preserve"> </w:t>
      </w:r>
      <w:r>
        <w:t xml:space="preserve">As in Louisiana, the trust is administered locally — each school district acts as trustee for the Sixteenth Section lands within its boundaries under state-level supervision — and, as in Louisiana, the early instrument lacks the later express trust vocabulary while the courts have firmly established the trust character of the grant.</w:t>
      </w:r>
      <w:r>
        <w:rPr>
          <w:rStyle w:val="FootnoteReference"/>
        </w:rPr>
        <w:footnoteReference w:id="79"/>
      </w:r>
    </w:p>
    <w:p>
      <w:pPr>
        <w:pStyle w:val="BodyText"/>
      </w:pPr>
      <w:r>
        <w:t xml:space="preserve">The township-trust states matter to the practitioner for two reasons. They prove that trust character does not depend on the express word</w:t>
      </w:r>
      <w:r>
        <w:t xml:space="preserve"> </w:t>
      </w:r>
      <w:r>
        <w:t xml:space="preserve">“</w:t>
      </w:r>
      <w:r>
        <w:t xml:space="preserve">trust</w:t>
      </w:r>
      <w:r>
        <w:t xml:space="preserve">”</w:t>
      </w:r>
      <w:r>
        <w:t xml:space="preserve"> </w:t>
      </w:r>
      <w:r>
        <w:t xml:space="preserve">in the instrument — the point pressed in Chapter 4 — and they supply the field’s longest administrative record, including its longest judicial record of failure and partial repair:</w:t>
      </w:r>
      <w:r>
        <w:t xml:space="preserve"> </w:t>
      </w:r>
      <w:r>
        <w:rPr>
          <w:i/>
        </w:rPr>
        <w:t xml:space="preserve">Hill v. Thompson</w:t>
      </w:r>
      <w:r>
        <w:t xml:space="preserve">, 564 So. 2d 1 (Miss. 1989), voided ninety-nine-year sixteenth-section leases let for nominal one-time payments as</w:t>
      </w:r>
      <w:r>
        <w:t xml:space="preserve"> </w:t>
      </w:r>
      <w:r>
        <w:t xml:space="preserve">“</w:t>
      </w:r>
      <w:r>
        <w:t xml:space="preserve">grossly inadequate</w:t>
      </w:r>
      <w:r>
        <w:t xml:space="preserve">”</w:t>
      </w:r>
      <w:r>
        <w:t xml:space="preserve"> </w:t>
      </w:r>
      <w:r>
        <w:t xml:space="preserve">consideration, while</w:t>
      </w:r>
      <w:r>
        <w:t xml:space="preserve"> </w:t>
      </w:r>
      <w:r>
        <w:rPr>
          <w:i/>
        </w:rPr>
        <w:t xml:space="preserve">Lambert v. State</w:t>
      </w:r>
      <w:r>
        <w:t xml:space="preserve">, 211 Miss. 129, 51 So. 2d 201 (1951), shows the recordless past cutting the other way — an 1873 deed sustained on a twenty-five-year adverse-possession presumption. (Verified against the L0 opinions 2026-06-07; the</w:t>
      </w:r>
      <w:r>
        <w:t xml:space="preserve"> </w:t>
      </w:r>
      <w:r>
        <w:t xml:space="preserve">“</w:t>
      </w:r>
      <w:r>
        <w:t xml:space="preserve">spoliation</w:t>
      </w:r>
      <w:r>
        <w:t xml:space="preserve">”</w:t>
      </w:r>
      <w:r>
        <w:t xml:space="preserve"> </w:t>
      </w:r>
      <w:r>
        <w:t xml:space="preserve">label carried in earlier drafts was a research-file gloss — neither opinion uses the word.)</w:t>
      </w:r>
    </w:p>
    <w:p>
      <w:pPr>
        <w:pStyle w:val="Heading3"/>
      </w:pPr>
      <w:bookmarkStart w:id="80" w:name="the-two-section-generation-18591906"/>
      <w:r>
        <w:t xml:space="preserve">§ 2.4 The two-section generation, 1859–1906</w:t>
      </w:r>
      <w:bookmarkEnd w:id="80"/>
    </w:p>
    <w:p>
      <w:pPr>
        <w:pStyle w:val="FirstParagraph"/>
      </w:pPr>
      <w:r>
        <w:t xml:space="preserve">By the mid-nineteenth century the standard grant had doubled: Sections 16</w:t>
      </w:r>
      <w:r>
        <w:t xml:space="preserve"> </w:t>
      </w:r>
      <w:r>
        <w:rPr>
          <w:b/>
        </w:rPr>
        <w:t xml:space="preserve">and</w:t>
      </w:r>
      <w:r>
        <w:t xml:space="preserve"> </w:t>
      </w:r>
      <w:r>
        <w:t xml:space="preserve">36 of every township, with proceeds increasingly directed to a consolidated permanent state fund rather than to the township.</w:t>
      </w:r>
    </w:p>
    <w:p>
      <w:pPr>
        <w:pStyle w:val="BodyText"/>
      </w:pPr>
      <w:r>
        <w:rPr>
          <w:b/>
        </w:rPr>
        <w:t xml:space="preserve">Oregon (1859).</w:t>
      </w:r>
      <w:r>
        <w:t xml:space="preserve"> </w:t>
      </w:r>
      <w:r>
        <w:t xml:space="preserve">The Oregon Admission Act, Act of February 14, 1859, ch. 33, § 4, 11 Stat. 383, granted sections 16 and 36</w:t>
      </w:r>
      <w:r>
        <w:t xml:space="preserve"> </w:t>
      </w:r>
      <w:r>
        <w:t xml:space="preserve">“</w:t>
      </w:r>
      <w:r>
        <w:t xml:space="preserve">for the use of schools.</w:t>
      </w:r>
      <w:r>
        <w:t xml:space="preserve">”</w:t>
      </w:r>
      <w:r>
        <w:t xml:space="preserve"> </w:t>
      </w:r>
      <w:r>
        <w:t xml:space="preserve">Two drafting features have dominated Oregon’s subsequent litigation. The act does not use the word</w:t>
      </w:r>
      <w:r>
        <w:t xml:space="preserve"> </w:t>
      </w:r>
      <w:r>
        <w:t xml:space="preserve">“</w:t>
      </w:r>
      <w:r>
        <w:t xml:space="preserve">trust</w:t>
      </w:r>
      <w:r>
        <w:t xml:space="preserve">”</w:t>
      </w:r>
      <w:r>
        <w:t xml:space="preserve"> </w:t>
      </w:r>
      <w:r>
        <w:t xml:space="preserve">— the textual opening for the honorary-grant argument examined in Chapter 4 — and it contains an express compact clause: the propositions offered to the new state,</w:t>
      </w:r>
      <w:r>
        <w:t xml:space="preserve"> </w:t>
      </w:r>
      <w:r>
        <w:t xml:space="preserve">“</w:t>
      </w:r>
      <w:r>
        <w:t xml:space="preserve">if accepted, shall be obligatory on the United States and upon the said State of Oregon.</w:t>
      </w:r>
      <w:r>
        <w:t xml:space="preserve">”</w:t>
      </w:r>
      <w:r>
        <w:rPr>
          <w:rStyle w:val="FootnoteReference"/>
        </w:rPr>
        <w:footnoteReference w:id="81"/>
      </w:r>
      <w:r>
        <w:rPr>
          <w:rStyle w:val="FootnoteReference"/>
        </w:rPr>
        <w:footnoteReference w:id="82"/>
      </w:r>
    </w:p>
    <w:p>
      <w:pPr>
        <w:pStyle w:val="BodyText"/>
      </w:pPr>
      <w:r>
        <w:rPr>
          <w:b/>
        </w:rPr>
        <w:t xml:space="preserve">Nebraska (1864).</w:t>
      </w:r>
      <w:r>
        <w:t xml:space="preserve"> </w:t>
      </w:r>
      <w:r>
        <w:t xml:space="preserve">The Nebraska Enabling Act of April 19, 1864, 13 Stat. 47, reserved sections 16 and 36 of every township for the support of common schools, with proceeds held in a permanent fund. Nebraska’s constitution then incorporated the trust covenants directly into the state’s organic law — the structural move that made any violation of trust duty simultaneously a violation of the state constitution, and on which the Nebraska trilogy of Chapter 4 rests.</w:t>
      </w:r>
      <w:r>
        <w:rPr>
          <w:rStyle w:val="FootnoteReference"/>
        </w:rPr>
        <w:footnoteReference w:id="83"/>
      </w:r>
    </w:p>
    <w:p>
      <w:pPr>
        <w:pStyle w:val="BodyText"/>
      </w:pPr>
      <w:r>
        <w:rPr>
          <w:b/>
        </w:rPr>
        <w:t xml:space="preserve">Colorado (1875).</w:t>
      </w:r>
      <w:r>
        <w:t xml:space="preserve"> </w:t>
      </w:r>
      <w:r>
        <w:t xml:space="preserve">The Colorado Enabling Act of March 3, 1875, 18 Stat. 474, granted sections 16 and 36 for the support of common schools, with proceeds of any disposition to be held in a permanent fund and subject to inviolability.</w:t>
      </w:r>
      <w:r>
        <w:rPr>
          <w:rStyle w:val="FootnoteReference"/>
        </w:rPr>
        <w:footnoteReference w:id="84"/>
      </w:r>
    </w:p>
    <w:p>
      <w:pPr>
        <w:pStyle w:val="BodyText"/>
      </w:pPr>
      <w:r>
        <w:rPr>
          <w:b/>
        </w:rPr>
        <w:t xml:space="preserve">The Omnibus Enabling Act (1889).</w:t>
      </w:r>
      <w:r>
        <w:t xml:space="preserve"> </w:t>
      </w:r>
      <w:r>
        <w:t xml:space="preserve">The Act of February 22, 1889, 25 Stat. 676, admitted Montana, North Dakota, South Dakota, and Washington on common terms: sections 16 and 36 of every township in trust for the support of common schools, proceeds held in a permanent fund, lands to be appraised before sale or lease, and no disposition at less than appraised value.</w:t>
      </w:r>
      <w:r>
        <w:rPr>
          <w:rStyle w:val="FootnoteReference"/>
        </w:rPr>
        <w:footnoteReference w:id="85"/>
      </w:r>
      <w:r>
        <w:t xml:space="preserve"> </w:t>
      </w:r>
      <w:r>
        <w:t xml:space="preserve">The Omnibus Act is the field’s single most-litigated instrument, supplying the operative text in the Washington, Montana, and South Dakota lines collected throughout this volume.</w:t>
      </w:r>
    </w:p>
    <w:p>
      <w:pPr>
        <w:pStyle w:val="BodyText"/>
      </w:pPr>
      <w:r>
        <w:rPr>
          <w:b/>
        </w:rPr>
        <w:t xml:space="preserve">Idaho (1890).</w:t>
      </w:r>
      <w:r>
        <w:t xml:space="preserve"> </w:t>
      </w:r>
      <w:r>
        <w:t xml:space="preserve">The Idaho Admission Act of July 3, 1890, 26 Stat. 215, granted sections 16 and 36 in trust for common schools, with additional grants to named institutions, each held as a distinct trust for its named beneficiary.</w:t>
      </w:r>
      <w:r>
        <w:rPr>
          <w:rStyle w:val="FootnoteReference"/>
        </w:rPr>
        <w:footnoteReference w:id="86"/>
      </w:r>
    </w:p>
    <w:p>
      <w:pPr>
        <w:pStyle w:val="BodyText"/>
      </w:pPr>
      <w:r>
        <w:rPr>
          <w:b/>
        </w:rPr>
        <w:t xml:space="preserve">Oklahoma (1906).</w:t>
      </w:r>
      <w:r>
        <w:t xml:space="preserve"> </w:t>
      </w:r>
      <w:r>
        <w:t xml:space="preserve">The Oklahoma Enabling Act of June 16, 1906, 34 Stat. 267, granted sections 16 and 36 in the former Oklahoma Territory and provided cash payments in lieu of sections in the former Indian Territory, where allotment under prior federal action had foreclosed in-place grants; proceeds were to be held in a permanent fund, with disposition prohibited at less than appraised value.</w:t>
      </w:r>
      <w:r>
        <w:rPr>
          <w:rStyle w:val="FootnoteReference"/>
        </w:rPr>
        <w:footnoteReference w:id="87"/>
      </w:r>
      <w:r>
        <w:t xml:space="preserve"> </w:t>
      </w:r>
      <w:r>
        <w:t xml:space="preserve">Oklahoma’s in-lieu cash component is the era’s reminder that the trust corpus was never only land: money received in substitution for land enters the trust on the land’s terms. See § 2.8.</w:t>
      </w:r>
    </w:p>
    <w:p>
      <w:pPr>
        <w:pStyle w:val="BodyText"/>
      </w:pPr>
      <w:r>
        <w:t xml:space="preserve">The generational lesson: each successive act states more of the protective apparatus expressly — permanent fund (1864, 1875), inviolability (1875), appraisal and minimum price (1889, 1906). Where an early instrument omits a protection the later acts spell out, the receiving state’s courts have generally declined to treat the omission as a license, deriving the same obligations from the dedication itself.</w:t>
      </w:r>
      <w:r>
        <w:rPr>
          <w:rStyle w:val="FootnoteReference"/>
        </w:rPr>
        <w:footnoteReference w:id="88"/>
      </w:r>
      <w:r>
        <w:rPr>
          <w:rStyle w:val="FootnoteReference"/>
        </w:rPr>
        <w:footnoteReference w:id="89"/>
      </w:r>
    </w:p>
    <w:p>
      <w:pPr>
        <w:pStyle w:val="Heading3"/>
      </w:pPr>
      <w:bookmarkStart w:id="90" w:name="Xfbde1f44b62edb498840800d1fbe6339de770cc"/>
      <w:r>
        <w:t xml:space="preserve">§ 2.5 The four-section generation and the 1910 high-water mark</w:t>
      </w:r>
      <w:bookmarkEnd w:id="90"/>
    </w:p>
    <w:p>
      <w:pPr>
        <w:pStyle w:val="FirstParagraph"/>
      </w:pPr>
      <w:r>
        <w:t xml:space="preserve">For the arid states, Congress doubled the grant again — sections 2, 16, 32, and 36 of every township — in recognition of the diminished revenue potential of the land base.</w:t>
      </w:r>
    </w:p>
    <w:p>
      <w:pPr>
        <w:pStyle w:val="BodyText"/>
      </w:pPr>
      <w:r>
        <w:rPr>
          <w:b/>
        </w:rPr>
        <w:t xml:space="preserve">Utah (1894).</w:t>
      </w:r>
      <w:r>
        <w:t xml:space="preserve"> </w:t>
      </w:r>
      <w:r>
        <w:t xml:space="preserve">The Utah Enabling Act of July 16, 1894, 28 Stat. 107, granted the four sections in trust for common schools, with additional institutional grants, prohibited disposition at less than appraised value, and required proceeds to be held in a perpetual fund.</w:t>
      </w:r>
      <w:r>
        <w:rPr>
          <w:rStyle w:val="FootnoteReference"/>
        </w:rPr>
        <w:footnoteReference w:id="91"/>
      </w:r>
    </w:p>
    <w:p>
      <w:pPr>
        <w:pStyle w:val="BodyText"/>
      </w:pPr>
      <w:r>
        <w:rPr>
          <w:b/>
        </w:rPr>
        <w:t xml:space="preserve">New Mexico and Arizona (1910).</w:t>
      </w:r>
      <w:r>
        <w:t xml:space="preserve"> </w:t>
      </w:r>
      <w:r>
        <w:t xml:space="preserve">The New Mexico–Arizona Enabling Act of June 20, 1910, 36 Stat. 557, granted the four sections to each state on the strictest trust terms Congress ever wrote. Section 10 of the act is the federal high-water mark of school-trust drafting. It expressly characterizes the lands as held</w:t>
      </w:r>
      <w:r>
        <w:t xml:space="preserve"> </w:t>
      </w:r>
      <w:r>
        <w:t xml:space="preserve">“</w:t>
      </w:r>
      <w:r>
        <w:t xml:space="preserve">in trust</w:t>
      </w:r>
      <w:r>
        <w:t xml:space="preserve">”</w:t>
      </w:r>
      <w:r>
        <w:t xml:space="preserve">; it voids any disposition not made in substantial conformity with the act; it declares non-conforming disposition a</w:t>
      </w:r>
      <w:r>
        <w:t xml:space="preserve"> </w:t>
      </w:r>
      <w:r>
        <w:t xml:space="preserve">“</w:t>
      </w:r>
      <w:r>
        <w:t xml:space="preserve">breach of trust</w:t>
      </w:r>
      <w:r>
        <w:t xml:space="preserve">”</w:t>
      </w:r>
      <w:r>
        <w:t xml:space="preserve">; and it authorizes the Attorney General of the United States to sue the state to enforce the trust. The operative language:</w:t>
      </w:r>
    </w:p>
    <w:p>
      <w:pPr>
        <w:pStyle w:val="BlockText"/>
      </w:pPr>
      <w:r>
        <w:t xml:space="preserve">“</w:t>
      </w:r>
      <w:r>
        <w:t xml:space="preserve">All lands hereby granted … shall be by the said State held in trust, to be disposed of in whole or in part only in manner as herein provided and for the several objects specified in the respective granting and confirmatory provisions, and … the natural products and money proceeds of any of said lands shall be subject to the same trusts as the lands producing the same. … Every sale, lease, conveyance, or contract of or concerning any of the lands hereby granted or confirmed, or the use thereof or the natural products thereof, not made in substantial conformity with the provisions of this Act shall be null and void.</w:t>
      </w:r>
      <w:r>
        <w:t xml:space="preserve">”</w:t>
      </w:r>
      <w:r>
        <w:rPr>
          <w:rStyle w:val="FootnoteReference"/>
        </w:rPr>
        <w:footnoteReference w:id="92"/>
      </w:r>
      <w:r>
        <w:rPr>
          <w:rStyle w:val="FootnoteReference"/>
        </w:rPr>
        <w:footnoteReference w:id="93"/>
      </w:r>
    </w:p>
    <w:p>
      <w:pPr>
        <w:pStyle w:val="FirstParagraph"/>
      </w:pPr>
      <w:r>
        <w:t xml:space="preserve">The 1910 act packages four protections together —</w:t>
      </w:r>
      <w:r>
        <w:t xml:space="preserve"> </w:t>
      </w:r>
      <w:r>
        <w:t xml:space="preserve">“</w:t>
      </w:r>
      <w:r>
        <w:t xml:space="preserve">in trust,</w:t>
      </w:r>
      <w:r>
        <w:t xml:space="preserve">”</w:t>
      </w:r>
      <w:r>
        <w:t xml:space="preserve"> </w:t>
      </w:r>
      <w:r>
        <w:t xml:space="preserve">“</w:t>
      </w:r>
      <w:r>
        <w:t xml:space="preserve">null and void,</w:t>
      </w:r>
      <w:r>
        <w:t xml:space="preserve">”</w:t>
      </w:r>
      <w:r>
        <w:t xml:space="preserve"> </w:t>
      </w:r>
      <w:r>
        <w:t xml:space="preserve">“</w:t>
      </w:r>
      <w:r>
        <w:t xml:space="preserve">breach of trust,</w:t>
      </w:r>
      <w:r>
        <w:t xml:space="preserve">”</w:t>
      </w:r>
      <w:r>
        <w:t xml:space="preserve"> </w:t>
      </w:r>
      <w:r>
        <w:t xml:space="preserve">and federal enforcement — that earlier instruments left implicit. Its practical significance for the whole field is interpretive: the strict 1910 text is the explicit statement of the design the Supreme Court has read in the earlier instruments as well, and the 1910-act cases (</w:t>
      </w:r>
      <w:r>
        <w:rPr>
          <w:i/>
        </w:rPr>
        <w:t xml:space="preserve">Ervien</w:t>
      </w:r>
      <w:r>
        <w:t xml:space="preserve">,</w:t>
      </w:r>
      <w:r>
        <w:t xml:space="preserve"> </w:t>
      </w:r>
      <w:r>
        <w:rPr>
          <w:i/>
        </w:rPr>
        <w:t xml:space="preserve">Lassen</w:t>
      </w:r>
      <w:r>
        <w:t xml:space="preserve">,</w:t>
      </w:r>
      <w:r>
        <w:t xml:space="preserve"> </w:t>
      </w:r>
      <w:r>
        <w:rPr>
          <w:i/>
        </w:rPr>
        <w:t xml:space="preserve">Alamo</w:t>
      </w:r>
      <w:r>
        <w:t xml:space="preserve">,</w:t>
      </w:r>
      <w:r>
        <w:t xml:space="preserve"> </w:t>
      </w:r>
      <w:r>
        <w:rPr>
          <w:i/>
        </w:rPr>
        <w:t xml:space="preserve">ASARCO</w:t>
      </w:r>
      <w:r>
        <w:t xml:space="preserve">,</w:t>
      </w:r>
      <w:r>
        <w:t xml:space="preserve"> </w:t>
      </w:r>
      <w:r>
        <w:rPr>
          <w:i/>
        </w:rPr>
        <w:t xml:space="preserve">Deer Valley</w:t>
      </w:r>
      <w:r>
        <w:t xml:space="preserve">,</w:t>
      </w:r>
      <w:r>
        <w:t xml:space="preserve"> </w:t>
      </w:r>
      <w:r>
        <w:rPr>
          <w:i/>
        </w:rPr>
        <w:t xml:space="preserve">Lyons</w:t>
      </w:r>
      <w:r>
        <w:t xml:space="preserve">) supply the most developed body of disposition doctrine in the field.</w:t>
      </w:r>
    </w:p>
    <w:p>
      <w:pPr>
        <w:pStyle w:val="Heading3"/>
      </w:pPr>
      <w:bookmarkStart w:id="94" w:name="the-alaska-departure-1958"/>
      <w:r>
        <w:t xml:space="preserve">§ 2.6 The Alaska departure (1958)</w:t>
      </w:r>
      <w:bookmarkEnd w:id="94"/>
    </w:p>
    <w:p>
      <w:pPr>
        <w:pStyle w:val="FirstParagraph"/>
      </w:pPr>
      <w:r>
        <w:t xml:space="preserve">The Alaska Statehood Act of July 7, 1958, Pub. L. 85-508, 72 Stat. 339, broke the township pattern. Rather than designated sections, Alaska received a lump-sum grant of approximately 103 million acres to be selected over twenty-five years for general state purposes, plus discrete grants for the University of Alaska and for mental health programs. The act required the state, by constitutional ordinance, to disclaim all right and title to unappropriated public lands and to accept the grants as a compact with the United States.</w:t>
      </w:r>
      <w:r>
        <w:rPr>
          <w:rStyle w:val="FootnoteReference"/>
        </w:rPr>
        <w:footnoteReference w:id="95"/>
      </w:r>
      <w:r>
        <w:t xml:space="preserve"> </w:t>
      </w:r>
      <w:r>
        <w:t xml:space="preserve">Common-school support in Alaska flows principally through a different fiscal architecture (the Alaska Permanent Fund, capitalized from petroleum royalties under Article IX, Section 15 of the Alaska Constitution) rather than through a dedicated school-land trust on the western model. But where the 1958 act did create discrete trusts, the Alaska Supreme Court has enforced them as emphatically as any court in the field — refusing both silent diversion and outright termination.</w:t>
      </w:r>
      <w:r>
        <w:rPr>
          <w:rStyle w:val="FootnoteReference"/>
        </w:rPr>
        <w:footnoteReference w:id="96"/>
      </w:r>
    </w:p>
    <w:p>
      <w:pPr>
        <w:pStyle w:val="Heading3"/>
      </w:pPr>
      <w:bookmarkStart w:id="97" w:name="X814b0f50f4e33238c3c71e641fddae8b83709dc"/>
      <w:r>
        <w:t xml:space="preserve">§ 2.7 The legal character of the instruments: accepted compacts</w:t>
      </w:r>
      <w:bookmarkEnd w:id="97"/>
    </w:p>
    <w:p>
      <w:pPr>
        <w:pStyle w:val="FirstParagraph"/>
      </w:pPr>
      <w:r>
        <w:t xml:space="preserve">The instruments of every generation share one legal character: they are offers that became binding bilateral compacts upon acceptance. The proposition has three corollaries the practitioner will use constantly.</w:t>
      </w:r>
    </w:p>
    <w:p>
      <w:pPr>
        <w:pStyle w:val="BodyText"/>
      </w:pPr>
      <w:r>
        <w:rPr>
          <w:b/>
        </w:rPr>
        <w:t xml:space="preserve">First, the terms bind both sovereigns.</w:t>
      </w:r>
      <w:r>
        <w:t xml:space="preserve"> </w:t>
      </w:r>
      <w:r>
        <w:t xml:space="preserve">The Oregon act says so expressly — the terms,</w:t>
      </w:r>
      <w:r>
        <w:t xml:space="preserve"> </w:t>
      </w:r>
      <w:r>
        <w:t xml:space="preserve">“</w:t>
      </w:r>
      <w:r>
        <w:t xml:space="preserve">if accepted, shall be obligatory on the United States and upon the said State of Oregon</w:t>
      </w:r>
      <w:r>
        <w:t xml:space="preserve">”</w:t>
      </w:r>
      <w:r>
        <w:t xml:space="preserve"> </w:t>
      </w:r>
      <w:r>
        <w:t xml:space="preserve">— and the Supreme Court has treated the school-grant compacts as</w:t>
      </w:r>
      <w:r>
        <w:t xml:space="preserve"> </w:t>
      </w:r>
      <w:r>
        <w:t xml:space="preserve">“</w:t>
      </w:r>
      <w:r>
        <w:t xml:space="preserve">unalterable except by consent</w:t>
      </w:r>
      <w:r>
        <w:t xml:space="preserve">”</w:t>
      </w:r>
      <w:r>
        <w:t xml:space="preserve"> </w:t>
      </w:r>
      <w:r>
        <w:t xml:space="preserve">of both parties, so that a state legislature cannot unilaterally modify the framework its state accepted at admission.</w:t>
      </w:r>
      <w:r>
        <w:rPr>
          <w:rStyle w:val="FootnoteReference"/>
        </w:rPr>
        <w:footnoteReference w:id="98"/>
      </w:r>
      <w:r>
        <w:rPr>
          <w:rStyle w:val="FootnoteReference"/>
        </w:rPr>
        <w:footnoteReference w:id="99"/>
      </w:r>
    </w:p>
    <w:p>
      <w:pPr>
        <w:pStyle w:val="BodyText"/>
      </w:pPr>
      <w:r>
        <w:rPr>
          <w:b/>
        </w:rPr>
        <w:t xml:space="preserve">Second, the bargain is enforceable as a bargain.</w:t>
      </w:r>
      <w:r>
        <w:t xml:space="preserve"> </w:t>
      </w:r>
      <w:r>
        <w:t xml:space="preserve">The Tenth Circuit described the congressional program as</w:t>
      </w:r>
      <w:r>
        <w:t xml:space="preserve"> </w:t>
      </w:r>
      <w:r>
        <w:t xml:space="preserve">“</w:t>
      </w:r>
      <w:r>
        <w:t xml:space="preserve">bilateral in effect,</w:t>
      </w:r>
      <w:r>
        <w:t xml:space="preserve">”</w:t>
      </w:r>
      <w:r>
        <w:t xml:space="preserve"> </w:t>
      </w:r>
      <w:r>
        <w:t xml:space="preserve">creating</w:t>
      </w:r>
      <w:r>
        <w:t xml:space="preserve"> </w:t>
      </w:r>
      <w:r>
        <w:t xml:space="preserve">“</w:t>
      </w:r>
      <w:r>
        <w:t xml:space="preserve">a binding permanent trust which would generate financial aid to support the public school systems</w:t>
      </w:r>
      <w:r>
        <w:t xml:space="preserve">”</w:t>
      </w:r>
      <w:r>
        <w:t xml:space="preserve">; the Supreme Court in</w:t>
      </w:r>
      <w:r>
        <w:t xml:space="preserve"> </w:t>
      </w:r>
      <w:r>
        <w:rPr>
          <w:i/>
        </w:rPr>
        <w:t xml:space="preserve">Andrus v. Utah</w:t>
      </w:r>
      <w:r>
        <w:t xml:space="preserve"> </w:t>
      </w:r>
      <w:r>
        <w:t xml:space="preserve">described the grant as a</w:t>
      </w:r>
      <w:r>
        <w:t xml:space="preserve"> </w:t>
      </w:r>
      <w:r>
        <w:t xml:space="preserve">“</w:t>
      </w:r>
      <w:r>
        <w:t xml:space="preserve">‘</w:t>
      </w:r>
      <w:r>
        <w:t xml:space="preserve">solemn agreement</w:t>
      </w:r>
      <w:r>
        <w:t xml:space="preserve">’</w:t>
      </w:r>
      <w:r>
        <w:t xml:space="preserve"> </w:t>
      </w:r>
      <w:r>
        <w:t xml:space="preserve">which in some ways may be analogized to a contract between private parties,</w:t>
      </w:r>
      <w:r>
        <w:t xml:space="preserve">”</w:t>
      </w:r>
      <w:r>
        <w:t xml:space="preserve"> </w:t>
      </w:r>
      <w:r>
        <w:t xml:space="preserve">whose indemnity provisions exist</w:t>
      </w:r>
      <w:r>
        <w:t xml:space="preserve"> </w:t>
      </w:r>
      <w:r>
        <w:t xml:space="preserve">“</w:t>
      </w:r>
      <w:r>
        <w:t xml:space="preserve">to give the State the benefit of the bargain.</w:t>
      </w:r>
      <w:r>
        <w:t xml:space="preserve">”</w:t>
      </w:r>
      <w:r>
        <w:t xml:space="preserve"> </w:t>
      </w:r>
      <w:r>
        <w:t xml:space="preserve">Justice Powell’s dissent supplied the formulation later courts quote most often: the grants were</w:t>
      </w:r>
      <w:r>
        <w:t xml:space="preserve"> </w:t>
      </w:r>
      <w:r>
        <w:t xml:space="preserve">“</w:t>
      </w:r>
      <w:r>
        <w:t xml:space="preserve">solemn bilateral compacts between each State and the Federal Government,</w:t>
      </w:r>
      <w:r>
        <w:t xml:space="preserve">”</w:t>
      </w:r>
      <w:r>
        <w:t xml:space="preserve"> </w:t>
      </w:r>
      <w:r>
        <w:t xml:space="preserve">imposing</w:t>
      </w:r>
      <w:r>
        <w:t xml:space="preserve"> </w:t>
      </w:r>
      <w:r>
        <w:t xml:space="preserve">“</w:t>
      </w:r>
      <w:r>
        <w:t xml:space="preserve">upon the State a binding and perpetual obligation to use the granted lands for the support of public education.</w:t>
      </w:r>
      <w:r>
        <w:t xml:space="preserve">”</w:t>
      </w:r>
      <w:r>
        <w:rPr>
          <w:rStyle w:val="FootnoteReference"/>
        </w:rPr>
        <w:footnoteReference w:id="100"/>
      </w:r>
      <w:r>
        <w:rPr>
          <w:rStyle w:val="FootnoteReference"/>
        </w:rPr>
        <w:footnoteReference w:id="101"/>
      </w:r>
    </w:p>
    <w:p>
      <w:pPr>
        <w:pStyle w:val="BodyText"/>
      </w:pPr>
      <w:r>
        <w:rPr>
          <w:b/>
        </w:rPr>
        <w:t xml:space="preserve">Third, the obligations are useless without the means of performance, and the courts have implied the means.</w:t>
      </w:r>
      <w:r>
        <w:t xml:space="preserve"> </w:t>
      </w:r>
      <w:r>
        <w:t xml:space="preserve">Where trust lands were encircled by federal land, the District of Utah held the state entitled to access, because</w:t>
      </w:r>
      <w:r>
        <w:t xml:space="preserve"> </w:t>
      </w:r>
      <w:r>
        <w:t xml:space="preserve">“</w:t>
      </w:r>
      <w:r>
        <w:t xml:space="preserve">[w]ithout access the state could not develop the trust lands in any fashion and they would become economically worthless. This Congress did not intend.</w:t>
      </w:r>
      <w:r>
        <w:t xml:space="preserve">”</w:t>
      </w:r>
      <w:r>
        <w:rPr>
          <w:rStyle w:val="FootnoteReference"/>
        </w:rPr>
        <w:footnoteReference w:id="102"/>
      </w:r>
    </w:p>
    <w:p>
      <w:pPr>
        <w:pStyle w:val="Heading3"/>
      </w:pPr>
      <w:bookmarkStart w:id="103" w:name="the-continuing-federal-framework"/>
      <w:r>
        <w:t xml:space="preserve">§ 2.8 The continuing federal framework</w:t>
      </w:r>
      <w:bookmarkEnd w:id="103"/>
    </w:p>
    <w:p>
      <w:pPr>
        <w:pStyle w:val="FirstParagraph"/>
      </w:pPr>
      <w:r>
        <w:t xml:space="preserve">The granting instruments did not exhaust the federal law of the field at admission. Four continuing strands matter in practice.</w:t>
      </w:r>
    </w:p>
    <w:p>
      <w:pPr>
        <w:pStyle w:val="BodyText"/>
      </w:pPr>
      <w:r>
        <w:rPr>
          <w:b/>
        </w:rPr>
        <w:t xml:space="preserve">Codification and lieu selections.</w:t>
      </w:r>
      <w:r>
        <w:t xml:space="preserve"> </w:t>
      </w:r>
      <w:r>
        <w:t xml:space="preserve">The school-grant statutes survive in their present form at 43 U.S.C. § 851 et seq., governing among other things the selection of lieu (indemnity) lands where designated sections were lost to prior disposition or reservation.</w:t>
      </w:r>
      <w:r>
        <w:rPr>
          <w:rStyle w:val="FootnoteReference"/>
        </w:rPr>
        <w:footnoteReference w:id="104"/>
      </w:r>
      <w:r>
        <w:t xml:space="preserve"> </w:t>
      </w:r>
      <w:r>
        <w:t xml:space="preserve">Indemnity selection has generated its own litigation: in</w:t>
      </w:r>
      <w:r>
        <w:t xml:space="preserve"> </w:t>
      </w:r>
      <w:r>
        <w:rPr>
          <w:i/>
        </w:rPr>
        <w:t xml:space="preserve">Andrus v. Utah</w:t>
      </w:r>
      <w:r>
        <w:t xml:space="preserve"> </w:t>
      </w:r>
      <w:r>
        <w:t xml:space="preserve">the Supreme Court upheld the Secretary of the Interior’s</w:t>
      </w:r>
      <w:r>
        <w:t xml:space="preserve"> </w:t>
      </w:r>
      <w:r>
        <w:t xml:space="preserve">“</w:t>
      </w:r>
      <w:r>
        <w:t xml:space="preserve">grossly disparate value</w:t>
      </w:r>
      <w:r>
        <w:t xml:space="preserve">”</w:t>
      </w:r>
      <w:r>
        <w:t xml:space="preserve"> </w:t>
      </w:r>
      <w:r>
        <w:t xml:space="preserve">policy as a lawful exercise of discretion under section 7 of the Taylor Grazing Act, reversing the Tenth Circuit — a holding for the Secretary reached, importantly, within a framing that treated the underlying grant as a solemn agreement whose indemnity right exists to give the state the benefit of the bargain.</w:t>
      </w:r>
      <w:r>
        <w:rPr>
          <w:rStyle w:val="FootnoteReference"/>
        </w:rPr>
        <w:footnoteReference w:id="105"/>
      </w:r>
    </w:p>
    <w:p>
      <w:pPr>
        <w:pStyle w:val="BodyText"/>
      </w:pPr>
      <w:r>
        <w:rPr>
          <w:b/>
        </w:rPr>
        <w:t xml:space="preserve">Proceeds carry the trust.</w:t>
      </w:r>
      <w:r>
        <w:t xml:space="preserve"> </w:t>
      </w:r>
      <w:r>
        <w:t xml:space="preserve">The trust does not end at the land. The Supreme Court confirmed in</w:t>
      </w:r>
      <w:r>
        <w:t xml:space="preserve"> </w:t>
      </w:r>
      <w:r>
        <w:rPr>
          <w:i/>
        </w:rPr>
        <w:t xml:space="preserve">Alamo Land &amp; Cattle Co. v. Arizona</w:t>
      </w:r>
      <w:r>
        <w:t xml:space="preserve"> </w:t>
      </w:r>
      <w:r>
        <w:t xml:space="preserve">that proceeds of trust lands remain subject to the same trust as the lands themselves, and that the United States retains</w:t>
      </w:r>
      <w:r>
        <w:t xml:space="preserve"> </w:t>
      </w:r>
      <w:r>
        <w:t xml:space="preserve">“</w:t>
      </w:r>
      <w:r>
        <w:t xml:space="preserve">a continuing interest in the administration of both the lands and the funds which derive from them.</w:t>
      </w:r>
      <w:r>
        <w:t xml:space="preserve">”</w:t>
      </w:r>
      <w:r>
        <w:rPr>
          <w:rStyle w:val="FootnoteReference"/>
        </w:rPr>
        <w:footnoteReference w:id="106"/>
      </w:r>
      <w:r>
        <w:rPr>
          <w:rStyle w:val="FootnoteReference"/>
        </w:rPr>
        <w:footnoteReference w:id="107"/>
      </w:r>
    </w:p>
    <w:p>
      <w:pPr>
        <w:pStyle w:val="BodyText"/>
      </w:pPr>
      <w:r>
        <w:rPr>
          <w:b/>
        </w:rPr>
        <w:t xml:space="preserve">Special prevails over general.</w:t>
      </w:r>
      <w:r>
        <w:t xml:space="preserve"> </w:t>
      </w:r>
      <w:r>
        <w:t xml:space="preserve">Where later general federal legislation arguably touches trust lands, the district-court school-lands cases state the rule that special school-land legislation prevails over later general legislation. The Utah Supreme Court’s</w:t>
      </w:r>
      <w:r>
        <w:t xml:space="preserve"> </w:t>
      </w:r>
      <w:r>
        <w:rPr>
          <w:i/>
        </w:rPr>
        <w:t xml:space="preserve">Jensen v. Dinehart</w:t>
      </w:r>
      <w:r>
        <w:t xml:space="preserve"> </w:t>
      </w:r>
      <w:r>
        <w:t xml:space="preserve">must be cited with care here: the majority upheld placing school-section mineral proceeds in the currently expendable Uniform School Fund, reversing a declaratory judgment that they belonged to the permanent fund; the trust-protective reading — that the Jones Act shows no intent to remove or modify the trust restriction on sections granted under the Enabling Act — is Justice Oaks’s, concurring in part and dissenting in part, and did not command a majority.</w:t>
      </w:r>
      <w:r>
        <w:rPr>
          <w:rStyle w:val="FootnoteReference"/>
        </w:rPr>
        <w:footnoteReference w:id="108"/>
      </w:r>
    </w:p>
    <w:p>
      <w:pPr>
        <w:pStyle w:val="BodyText"/>
      </w:pPr>
      <w:r>
        <w:rPr>
          <w:b/>
        </w:rPr>
        <w:t xml:space="preserve">Federal enforcement.</w:t>
      </w:r>
      <w:r>
        <w:t xml:space="preserve"> </w:t>
      </w:r>
      <w:r>
        <w:t xml:space="preserve">Under the 1910 act the United States is an express enforcer; under the earlier instruments the United States has sued and been sued over the grants’ administration without express authorization. The subject is treated in Chapter 15.</w:t>
      </w:r>
    </w:p>
    <w:p>
      <w:r>
        <w:pict>
          <v:rect style="width:0;height:1.5pt" o:hralign="center" o:hrstd="t" o:hr="t"/>
        </w:pict>
      </w:r>
    </w:p>
    <w:p>
      <w:pPr>
        <w:pStyle w:val="FirstParagraph"/>
      </w:pPr>
      <w:r>
        <w:rPr>
          <w:i/>
        </w:rPr>
        <w:t xml:space="preserve">End of Chapter 2 v1 (renumbered from Chapter 1; numeric footnotes converted to named keys 2026-06-07). Forward: Chapter 3 (Reception into State Organic Law); Chapter 4 (the trust character question). Verification queue for this chapter (refreshed June 10, 2026): EMPTY — the June-7 queue (Kanaly 823 pin and descriptors; Platte Valley; Kleppe; University of Alaska; Weiss; Deer Valley; Clark; Jensen; Vincennes pin; ASARCO pin) is fully resolved against full opinions now in L0. Note two corrections of substance from that sweep: the Vincennes</w:t>
      </w:r>
      <w:r>
        <w:rPr>
          <w:i/>
        </w:rPr>
        <w:t xml:space="preserve"> </w:t>
      </w:r>
      <w:r>
        <w:rPr>
          <w:i/>
        </w:rPr>
        <w:t xml:space="preserve">“</w:t>
      </w:r>
      <w:r>
        <w:rPr>
          <w:i/>
        </w:rPr>
        <w:t xml:space="preserve">trustee to administer the trust</w:t>
      </w:r>
      <w:r>
        <w:rPr>
          <w:i/>
        </w:rPr>
        <w:t xml:space="preserve">”</w:t>
      </w:r>
      <w:r>
        <w:rPr>
          <w:i/>
        </w:rPr>
        <w:t xml:space="preserve"> </w:t>
      </w:r>
      <w:r>
        <w:rPr>
          <w:i/>
        </w:rPr>
        <w:t xml:space="preserve">phrase is Taney, C.J., in dissent (the majority passage is at 274), and the Jensen trust-protective characterization belonged to Oaks, J., concurring in part and dissenting in part (the majority upheld expendable-fund placement) — both corrected in the text above. Resolved June 7, 2026: 1785/1787 ordinance language (verified against the L0 Federal_Founding transcriptions); Plaquemines caption and year; the Mississippi</w:t>
      </w:r>
      <w:r>
        <w:rPr>
          <w:i/>
        </w:rPr>
        <w:t xml:space="preserve"> </w:t>
      </w:r>
      <w:r>
        <w:rPr>
          <w:i/>
        </w:rPr>
        <w:t xml:space="preserve">“</w:t>
      </w:r>
      <w:r>
        <w:rPr>
          <w:i/>
        </w:rPr>
        <w:t xml:space="preserve">spoliation</w:t>
      </w:r>
      <w:r>
        <w:rPr>
          <w:i/>
        </w:rPr>
        <w:t xml:space="preserve">”</w:t>
      </w:r>
      <w:r>
        <w:rPr>
          <w:i/>
        </w:rPr>
        <w:t xml:space="preserve"> </w:t>
      </w:r>
      <w:r>
        <w:rPr>
          <w:i/>
        </w:rPr>
        <w:t xml:space="preserve">line (neither Hill v. Thompson, 564 So. 2d 1, nor Lambert v. State, 211 Miss. 129, uses the word; § 2.3 rewritten); Jensen v. Dinehart year; the NPCA proceeds-of-trust quotation, verified verbatim against the full opinion text and pinned at 869 P.2d 909, 920 (flag cleared).</w:t>
      </w:r>
    </w:p>
    <w:p>
      <w:r>
        <w:br w:type="page"/>
      </w:r>
    </w:p>
    <w:p>
      <w:pPr>
        <w:pStyle w:val="Heading1"/>
      </w:pPr>
      <w:bookmarkStart w:id="109" w:name="X87a65183f6f5c6233745ac630766c616c4f011f"/>
      <w:r>
        <w:t xml:space="preserve">Chapter 3 — Reception into State Organic Law (v1)</w:t>
      </w:r>
      <w:bookmarkEnd w:id="109"/>
    </w:p>
    <w:p>
      <w:pPr>
        <w:pStyle w:val="FirstParagraph"/>
      </w:pPr>
      <w:r>
        <w:rPr>
          <w:i/>
        </w:rPr>
        <w:t xml:space="preserve">Status: v1, corpus-bounded draft — renumbered (formerly Chapter 2) per the 2026-06-07 chapter map and converted from numeric footnotes to named keys per</w:t>
      </w:r>
      <w:r>
        <w:rPr>
          <w:i/>
        </w:rPr>
        <w:t xml:space="preserve"> </w:t>
      </w:r>
      <w:r>
        <w:rPr>
          <w:rStyle w:val="VerbatimChar"/>
          <w:i/>
        </w:rPr>
        <w:t xml:space="preserve">_tools/CITATION_STANDARD.md</w:t>
      </w:r>
      <w:r>
        <w:rPr>
          <w:i/>
        </w:rPr>
        <w:t xml:space="preserve">; change ledger at</w:t>
      </w:r>
      <w:r>
        <w:rPr>
          <w:i/>
        </w:rPr>
        <w:t xml:space="preserve"> </w:t>
      </w:r>
      <w:r>
        <w:rPr>
          <w:rStyle w:val="VerbatimChar"/>
          <w:i/>
        </w:rPr>
        <w:t xml:space="preserve">_citation_audit/impl_ch02-05.md</w:t>
      </w:r>
      <w:r>
        <w:rPr>
          <w:i/>
        </w:rPr>
        <w:t xml:space="preserve">. Every authority herein is carried in the project’s verified research files; [VERIFY] flags mark items awaiting primary-source confirmation under quality gate G3. Passages touching the pending Oregon litigation are drawn from the public record only and carry [COUNSEL REVIEW] flags.</w:t>
      </w:r>
    </w:p>
    <w:p>
      <w:r>
        <w:pict>
          <v:rect style="width:0;height:1.5pt" o:hralign="center" o:hrstd="t" o:hr="t"/>
        </w:pict>
      </w:r>
    </w:p>
    <w:p>
      <w:pPr>
        <w:pStyle w:val="Heading3"/>
      </w:pPr>
      <w:bookmarkStart w:id="110" w:name="the-second-instrument"/>
      <w:r>
        <w:t xml:space="preserve">§ 3.1 The second instrument</w:t>
      </w:r>
      <w:bookmarkEnd w:id="110"/>
    </w:p>
    <w:p>
      <w:pPr>
        <w:pStyle w:val="FirstParagraph"/>
      </w:pPr>
      <w:r>
        <w:t xml:space="preserve">Every school trust rests on two instruments, not one. The federal enabling or admission act made the offer; the state — by constitution, by constitutional ordinance, or by formal legislative acceptance of the congressional propositions — closed the bargain and carried the grant into its own organic law. Chapter 2 treated the federal half. This chapter treats the state half: how each receiving state wrote the grant into its constitution, what protective machinery the constitutions added, which standards and bodies they prescribed for administration, and what happens when a state later amends the receiving provisions.</w:t>
      </w:r>
    </w:p>
    <w:p>
      <w:pPr>
        <w:pStyle w:val="BodyText"/>
      </w:pPr>
      <w:r>
        <w:t xml:space="preserve">Reception matters doctrinally for two reasons. First, acceptance is what converts the congressional offer into a binding bilateral compact,</w:t>
      </w:r>
      <w:r>
        <w:t xml:space="preserve"> </w:t>
      </w:r>
      <w:r>
        <w:t xml:space="preserve">“</w:t>
      </w:r>
      <w:r>
        <w:t xml:space="preserve">unalterable except by consent</w:t>
      </w:r>
      <w:r>
        <w:t xml:space="preserve">”</w:t>
      </w:r>
      <w:r>
        <w:t xml:space="preserve"> </w:t>
      </w:r>
      <w:r>
        <w:t xml:space="preserve">of both parties, so that neither sovereign may thereafter modify the framework alone.</w:t>
      </w:r>
      <w:r>
        <w:rPr>
          <w:rStyle w:val="FootnoteReference"/>
        </w:rPr>
        <w:footnoteReference w:id="111"/>
      </w:r>
      <w:r>
        <w:rPr>
          <w:rStyle w:val="FootnoteReference"/>
        </w:rPr>
        <w:footnoteReference w:id="112"/>
      </w:r>
      <w:r>
        <w:t xml:space="preserve"> </w:t>
      </w:r>
      <w:r>
        <w:t xml:space="preserve">Second, where the state’s own constitution designates the lands or fund a trust, the designation incorporates the law of trusts into the constitution itself — the Nebraska rule developed at § 4.3 — so that the practitioner’s first question in any jurisdiction is not only</w:t>
      </w:r>
      <w:r>
        <w:t xml:space="preserve"> </w:t>
      </w:r>
      <w:r>
        <w:t xml:space="preserve">“</w:t>
      </w:r>
      <w:r>
        <w:t xml:space="preserve">what did Congress grant?</w:t>
      </w:r>
      <w:r>
        <w:t xml:space="preserve">”</w:t>
      </w:r>
      <w:r>
        <w:t xml:space="preserve"> </w:t>
      </w:r>
      <w:r>
        <w:t xml:space="preserve">but</w:t>
      </w:r>
      <w:r>
        <w:t xml:space="preserve"> </w:t>
      </w:r>
      <w:r>
        <w:t xml:space="preserve">“</w:t>
      </w:r>
      <w:r>
        <w:t xml:space="preserve">what did the receiving constitution do with the grant?</w:t>
      </w:r>
      <w:r>
        <w:t xml:space="preserve">”</w:t>
      </w:r>
      <w:r>
        <w:t xml:space="preserve"> </w:t>
      </w:r>
      <w:r>
        <w:t xml:space="preserve">The answer determines whether a breach claim sounds in federal compact law, in state constitutional law, or — as in most of the litigated cases — in both at once.</w:t>
      </w:r>
    </w:p>
    <w:p>
      <w:pPr>
        <w:pStyle w:val="Heading3"/>
      </w:pPr>
      <w:bookmarkStart w:id="113" w:name="what-acceptance-accomplishes"/>
      <w:r>
        <w:t xml:space="preserve">§ 3.2 What acceptance accomplishes</w:t>
      </w:r>
      <w:bookmarkEnd w:id="113"/>
    </w:p>
    <w:p>
      <w:pPr>
        <w:pStyle w:val="FirstParagraph"/>
      </w:pPr>
      <w:r>
        <w:t xml:space="preserve">The legal consequence of acceptance is symmetry of obligation. The Oregon instrument states the rule expressly — the propositions,</w:t>
      </w:r>
      <w:r>
        <w:t xml:space="preserve"> </w:t>
      </w:r>
      <w:r>
        <w:t xml:space="preserve">“</w:t>
      </w:r>
      <w:r>
        <w:t xml:space="preserve">if accepted, shall be obligatory on the United States and upon the said State of Oregon</w:t>
      </w:r>
      <w:r>
        <w:t xml:space="preserve">”</w:t>
      </w:r>
      <w:r>
        <w:t xml:space="preserve"> </w:t>
      </w:r>
      <w:r>
        <w:t xml:space="preserve">— and the courts have given acceptance its contractual effect: the school lands are</w:t>
      </w:r>
      <w:r>
        <w:t xml:space="preserve"> </w:t>
      </w:r>
      <w:r>
        <w:t xml:space="preserve">“</w:t>
      </w:r>
      <w:r>
        <w:t xml:space="preserve">held in trust by the state under a contractual and constitutional obligation,</w:t>
      </w:r>
      <w:r>
        <w:t xml:space="preserve">”</w:t>
      </w:r>
      <w:r>
        <w:t xml:space="preserve"> </w:t>
      </w:r>
      <w:r>
        <w:t xml:space="preserve">and the grant once accepted is variously an</w:t>
      </w:r>
      <w:r>
        <w:t xml:space="preserve"> </w:t>
      </w:r>
      <w:r>
        <w:t xml:space="preserve">“</w:t>
      </w:r>
      <w:r>
        <w:t xml:space="preserve">irrevocable compact,</w:t>
      </w:r>
      <w:r>
        <w:t xml:space="preserve">”</w:t>
      </w:r>
      <w:r>
        <w:t xml:space="preserve"> </w:t>
      </w:r>
      <w:r>
        <w:t xml:space="preserve">a</w:t>
      </w:r>
      <w:r>
        <w:t xml:space="preserve"> </w:t>
      </w:r>
      <w:r>
        <w:t xml:space="preserve">“</w:t>
      </w:r>
      <w:r>
        <w:t xml:space="preserve">solemn agreement,</w:t>
      </w:r>
      <w:r>
        <w:t xml:space="preserve">”</w:t>
      </w:r>
      <w:r>
        <w:t xml:space="preserve"> </w:t>
      </w:r>
      <w:r>
        <w:t xml:space="preserve">and a</w:t>
      </w:r>
      <w:r>
        <w:t xml:space="preserve"> </w:t>
      </w:r>
      <w:r>
        <w:t xml:space="preserve">“</w:t>
      </w:r>
      <w:r>
        <w:t xml:space="preserve">contract.</w:t>
      </w:r>
      <w:r>
        <w:t xml:space="preserve">”</w:t>
      </w:r>
      <w:r>
        <w:rPr>
          <w:rStyle w:val="FootnoteReference"/>
        </w:rPr>
        <w:footnoteReference w:id="114"/>
      </w:r>
      <w:r>
        <w:rPr>
          <w:rStyle w:val="FootnoteReference"/>
        </w:rPr>
        <w:footnoteReference w:id="115"/>
      </w:r>
    </w:p>
    <w:p>
      <w:pPr>
        <w:pStyle w:val="BodyText"/>
      </w:pPr>
      <w:r>
        <w:t xml:space="preserve">Two practice points follow. First, the acceptance instrument is itself a document the practitioner should pull and read; in litigation over an early grant whose protective vocabulary is thin, the acceptance is half the compact and frames what the state promised. Second, because the compact binds both sovereigns, a later amendment to the</w:t>
      </w:r>
      <w:r>
        <w:t xml:space="preserve"> </w:t>
      </w:r>
      <w:r>
        <w:rPr>
          <w:i/>
        </w:rPr>
        <w:t xml:space="preserve">state</w:t>
      </w:r>
      <w:r>
        <w:t xml:space="preserve"> </w:t>
      </w:r>
      <w:r>
        <w:t xml:space="preserve">constitution cannot alter the</w:t>
      </w:r>
      <w:r>
        <w:t xml:space="preserve"> </w:t>
      </w:r>
      <w:r>
        <w:rPr>
          <w:i/>
        </w:rPr>
        <w:t xml:space="preserve">federal</w:t>
      </w:r>
      <w:r>
        <w:t xml:space="preserve"> </w:t>
      </w:r>
      <w:r>
        <w:t xml:space="preserve">terms — the principle behind the congressional-consent episode treated at § 3.6.</w:t>
      </w:r>
    </w:p>
    <w:p>
      <w:pPr>
        <w:pStyle w:val="Heading3"/>
      </w:pPr>
      <w:bookmarkStart w:id="116" w:name="Xd072b90489e0853962723d5fdf1f5f63d2d24bc"/>
      <w:r>
        <w:t xml:space="preserve">§ 3.3 Incorporation: permanent-fund and inviolability clauses</w:t>
      </w:r>
      <w:bookmarkEnd w:id="116"/>
    </w:p>
    <w:p>
      <w:pPr>
        <w:pStyle w:val="FirstParagraph"/>
      </w:pPr>
      <w:r>
        <w:t xml:space="preserve">The receiving constitutions did not merely accept; they elaborated. The most consequential elaboration is the permanent fund — a constitutionally separate corpus into which proceeds of the granted lands flow and out of which only income may be distributed — and the inviolability clause guarding it.</w:t>
      </w:r>
    </w:p>
    <w:p>
      <w:pPr>
        <w:pStyle w:val="BodyText"/>
      </w:pPr>
      <w:r>
        <w:t xml:space="preserve">The constitutional vocabulary varies in strength. Montana’s is the most explicit: the fund must</w:t>
      </w:r>
      <w:r>
        <w:t xml:space="preserve"> </w:t>
      </w:r>
      <w:r>
        <w:t xml:space="preserve">“</w:t>
      </w:r>
      <w:r>
        <w:t xml:space="preserve">forever remain inviolate, guaranteed by the state against loss or diversion.</w:t>
      </w:r>
      <w:r>
        <w:t xml:space="preserve">”</w:t>
      </w:r>
      <w:r>
        <w:rPr>
          <w:rStyle w:val="FootnoteReference"/>
        </w:rPr>
        <w:footnoteReference w:id="117"/>
      </w:r>
      <w:r>
        <w:rPr>
          <w:rStyle w:val="FootnoteReference"/>
        </w:rPr>
        <w:footnoteReference w:id="118"/>
      </w:r>
      <w:r>
        <w:t xml:space="preserve"> </w:t>
      </w:r>
      <w:r>
        <w:t xml:space="preserve">Idaho establishes the public school permanent endowment fund as inviolate, with only interest and other income available for current distribution. Nebraska’s perpetual school fund provision supplied the textual hook for the constitutional-incorporation trilogy of § 4.3. Oregon’s Article VIII, section 2 establishes the Common School Fund, the fund Oregon’s own historiography denominates the irreducible school fund [VERIFY exact wording of Or. Const. art. VIII, § 2 as amended; the corpus carries the characterization</w:t>
      </w:r>
      <w:r>
        <w:t xml:space="preserve"> </w:t>
      </w:r>
      <w:r>
        <w:t xml:space="preserve">“</w:t>
      </w:r>
      <w:r>
        <w:t xml:space="preserve">separate and irreducible</w:t>
      </w:r>
      <w:r>
        <w:t xml:space="preserve">”</w:t>
      </w:r>
      <w:r>
        <w:t xml:space="preserve">]. New Mexico’s Article XII establishes the Land Grant Permanent Fund, constitutionally separate and inviolate. Oklahoma’s organic documents designate the school lands and funds a</w:t>
      </w:r>
      <w:r>
        <w:t xml:space="preserve"> </w:t>
      </w:r>
      <w:r>
        <w:t xml:space="preserve">“</w:t>
      </w:r>
      <w:r>
        <w:t xml:space="preserve">sacred trust</w:t>
      </w:r>
      <w:r>
        <w:t xml:space="preserve">”</w:t>
      </w:r>
      <w:r>
        <w:t xml:space="preserve"> </w:t>
      </w:r>
      <w:r>
        <w:t xml:space="preserve">— the designation the Oklahoma Supreme Court held</w:t>
      </w:r>
      <w:r>
        <w:t xml:space="preserve"> </w:t>
      </w:r>
      <w:r>
        <w:t xml:space="preserve">“</w:t>
      </w:r>
      <w:r>
        <w:t xml:space="preserve">has the effect of irrevocably incorporating into the Enabling Act, Oklahoma Constitution, and conditions of the grant, all of the rules of law and duties governing the administration of trusts.</w:t>
      </w:r>
      <w:r>
        <w:t xml:space="preserve">”</w:t>
      </w:r>
      <w:r>
        <w:rPr>
          <w:rStyle w:val="FootnoteReference"/>
        </w:rPr>
        <w:footnoteReference w:id="119"/>
      </w:r>
    </w:p>
    <w:p>
      <w:pPr>
        <w:pStyle w:val="BodyText"/>
      </w:pPr>
      <w:r>
        <w:t xml:space="preserve">The incorporation consequence is the load-bearing one. Where the constitution fixes the state’s status as trustee,</w:t>
      </w:r>
      <w:r>
        <w:t xml:space="preserve"> </w:t>
      </w:r>
      <w:r>
        <w:t xml:space="preserve">“</w:t>
      </w:r>
      <w:r>
        <w:t xml:space="preserve">a violation of its duty as a trustee is a violation of the Constitution itself,</w:t>
      </w:r>
      <w:r>
        <w:t xml:space="preserve">”</w:t>
      </w:r>
      <w:r>
        <w:t xml:space="preserve"> </w:t>
      </w:r>
      <w:r>
        <w:t xml:space="preserve">invalidating the legislation authorizing the breach.</w:t>
      </w:r>
      <w:r>
        <w:rPr>
          <w:rStyle w:val="FootnoteReference"/>
        </w:rPr>
        <w:footnoteReference w:id="120"/>
      </w:r>
      <w:r>
        <w:t xml:space="preserve"> </w:t>
      </w:r>
      <w:r>
        <w:t xml:space="preserve">The full development is at § 4.3; the point for this chapter is that the strength of a state’s incorporation language is the first thing to assess when reading any state’s receiving constitution, because it determines whether trust-law argument can be made</w:t>
      </w:r>
      <w:r>
        <w:t xml:space="preserve"> </w:t>
      </w:r>
      <w:r>
        <w:rPr>
          <w:i/>
        </w:rPr>
        <w:t xml:space="preserve">as</w:t>
      </w:r>
      <w:r>
        <w:t xml:space="preserve"> </w:t>
      </w:r>
      <w:r>
        <w:t xml:space="preserve">constitutional argument.</w:t>
      </w:r>
    </w:p>
    <w:p>
      <w:pPr>
        <w:pStyle w:val="BodyText"/>
      </w:pPr>
      <w:r>
        <w:t xml:space="preserve">One structural outlier deserves note. Alaska’s Article IX, section 15 establishes the Alaska Permanent Fund, capitalized from petroleum royalties — the principal vehicle of common-school support in a state whose 1958 grant departed from the township pattern (§ 2.6). The Permanent Fund is a constitutional fund but not a school-lands trust fund on the western model, and the western doctrinal frame reaches it only by analogy.</w:t>
      </w:r>
      <w:r>
        <w:rPr>
          <w:rStyle w:val="FootnoteReference"/>
        </w:rPr>
        <w:footnoteReference w:id="121"/>
      </w:r>
    </w:p>
    <w:p>
      <w:pPr>
        <w:pStyle w:val="BodyText"/>
      </w:pPr>
      <w:r>
        <w:t xml:space="preserve">A second variation is the two-tier corpus problem. A state may hold both constitutional trust assets (the granted sections and their proceeds) and other lands added to the same fund by statute. Oregon’s Supreme Court has held that the constitutional restrictions</w:t>
      </w:r>
      <w:r>
        <w:t xml:space="preserve"> </w:t>
      </w:r>
      <w:r>
        <w:t xml:space="preserve">“</w:t>
      </w:r>
      <w:r>
        <w:t xml:space="preserve">would not necessarily restrict the use of funds deriving from state lands other than those listed in section 2</w:t>
      </w:r>
      <w:r>
        <w:t xml:space="preserve">”</w:t>
      </w:r>
      <w:r>
        <w:t xml:space="preserve"> </w:t>
      </w:r>
      <w:r>
        <w:t xml:space="preserve">— the constitutional/statutory distinction — and the Oregon Attorney General has likewise advised that constitutional Common School Fund assets require a net-financial-benefit finding while lands held under the equal-footing doctrine receive</w:t>
      </w:r>
      <w:r>
        <w:t xml:space="preserve"> </w:t>
      </w:r>
      <w:r>
        <w:t xml:space="preserve">“</w:t>
      </w:r>
      <w:r>
        <w:t xml:space="preserve">wide latitude.</w:t>
      </w:r>
      <w:r>
        <w:t xml:space="preserve">”</w:t>
      </w:r>
      <w:r>
        <w:rPr>
          <w:rStyle w:val="FootnoteReference"/>
        </w:rPr>
        <w:footnoteReference w:id="122"/>
      </w:r>
      <w:r>
        <w:rPr>
          <w:rStyle w:val="FootnoteReference"/>
        </w:rPr>
        <w:footnoteReference w:id="123"/>
      </w:r>
      <w:r>
        <w:t xml:space="preserve"> </w:t>
      </w:r>
      <w:r>
        <w:t xml:space="preserve">The practitioner’s diligence item in every state: identify whether the asset in dispute is constitutional-trust corpus, statutory addition, or sovereign-title land, because the applicable duties may differ by tier. (The sovereign-title category is developed in Chapter 5.)</w:t>
      </w:r>
    </w:p>
    <w:p>
      <w:pPr>
        <w:pStyle w:val="Heading3"/>
      </w:pPr>
      <w:bookmarkStart w:id="124" w:name="management-mandates"/>
      <w:r>
        <w:t xml:space="preserve">§ 3.4 Management mandates</w:t>
      </w:r>
      <w:bookmarkEnd w:id="124"/>
    </w:p>
    <w:p>
      <w:pPr>
        <w:pStyle w:val="FirstParagraph"/>
      </w:pPr>
      <w:r>
        <w:t xml:space="preserve">Beyond guarding the corpus, the receiving constitutions prescribe a standard of management. Two formulations dominate the modern litigation.</w:t>
      </w:r>
    </w:p>
    <w:p>
      <w:pPr>
        <w:pStyle w:val="BodyText"/>
      </w:pPr>
      <w:r>
        <w:rPr>
          <w:b/>
        </w:rPr>
        <w:t xml:space="preserve">“</w:t>
      </w:r>
      <w:r>
        <w:rPr>
          <w:b/>
        </w:rPr>
        <w:t xml:space="preserve">Maximum long term financial return.</w:t>
      </w:r>
      <w:r>
        <w:rPr>
          <w:b/>
        </w:rPr>
        <w:t xml:space="preserve">”</w:t>
      </w:r>
      <w:r>
        <w:t xml:space="preserve"> </w:t>
      </w:r>
      <w:r>
        <w:t xml:space="preserve">Idaho’s Article IX, section 8 directs that the granted lands be managed</w:t>
      </w:r>
      <w:r>
        <w:t xml:space="preserve"> </w:t>
      </w:r>
      <w:r>
        <w:t xml:space="preserve">“</w:t>
      </w:r>
      <w:r>
        <w:t xml:space="preserve">in such manner as will secure the maximum long term financial return to the institution to which granted.</w:t>
      </w:r>
      <w:r>
        <w:t xml:space="preserve">”</w:t>
      </w:r>
      <w:r>
        <w:t xml:space="preserve"> </w:t>
      </w:r>
      <w:r>
        <w:t xml:space="preserve">The Idaho Supreme Court has read the clause as an enforceable fiduciary mandate with bite: it invalidated the land board’s grazing-lease conflict rules to the extent they preferred existing lessees over higher competitive bids, because the constitutional standard required true competitive auction.</w:t>
      </w:r>
      <w:r>
        <w:rPr>
          <w:rStyle w:val="FootnoteReference"/>
        </w:rPr>
        <w:footnoteReference w:id="125"/>
      </w:r>
      <w:r>
        <w:rPr>
          <w:rStyle w:val="FootnoteReference"/>
        </w:rPr>
        <w:footnoteReference w:id="126"/>
      </w:r>
    </w:p>
    <w:p>
      <w:pPr>
        <w:pStyle w:val="BodyText"/>
      </w:pPr>
      <w:r>
        <w:rPr>
          <w:b/>
        </w:rPr>
        <w:t xml:space="preserve">“</w:t>
      </w:r>
      <w:r>
        <w:rPr>
          <w:b/>
        </w:rPr>
        <w:t xml:space="preserve">Greatest benefit.</w:t>
      </w:r>
      <w:r>
        <w:rPr>
          <w:b/>
        </w:rPr>
        <w:t xml:space="preserve">”</w:t>
      </w:r>
      <w:r>
        <w:t xml:space="preserve"> </w:t>
      </w:r>
      <w:r>
        <w:t xml:space="preserve">Oregon’s Article VIII, section 5(2), as amended in 1968, directs the State Land Board to</w:t>
      </w:r>
      <w:r>
        <w:t xml:space="preserve"> </w:t>
      </w:r>
      <w:r>
        <w:t xml:space="preserve">“</w:t>
      </w:r>
      <w:r>
        <w:t xml:space="preserve">manage lands under its jurisdiction with the object of obtaining the greatest benefit for the people of this state, consistent with the conservation of this resource under sound techniques of land management.</w:t>
      </w:r>
      <w:r>
        <w:t xml:space="preserve">”</w:t>
      </w:r>
      <w:r>
        <w:rPr>
          <w:rStyle w:val="FootnoteReference"/>
        </w:rPr>
        <w:footnoteReference w:id="127"/>
      </w:r>
      <w:r>
        <w:t xml:space="preserve"> </w:t>
      </w:r>
      <w:r>
        <w:t xml:space="preserve">The Oregon Supreme Court has construed the clause twice in ways every Oregon practitioner must hold together. In</w:t>
      </w:r>
      <w:r>
        <w:t xml:space="preserve"> </w:t>
      </w:r>
      <w:r>
        <w:rPr>
          <w:i/>
        </w:rPr>
        <w:t xml:space="preserve">Johnson</w:t>
      </w:r>
      <w:r>
        <w:t xml:space="preserve"> </w:t>
      </w:r>
      <w:r>
        <w:t xml:space="preserve">the court held that</w:t>
      </w:r>
      <w:r>
        <w:t xml:space="preserve"> </w:t>
      </w:r>
      <w:r>
        <w:t xml:space="preserve">“</w:t>
      </w:r>
      <w:r>
        <w:t xml:space="preserve">the determination of the proper use of common school funds is a legislative one, subject to the overall requirement that the use have as its goal the greater public benefit</w:t>
      </w:r>
      <w:r>
        <w:t xml:space="preserve">”</w:t>
      </w:r>
      <w:r>
        <w:t xml:space="preserve"> </w:t>
      </w:r>
      <w:r>
        <w:t xml:space="preserve">— and, in the same passage, that the constitutional goal requires the Board and the legislature</w:t>
      </w:r>
      <w:r>
        <w:t xml:space="preserve"> </w:t>
      </w:r>
      <w:r>
        <w:t xml:space="preserve">“</w:t>
      </w:r>
      <w:r>
        <w:t xml:space="preserve">to use lands dedicated to the common school fund in such a way as to derive the greatest net profit for the people of this state.</w:t>
      </w:r>
      <w:r>
        <w:t xml:space="preserve">”</w:t>
      </w:r>
      <w:r>
        <w:rPr>
          <w:rStyle w:val="FootnoteReference"/>
        </w:rPr>
        <w:footnoteReference w:id="128"/>
      </w:r>
      <w:r>
        <w:t xml:space="preserve"> </w:t>
      </w:r>
      <w:r>
        <w:t xml:space="preserve">In</w:t>
      </w:r>
      <w:r>
        <w:t xml:space="preserve"> </w:t>
      </w:r>
      <w:r>
        <w:rPr>
          <w:i/>
        </w:rPr>
        <w:t xml:space="preserve">Cascadia Wildlands</w:t>
      </w:r>
      <w:r>
        <w:t xml:space="preserve"> </w:t>
      </w:r>
      <w:r>
        <w:t xml:space="preserve">the court rejected a claimed constitutional</w:t>
      </w:r>
      <w:r>
        <w:t xml:space="preserve"> </w:t>
      </w:r>
      <w:r>
        <w:t xml:space="preserve">“</w:t>
      </w:r>
      <w:r>
        <w:t xml:space="preserve">core function</w:t>
      </w:r>
      <w:r>
        <w:t xml:space="preserve">”</w:t>
      </w:r>
      <w:r>
        <w:t xml:space="preserve"> </w:t>
      </w:r>
      <w:r>
        <w:t xml:space="preserve">of net-revenue maximization that would invalidate a statute withdrawing lands from sale, while stating in the same passage that</w:t>
      </w:r>
      <w:r>
        <w:t xml:space="preserve"> </w:t>
      </w:r>
      <w:r>
        <w:t xml:space="preserve">“</w:t>
      </w:r>
      <w:r>
        <w:t xml:space="preserve">[i]n some circumstances, the</w:t>
      </w:r>
      <w:r>
        <w:t xml:space="preserve"> </w:t>
      </w:r>
      <w:r>
        <w:t xml:space="preserve">‘</w:t>
      </w:r>
      <w:r>
        <w:t xml:space="preserve">greatest benefit</w:t>
      </w:r>
      <w:r>
        <w:t xml:space="preserve">’</w:t>
      </w:r>
      <w:r>
        <w:t xml:space="preserve"> </w:t>
      </w:r>
      <w:r>
        <w:t xml:space="preserve">mandate may require the State Land Board to maximize net profit, for example, by obtaining the best price for the authorized sale of timber on common school lands.</w:t>
      </w:r>
      <w:r>
        <w:t xml:space="preserve">”</w:t>
      </w:r>
      <w:r>
        <w:rPr>
          <w:rStyle w:val="FootnoteReference"/>
        </w:rPr>
        <w:footnoteReference w:id="129"/>
      </w:r>
      <w:r>
        <w:t xml:space="preserve"> </w:t>
      </w:r>
      <w:r>
        <w:t xml:space="preserve">The two halves — legislative design authority, and a financial-return duty operating within it — are both live, and the pending Oregon litigation contests where the line between them runs. [COUNSEL REVIEW — characterization of the contested ground in 24CV38372.]</w:t>
      </w:r>
    </w:p>
    <w:p>
      <w:pPr>
        <w:pStyle w:val="BodyText"/>
      </w:pPr>
      <w:r>
        <w:t xml:space="preserve">The state’s own law officers have repeatedly read the mandates in fiduciary terms. The leading Oregon opinion states that the Common School Fund</w:t>
      </w:r>
      <w:r>
        <w:t xml:space="preserve"> </w:t>
      </w:r>
      <w:r>
        <w:t xml:space="preserve">“</w:t>
      </w:r>
      <w:r>
        <w:t xml:space="preserve">is a trust which must be invested … only in such manner as will obtain the maximum financial benefit over time to the fund.</w:t>
      </w:r>
      <w:r>
        <w:t xml:space="preserve">”</w:t>
      </w:r>
      <w:r>
        <w:rPr>
          <w:rStyle w:val="FootnoteReference"/>
        </w:rPr>
        <w:footnoteReference w:id="130"/>
      </w:r>
      <w:r>
        <w:t xml:space="preserve"> </w:t>
      </w:r>
      <w:r>
        <w:t xml:space="preserve">The full development of the productivity duty — including the relationship of sustained yield to prudence — is Chapter 7.</w:t>
      </w:r>
    </w:p>
    <w:p>
      <w:pPr>
        <w:pStyle w:val="Heading3"/>
      </w:pPr>
      <w:bookmarkStart w:id="131" w:name="the-administering-bodies"/>
      <w:r>
        <w:t xml:space="preserve">§ 3.5 The administering bodies</w:t>
      </w:r>
      <w:bookmarkEnd w:id="131"/>
    </w:p>
    <w:p>
      <w:pPr>
        <w:pStyle w:val="FirstParagraph"/>
      </w:pPr>
      <w:r>
        <w:t xml:space="preserve">The receiving constitutions assign administration to one of three structural designs, and the design choice has doctrinal consequences.</w:t>
      </w:r>
    </w:p>
    <w:p>
      <w:pPr>
        <w:pStyle w:val="BodyText"/>
      </w:pPr>
      <w:r>
        <w:rPr>
          <w:b/>
        </w:rPr>
        <w:t xml:space="preserve">Ex officio land boards.</w:t>
      </w:r>
      <w:r>
        <w:t xml:space="preserve"> </w:t>
      </w:r>
      <w:r>
        <w:t xml:space="preserve">The oldest and most common design places the trust under a board of senior elected officials serving by virtue of their other offices. Oregon’s Article VIII, section 5</w:t>
      </w:r>
      <w:r>
        <w:t xml:space="preserve"> </w:t>
      </w:r>
      <w:r>
        <w:t xml:space="preserve">“</w:t>
      </w:r>
      <w:r>
        <w:t xml:space="preserve">calls for the formation of the State Land Board to dispose of and manage lands described in section 2, and also lands owned by the state placed under the State Land Board’s jurisdiction by law</w:t>
      </w:r>
      <w:r>
        <w:t xml:space="preserve">”</w:t>
      </w:r>
      <w:r>
        <w:t xml:space="preserve">; the Board has held and managed the lands since the early statehood era, with the Department of State Lands as its modern administrative arm.</w:t>
      </w:r>
      <w:r>
        <w:rPr>
          <w:rStyle w:val="FootnoteReference"/>
        </w:rPr>
        <w:footnoteReference w:id="132"/>
      </w:r>
      <w:r>
        <w:rPr>
          <w:rStyle w:val="FootnoteReference"/>
        </w:rPr>
        <w:footnoteReference w:id="133"/>
      </w:r>
      <w:r>
        <w:t xml:space="preserve"> </w:t>
      </w:r>
      <w:r>
        <w:t xml:space="preserve">The structural feature the practitioner must see is that an ex officio board fuses the trustee role with offices whose principal duties run to the general public — the two-capacities problem developed in Chapter 5 and the divided-loyalty cases of Chapter 6.</w:t>
      </w:r>
    </w:p>
    <w:p>
      <w:pPr>
        <w:pStyle w:val="BodyText"/>
      </w:pPr>
      <w:r>
        <w:rPr>
          <w:b/>
        </w:rPr>
        <w:t xml:space="preserve">Elected single fiduciaries.</w:t>
      </w:r>
      <w:r>
        <w:t xml:space="preserve"> </w:t>
      </w:r>
      <w:r>
        <w:t xml:space="preserve">New Mexico — uniquely among the public-land states, per the corpus — vested the trust in a single statewide elected fiduciary, the Commissioner of Public Lands, under Article XIII, section 1 of its 1911 Constitution.</w:t>
      </w:r>
      <w:r>
        <w:rPr>
          <w:rStyle w:val="FootnoteReference"/>
        </w:rPr>
        <w:footnoteReference w:id="134"/>
      </w:r>
      <w:r>
        <w:t xml:space="preserve"> </w:t>
      </w:r>
      <w:r>
        <w:t xml:space="preserve">South Dakota likewise elects a Commissioner of School and Public Lands who heads the administering office. Election concentrates accountability in one officer; it also makes the trustee a political actor, with the enforcement consequences examined in Chapters 13 and 14.</w:t>
      </w:r>
    </w:p>
    <w:p>
      <w:pPr>
        <w:pStyle w:val="BodyText"/>
      </w:pPr>
      <w:r>
        <w:rPr>
          <w:b/>
        </w:rPr>
        <w:t xml:space="preserve">Single-purpose agencies.</w:t>
      </w:r>
      <w:r>
        <w:t xml:space="preserve"> </w:t>
      </w:r>
      <w:r>
        <w:t xml:space="preserve">The modern reform design separates trust administration from general government: Utah’s School and Institutional Trust Lands Administration (SITLA) manages the lands and its School and Institutional Trust Fund Office (SITFO) manages the corpus, under a single-mandate charter. The design and its open problems are Chapter 19’s subject.</w:t>
      </w:r>
      <w:r>
        <w:rPr>
          <w:rStyle w:val="FootnoteReference"/>
        </w:rPr>
        <w:footnoteReference w:id="135"/>
      </w:r>
    </w:p>
    <w:p>
      <w:pPr>
        <w:pStyle w:val="BodyText"/>
      </w:pPr>
      <w:r>
        <w:rPr>
          <w:b/>
        </w:rPr>
        <w:t xml:space="preserve">Local trustees.</w:t>
      </w:r>
      <w:r>
        <w:t xml:space="preserve"> </w:t>
      </w:r>
      <w:r>
        <w:t xml:space="preserve">The township-trust states administer locally: Louisiana’s parish school boards function as statutory trustees for the Section 16 lands within their parish, and Mississippi’s school districts act as trustees for their Sixteenth Section lands, each under state-level supervision (§ 2.3).</w:t>
      </w:r>
      <w:r>
        <w:rPr>
          <w:rStyle w:val="FootnoteReference"/>
        </w:rPr>
        <w:footnoteReference w:id="136"/>
      </w:r>
    </w:p>
    <w:p>
      <w:pPr>
        <w:pStyle w:val="BodyText"/>
      </w:pPr>
      <w:r>
        <w:t xml:space="preserve">Whatever the design, the allocation of final authority is justiciable. Oregon’s Attorney General has concluded that the State Land Board — not the Board of Forestry — holds final policy authority over Common School forest lands, and the Oregon Supreme Court held early that the Board is bound by the statutory framework governing its dispositions: deeds issued in violation of statutorily required procedures are void.</w:t>
      </w:r>
      <w:r>
        <w:rPr>
          <w:rStyle w:val="FootnoteReference"/>
        </w:rPr>
        <w:footnoteReference w:id="137"/>
      </w:r>
    </w:p>
    <w:p>
      <w:pPr>
        <w:pStyle w:val="Heading3"/>
      </w:pPr>
      <w:bookmarkStart w:id="138" w:name="amendment-of-the-receiving-provisions"/>
      <w:r>
        <w:t xml:space="preserve">§ 3.6 Amendment of the receiving provisions</w:t>
      </w:r>
      <w:bookmarkEnd w:id="138"/>
    </w:p>
    <w:p>
      <w:pPr>
        <w:pStyle w:val="FirstParagraph"/>
      </w:pPr>
      <w:r>
        <w:t xml:space="preserve">A state may amend its own constitution; the school-grant compact constrains what the amendment can lawfully do. Three modern episodes mark the doctrine’s range.</w:t>
      </w:r>
    </w:p>
    <w:p>
      <w:pPr>
        <w:pStyle w:val="BodyText"/>
      </w:pPr>
      <w:r>
        <w:rPr>
          <w:b/>
        </w:rPr>
        <w:t xml:space="preserve">Oregon, 1968.</w:t>
      </w:r>
      <w:r>
        <w:t xml:space="preserve"> </w:t>
      </w:r>
      <w:r>
        <w:t xml:space="preserve">Voters amended Article VIII, sections 2 and 5. As the Oregon Supreme Court has described the change, section 2</w:t>
      </w:r>
      <w:r>
        <w:t xml:space="preserve"> </w:t>
      </w:r>
      <w:r>
        <w:t xml:space="preserve">“</w:t>
      </w:r>
      <w:r>
        <w:t xml:space="preserve">no longer provides that the common school fund must be used exclusively for education purposes,</w:t>
      </w:r>
      <w:r>
        <w:t xml:space="preserve">”</w:t>
      </w:r>
      <w:r>
        <w:t xml:space="preserve"> </w:t>
      </w:r>
      <w:r>
        <w:t xml:space="preserve">and section 5 as amended</w:t>
      </w:r>
      <w:r>
        <w:t xml:space="preserve"> </w:t>
      </w:r>
      <w:r>
        <w:t xml:space="preserve">“</w:t>
      </w:r>
      <w:r>
        <w:t xml:space="preserve">calls for the formation of the State Land Board to dispose of and manage lands described in section 2, and also lands owned by the state placed under the State Land Board’s jurisdiction by law,</w:t>
      </w:r>
      <w:r>
        <w:t xml:space="preserve">”</w:t>
      </w:r>
      <w:r>
        <w:t xml:space="preserve"> </w:t>
      </w:r>
      <w:r>
        <w:t xml:space="preserve">with the Board’s powers and duties</w:t>
      </w:r>
      <w:r>
        <w:t xml:space="preserve"> </w:t>
      </w:r>
      <w:r>
        <w:t xml:space="preserve">“</w:t>
      </w:r>
      <w:r>
        <w:t xml:space="preserve">prescribed by law</w:t>
      </w:r>
      <w:r>
        <w:t xml:space="preserve">”</w:t>
      </w:r>
      <w:r>
        <w:t xml:space="preserve"> </w:t>
      </w:r>
      <w:r>
        <w:t xml:space="preserve">and management directed to the greatest-benefit standard quoted at § 3.4.</w:t>
      </w:r>
      <w:r>
        <w:rPr>
          <w:rStyle w:val="FootnoteReference"/>
        </w:rPr>
        <w:footnoteReference w:id="139"/>
      </w:r>
      <w:r>
        <w:t xml:space="preserve"> </w:t>
      </w:r>
      <w:r>
        <w:t xml:space="preserve">What the 1968 amendments</w:t>
      </w:r>
      <w:r>
        <w:t xml:space="preserve"> </w:t>
      </w:r>
      <w:r>
        <w:rPr>
          <w:i/>
        </w:rPr>
        <w:t xml:space="preserve">mean</w:t>
      </w:r>
      <w:r>
        <w:t xml:space="preserve"> </w:t>
      </w:r>
      <w:r>
        <w:t xml:space="preserve">is presently contested in Oregon litigation: the State’s position in the pending case is that neither the 1857 original nor the amended Article VIII imports common-law trust or fiduciary duties; the plaintiffs’ position is that the amendments broadened the permissible use of fund monies and confirmed legislative authority within the management standard without extinguishing the trust framework — and</w:t>
      </w:r>
      <w:r>
        <w:t xml:space="preserve"> </w:t>
      </w:r>
      <w:r>
        <w:rPr>
          <w:i/>
        </w:rPr>
        <w:t xml:space="preserve">Cascadia</w:t>
      </w:r>
      <w:r>
        <w:t xml:space="preserve">’s own description of post-1968 legislative direction uses the phrase</w:t>
      </w:r>
      <w:r>
        <w:t xml:space="preserve"> </w:t>
      </w:r>
      <w:r>
        <w:t xml:space="preserve">“</w:t>
      </w:r>
      <w:r>
        <w:t xml:space="preserve">in keeping with the state’s trust obligation.</w:t>
      </w:r>
      <w:r>
        <w:t xml:space="preserve">”</w:t>
      </w:r>
      <w:r>
        <w:rPr>
          <w:rStyle w:val="FootnoteReference"/>
        </w:rPr>
        <w:footnoteReference w:id="140"/>
      </w:r>
      <w:r>
        <w:t xml:space="preserve"> </w:t>
      </w:r>
      <w:r>
        <w:t xml:space="preserve">Both positions are attributed here as positions; no court has resolved the question as this volume is written. [COUNSEL REVIEW — this paragraph characterizes the parties’ positions in 24CV38372 from public filings.]</w:t>
      </w:r>
    </w:p>
    <w:p>
      <w:pPr>
        <w:pStyle w:val="BodyText"/>
      </w:pPr>
      <w:r>
        <w:rPr>
          <w:b/>
        </w:rPr>
        <w:t xml:space="preserve">Colorado, 1996.</w:t>
      </w:r>
      <w:r>
        <w:t xml:space="preserve"> </w:t>
      </w:r>
      <w:r>
        <w:t xml:space="preserve">Amendment 16, adopted by ballot initiative, redefined the State Land Board’s mandate, altered its composition, and added stewardship and long-term-productivity duties. School districts challenged the reform in federal court as a violation of the Enabling Act compact. The Tenth Circuit sustained the reform: the compact is an enforceable trust, not aspirational policy, and the amendment’s reforms — properly construed — could be reconciled with the trust duty.</w:t>
      </w:r>
      <w:r>
        <w:rPr>
          <w:rStyle w:val="FootnoteReference"/>
        </w:rPr>
        <w:footnoteReference w:id="141"/>
      </w:r>
      <w:r>
        <w:t xml:space="preserve"> </w:t>
      </w:r>
      <w:r>
        <w:rPr>
          <w:i/>
        </w:rPr>
        <w:t xml:space="preserve">Branson</w:t>
      </w:r>
      <w:r>
        <w:t xml:space="preserve"> </w:t>
      </w:r>
      <w:r>
        <w:t xml:space="preserve">is the controlling demonstration that a receiving state retains genuine constitutional design authority</w:t>
      </w:r>
      <w:r>
        <w:t xml:space="preserve"> </w:t>
      </w:r>
      <w:r>
        <w:rPr>
          <w:i/>
        </w:rPr>
        <w:t xml:space="preserve">within</w:t>
      </w:r>
      <w:r>
        <w:t xml:space="preserve"> </w:t>
      </w:r>
      <w:r>
        <w:t xml:space="preserve">the trust: reform is permissible structural change up to the point of diverting the corpus or subordinating the beneficiaries’ interest.</w:t>
      </w:r>
    </w:p>
    <w:p>
      <w:pPr>
        <w:pStyle w:val="BodyText"/>
      </w:pPr>
      <w:r>
        <w:rPr>
          <w:b/>
        </w:rPr>
        <w:t xml:space="preserve">New Mexico, 2022.</w:t>
      </w:r>
      <w:r>
        <w:t xml:space="preserve"> </w:t>
      </w:r>
      <w:r>
        <w:t xml:space="preserve">The constitutional amendment adding early-childhood education as a distribution destination of the Land Grant Permanent Fund required congressional consent under the federal compact.</w:t>
      </w:r>
      <w:r>
        <w:rPr>
          <w:rStyle w:val="FootnoteReference"/>
        </w:rPr>
        <w:footnoteReference w:id="142"/>
      </w:r>
      <w:r>
        <w:t xml:space="preserve"> </w:t>
      </w:r>
      <w:r>
        <w:t xml:space="preserve">The episode is the cleanest modern confirmation that the compact remains bilateral a century after admission: where an amendment touches the federal terms — here, the destination of trust distributions — the state cannot act alone, and Congress’s consent function survives.</w:t>
      </w:r>
    </w:p>
    <w:p>
      <w:pPr>
        <w:pStyle w:val="BodyText"/>
      </w:pPr>
      <w:r>
        <w:t xml:space="preserve">Read together, the three episodes give the practitioner a working rule of thumb: amendments restructuring</w:t>
      </w:r>
      <w:r>
        <w:t xml:space="preserve"> </w:t>
      </w:r>
      <w:r>
        <w:rPr>
          <w:i/>
        </w:rPr>
        <w:t xml:space="preserve">administration</w:t>
      </w:r>
      <w:r>
        <w:t xml:space="preserve"> </w:t>
      </w:r>
      <w:r>
        <w:t xml:space="preserve">are tested for conformity with the trust (</w:t>
      </w:r>
      <w:r>
        <w:rPr>
          <w:i/>
        </w:rPr>
        <w:t xml:space="preserve">Branson</w:t>
      </w:r>
      <w:r>
        <w:t xml:space="preserve">); amendments altering</w:t>
      </w:r>
      <w:r>
        <w:t xml:space="preserve"> </w:t>
      </w:r>
      <w:r>
        <w:rPr>
          <w:i/>
        </w:rPr>
        <w:t xml:space="preserve">use or distribution</w:t>
      </w:r>
      <w:r>
        <w:t xml:space="preserve"> </w:t>
      </w:r>
      <w:r>
        <w:t xml:space="preserve">of the corpus engage the federal compact and may require congressional consent (New Mexico); and amendments whose effect on the trust framework is disputed leave the question to litigation (Oregon).</w:t>
      </w:r>
    </w:p>
    <w:p>
      <w:pPr>
        <w:pStyle w:val="Heading3"/>
      </w:pPr>
      <w:bookmarkStart w:id="143" w:name="synthesis"/>
      <w:r>
        <w:t xml:space="preserve">§ 3.7 Synthesis</w:t>
      </w:r>
      <w:bookmarkEnd w:id="143"/>
    </w:p>
    <w:p>
      <w:pPr>
        <w:numPr>
          <w:ilvl w:val="0"/>
          <w:numId w:val="1001"/>
        </w:numPr>
        <w:pStyle w:val="Compact"/>
      </w:pPr>
      <w:r>
        <w:rPr>
          <w:b/>
        </w:rPr>
        <w:t xml:space="preserve">Acceptance closes a bilateral compact.</w:t>
      </w:r>
      <w:r>
        <w:t xml:space="preserve"> </w:t>
      </w:r>
      <w:r>
        <w:t xml:space="preserve">The receiving instrument — constitution, ordinance, or formal acceptance — is half the bargain, binding on both sovereigns and unalterable by either alone.</w:t>
      </w:r>
      <w:r>
        <w:rPr>
          <w:rStyle w:val="FootnoteReference"/>
        </w:rPr>
        <w:footnoteReference w:id="144"/>
      </w:r>
    </w:p>
    <w:p>
      <w:pPr>
        <w:numPr>
          <w:ilvl w:val="0"/>
          <w:numId w:val="1001"/>
        </w:numPr>
        <w:pStyle w:val="Compact"/>
      </w:pPr>
      <w:r>
        <w:rPr>
          <w:b/>
        </w:rPr>
        <w:t xml:space="preserve">Incorporation is the multiplier.</w:t>
      </w:r>
      <w:r>
        <w:t xml:space="preserve"> </w:t>
      </w:r>
      <w:r>
        <w:t xml:space="preserve">Where the receiving constitution designates the trust, breach of trust becomes breach of the constitution, and the strength of the incorporation language is the first diagnostic in reading any state’s framework.</w:t>
      </w:r>
      <w:r>
        <w:rPr>
          <w:rStyle w:val="FootnoteReference"/>
        </w:rPr>
        <w:footnoteReference w:id="145"/>
      </w:r>
    </w:p>
    <w:p>
      <w:pPr>
        <w:numPr>
          <w:ilvl w:val="0"/>
          <w:numId w:val="1001"/>
        </w:numPr>
        <w:pStyle w:val="Compact"/>
      </w:pPr>
      <w:r>
        <w:rPr>
          <w:b/>
        </w:rPr>
        <w:t xml:space="preserve">The mandates are enforceable standards, not aspirations.</w:t>
      </w:r>
      <w:r>
        <w:t xml:space="preserve"> </w:t>
      </w:r>
      <w:r>
        <w:t xml:space="preserve">“</w:t>
      </w:r>
      <w:r>
        <w:t xml:space="preserve">Maximum long term financial return</w:t>
      </w:r>
      <w:r>
        <w:t xml:space="preserve">”</w:t>
      </w:r>
      <w:r>
        <w:t xml:space="preserve"> </w:t>
      </w:r>
      <w:r>
        <w:t xml:space="preserve">and</w:t>
      </w:r>
      <w:r>
        <w:t xml:space="preserve"> </w:t>
      </w:r>
      <w:r>
        <w:t xml:space="preserve">“</w:t>
      </w:r>
      <w:r>
        <w:t xml:space="preserve">greatest benefit</w:t>
      </w:r>
      <w:r>
        <w:t xml:space="preserve">”</w:t>
      </w:r>
      <w:r>
        <w:t xml:space="preserve"> </w:t>
      </w:r>
      <w:r>
        <w:t xml:space="preserve">formulations have each supported judicial invalidation of administration that subordinated the financial interest of the trust — within frameworks that preserve genuine legislative design authority.</w:t>
      </w:r>
      <w:r>
        <w:rPr>
          <w:rStyle w:val="FootnoteReference"/>
        </w:rPr>
        <w:footnoteReference w:id="146"/>
      </w:r>
    </w:p>
    <w:p>
      <w:pPr>
        <w:numPr>
          <w:ilvl w:val="0"/>
          <w:numId w:val="1001"/>
        </w:numPr>
        <w:pStyle w:val="Compact"/>
      </w:pPr>
      <w:r>
        <w:rPr>
          <w:b/>
        </w:rPr>
        <w:t xml:space="preserve">Structure is chosen, and choosable.</w:t>
      </w:r>
      <w:r>
        <w:t xml:space="preserve"> </w:t>
      </w:r>
      <w:r>
        <w:t xml:space="preserve">Ex officio boards, elected fiduciaries, single-purpose agencies, and local trustees are all in service; amendment within the trust is permissible (</w:t>
      </w:r>
      <w:r>
        <w:rPr>
          <w:i/>
        </w:rPr>
        <w:t xml:space="preserve">Branson</w:t>
      </w:r>
      <w:r>
        <w:t xml:space="preserve">), amendment of compact terms requires consent (New Mexico, 2022), and the contested middle is in live litigation (Oregon, 1968 amendments).</w:t>
      </w:r>
      <w:r>
        <w:rPr>
          <w:rStyle w:val="FootnoteReference"/>
        </w:rPr>
        <w:footnoteReference w:id="147"/>
      </w:r>
    </w:p>
    <w:p>
      <w:r>
        <w:pict>
          <v:rect style="width:0;height:1.5pt" o:hralign="center" o:hrstd="t" o:hr="t"/>
        </w:pict>
      </w:r>
    </w:p>
    <w:p>
      <w:pPr>
        <w:pStyle w:val="FirstParagraph"/>
      </w:pPr>
      <w:r>
        <w:rPr>
          <w:i/>
        </w:rPr>
        <w:t xml:space="preserve">End of Chapter 3 v1 (renumbered from Chapter 2; numeric footnotes converted to named keys 2026-06-07). Verification queue for this chapter: exact wording of Or. Const. art. VIII, § 2 (inviolability/irreducibility); Op 8223 signatory; Nebraska’s current administering body; the form and citation of congressional consent to New Mexico’s 2022 amendment; the Hawk dissertation (1949) as the Oregon reception-history secondary [VERIFY L0 copy held, per Register § 6]. The accord collections for acceptance clauses and management mandates beyond the states listed are not yet complete; see Architecture § C, verification wave 2. Resolved 2026-06-07 (propagated from the Trust Character chapter verification pass): the two 1999</w:t>
      </w:r>
      <w:r>
        <w:rPr>
          <w:i/>
        </w:rPr>
        <w:t xml:space="preserve"> </w:t>
      </w:r>
      <w:r>
        <w:t xml:space="preserve">Idaho Watersheds* opinions — 133 Idaho 55, 982 P.2d 358, is the H.J.R. 6 single-subject writ proceeding, and 133 Idaho 64, 982 P.2d 367, is the Idaho Code § 58-310B invalidation; the § 3.4 management-mandate citation accordingly realigned to IWP II.*</w:t>
      </w:r>
    </w:p>
    <w:p>
      <w:r>
        <w:br w:type="page"/>
      </w:r>
    </w:p>
    <w:p>
      <w:pPr>
        <w:pStyle w:val="Heading1"/>
      </w:pPr>
      <w:bookmarkStart w:id="148" w:name="X4c42afe4754da8937667931919bf30d5d00af72"/>
      <w:r>
        <w:t xml:space="preserve">Chapter 4 — Binding Trust or Honorary Grant: The Doctrinal Divide (v1)</w:t>
      </w:r>
      <w:bookmarkEnd w:id="148"/>
    </w:p>
    <w:p>
      <w:pPr>
        <w:pStyle w:val="FirstParagraph"/>
      </w:pPr>
      <w:r>
        <w:rPr>
          <w:i/>
        </w:rPr>
        <w:t xml:space="preserve">Status: v1, corpus-bounded draft — renumbered (formerly the Trust Character chapter, Chapter 3 of the v0 sequence) per the 2026-06-07 chapter map and converted from numeric footnotes to named keys per</w:t>
      </w:r>
      <w:r>
        <w:rPr>
          <w:i/>
        </w:rPr>
        <w:t xml:space="preserve"> </w:t>
      </w:r>
      <w:r>
        <w:rPr>
          <w:rStyle w:val="VerbatimChar"/>
          <w:i/>
        </w:rPr>
        <w:t xml:space="preserve">_tools/CITATION_STANDARD.md</w:t>
      </w:r>
      <w:r>
        <w:rPr>
          <w:i/>
        </w:rPr>
        <w:t xml:space="preserve">; change ledger at</w:t>
      </w:r>
      <w:r>
        <w:rPr>
          <w:i/>
        </w:rPr>
        <w:t xml:space="preserve"> </w:t>
      </w:r>
      <w:r>
        <w:rPr>
          <w:rStyle w:val="VerbatimChar"/>
          <w:i/>
        </w:rPr>
        <w:t xml:space="preserve">_citation_audit/impl_ch02-05.md</w:t>
      </w:r>
      <w:r>
        <w:rPr>
          <w:i/>
        </w:rPr>
        <w:t xml:space="preserve">. Every authority herein is carried in the project’s verified research files; [VERIFY] flags mark items awaiting primary-source confirmation under quality gate G3.</w:t>
      </w:r>
    </w:p>
    <w:p>
      <w:r>
        <w:pict>
          <v:rect style="width:0;height:1.5pt" o:hralign="center" o:hrstd="t" o:hr="t"/>
        </w:pict>
      </w:r>
    </w:p>
    <w:p>
      <w:pPr>
        <w:pStyle w:val="Heading3"/>
      </w:pPr>
      <w:bookmarkStart w:id="149" w:name="the-question-stated"/>
      <w:r>
        <w:t xml:space="preserve">§ 4.1 The question stated</w:t>
      </w:r>
      <w:bookmarkEnd w:id="149"/>
    </w:p>
    <w:p>
      <w:pPr>
        <w:pStyle w:val="FirstParagraph"/>
      </w:pPr>
      <w:r>
        <w:t xml:space="preserve">Every chapter that follows this one presupposes an answer to a single question: when Congress granted lands to a state</w:t>
      </w:r>
      <w:r>
        <w:t xml:space="preserve"> </w:t>
      </w:r>
      <w:r>
        <w:t xml:space="preserve">“</w:t>
      </w:r>
      <w:r>
        <w:t xml:space="preserve">for the use of schools</w:t>
      </w:r>
      <w:r>
        <w:t xml:space="preserve">”</w:t>
      </w:r>
      <w:r>
        <w:t xml:space="preserve"> </w:t>
      </w:r>
      <w:r>
        <w:t xml:space="preserve">and the state accepted, did that exchange create a</w:t>
      </w:r>
      <w:r>
        <w:t xml:space="preserve"> </w:t>
      </w:r>
      <w:r>
        <w:rPr>
          <w:i/>
        </w:rPr>
        <w:t xml:space="preserve">trust</w:t>
      </w:r>
      <w:r>
        <w:t xml:space="preserve"> </w:t>
      </w:r>
      <w:r>
        <w:t xml:space="preserve">— a fiduciary relationship carrying the duties of loyalty, prudence, impartiality, full value, and accounting, enforceable against the state in court — or did it create only an honorary dedication, a purpose Congress hoped for and the state may honor as its politics allow?</w:t>
      </w:r>
    </w:p>
    <w:p>
      <w:pPr>
        <w:pStyle w:val="BodyText"/>
      </w:pPr>
      <w:r>
        <w:t xml:space="preserve">The two positions are starkly different in consequence. If the grants are binding trusts, then a statute authorizing a breach is void, a transaction in violation can be unwound, the state cannot waive its beneficiaries’ rights, and the state’s own agencies must pay full value when they take trust assets. If the grants are honorary, the dedication is a policy commitment whose observance rests with the legislature, judicial language of</w:t>
      </w:r>
      <w:r>
        <w:t xml:space="preserve"> </w:t>
      </w:r>
      <w:r>
        <w:t xml:space="preserve">“</w:t>
      </w:r>
      <w:r>
        <w:t xml:space="preserve">trust</w:t>
      </w:r>
      <w:r>
        <w:t xml:space="preserve">”</w:t>
      </w:r>
      <w:r>
        <w:t xml:space="preserve"> </w:t>
      </w:r>
      <w:r>
        <w:t xml:space="preserve">is descriptive shorthand, and enforcement is political.</w:t>
      </w:r>
    </w:p>
    <w:p>
      <w:pPr>
        <w:pStyle w:val="BodyText"/>
      </w:pPr>
      <w:r>
        <w:t xml:space="preserve">The state of the authority can be stated at the outset: every court — federal or state — that has squarely decided the question has held the grants to be real, enforceable trusts. The Washington Supreme Court said so categorically in 1984 and repeated it, unanimously, in 2022.</w:t>
      </w:r>
      <w:r>
        <w:rPr>
          <w:rStyle w:val="FootnoteReference"/>
        </w:rPr>
        <w:footnoteReference w:id="150"/>
      </w:r>
      <w:r>
        <w:rPr>
          <w:rStyle w:val="FootnoteReference"/>
        </w:rPr>
        <w:footnoteReference w:id="151"/>
      </w:r>
      <w:r>
        <w:t xml:space="preserve"> </w:t>
      </w:r>
      <w:r>
        <w:t xml:space="preserve">What remains contested, and contested in live litigation as this volume is written, is the question’s application in states whose early granting instruments lack the express word</w:t>
      </w:r>
      <w:r>
        <w:t xml:space="preserve"> </w:t>
      </w:r>
      <w:r>
        <w:t xml:space="preserve">“</w:t>
      </w:r>
      <w:r>
        <w:t xml:space="preserve">trust,</w:t>
      </w:r>
      <w:r>
        <w:t xml:space="preserve">”</w:t>
      </w:r>
      <w:r>
        <w:t xml:space="preserve"> </w:t>
      </w:r>
      <w:r>
        <w:t xml:space="preserve">and the related but distinct question of who may enforce the trust (Chapter 13). This chapter maps the settled core and the contested margin.</w:t>
      </w:r>
    </w:p>
    <w:p>
      <w:pPr>
        <w:pStyle w:val="Heading3"/>
      </w:pPr>
      <w:bookmarkStart w:id="152" w:name="the-federal-line-18521989"/>
      <w:r>
        <w:t xml:space="preserve">§ 4.2 The federal line, 1852–1989</w:t>
      </w:r>
      <w:bookmarkEnd w:id="152"/>
    </w:p>
    <w:p>
      <w:pPr>
        <w:pStyle w:val="FirstParagraph"/>
      </w:pPr>
      <w:r>
        <w:t xml:space="preserve">The United States Supreme Court has addressed the character of federal school-lands grants in six principal decisions across one hundred thirty-seven years. Read in sequence, they establish the trust framework, its exclusivity, its application to the state’s own internal dealings, its extension to proceeds, and its supremacy over inconsistent state statutes.</w:t>
      </w:r>
    </w:p>
    <w:p>
      <w:pPr>
        <w:pStyle w:val="BodyText"/>
      </w:pPr>
      <w:r>
        <w:rPr>
          <w:b/>
        </w:rPr>
        <w:t xml:space="preserve">Trustees of Vincennes University v. Indiana, 55 U.S. (14 How.) 268 (1852).</w:t>
      </w:r>
      <w:r>
        <w:t xml:space="preserve"> </w:t>
      </w:r>
      <w:r>
        <w:t xml:space="preserve">The earliest characterization. The McLean majority wrote that title to lands reserved for schools</w:t>
      </w:r>
      <w:r>
        <w:t xml:space="preserve"> </w:t>
      </w:r>
      <w:r>
        <w:t xml:space="preserve">“</w:t>
      </w:r>
      <w:r>
        <w:t xml:space="preserve">has never been considered as vested in the State,</w:t>
      </w:r>
      <w:r>
        <w:t xml:space="preserve">”</w:t>
      </w:r>
      <w:r>
        <w:t xml:space="preserve"> </w:t>
      </w:r>
      <w:r>
        <w:t xml:space="preserve">which</w:t>
      </w:r>
      <w:r>
        <w:t xml:space="preserve"> </w:t>
      </w:r>
      <w:r>
        <w:t xml:space="preserve">“</w:t>
      </w:r>
      <w:r>
        <w:t xml:space="preserve">has no inherent power to sell them, or appropriate them to any other purpose than for the benefit of schools</w:t>
      </w:r>
      <w:r>
        <w:t xml:space="preserve">”</w:t>
      </w:r>
      <w:r>
        <w:t xml:space="preserve">; Chief Justice Taney’s dissent would have placed title in the State</w:t>
      </w:r>
      <w:r>
        <w:t xml:space="preserve"> </w:t>
      </w:r>
      <w:r>
        <w:t xml:space="preserve">“</w:t>
      </w:r>
      <w:r>
        <w:t xml:space="preserve">as the trustee to administer the trust.</w:t>
      </w:r>
      <w:r>
        <w:t xml:space="preserve">”</w:t>
      </w:r>
      <w:r>
        <w:rPr>
          <w:rStyle w:val="FootnoteReference"/>
        </w:rPr>
        <w:footnoteReference w:id="153"/>
      </w:r>
      <w:r>
        <w:t xml:space="preserve"> </w:t>
      </w:r>
      <w:r>
        <w:t xml:space="preserve">Three years before</w:t>
      </w:r>
      <w:r>
        <w:t xml:space="preserve"> </w:t>
      </w:r>
      <w:r>
        <w:rPr>
          <w:i/>
        </w:rPr>
        <w:t xml:space="preserve">Cooper</w:t>
      </w:r>
      <w:r>
        <w:t xml:space="preserve">, the trust framework was already the Court’s shared vocabulary — majority and dissent dividing only over who held the trustee’s title.</w:t>
      </w:r>
    </w:p>
    <w:p>
      <w:pPr>
        <w:pStyle w:val="BodyText"/>
      </w:pPr>
      <w:r>
        <w:rPr>
          <w:b/>
        </w:rPr>
        <w:t xml:space="preserve">Cooper v. Roberts, 59 U.S. (18 How.) 173 (1855).</w:t>
      </w:r>
      <w:r>
        <w:t xml:space="preserve"> </w:t>
      </w:r>
      <w:r>
        <w:t xml:space="preserve">The foundational decision on the section-sixteen school grant as compact: the arrangements are</w:t>
      </w:r>
      <w:r>
        <w:t xml:space="preserve"> </w:t>
      </w:r>
      <w:r>
        <w:t xml:space="preserve">“</w:t>
      </w:r>
      <w:r>
        <w:t xml:space="preserve">unalterable except by consent</w:t>
      </w:r>
      <w:r>
        <w:t xml:space="preserve">”</w:t>
      </w:r>
      <w:r>
        <w:t xml:space="preserve"> </w:t>
      </w:r>
      <w:r>
        <w:t xml:space="preserve">of both parties, so a state legislature cannot unilaterally modify the framework its state accepted at admission.</w:t>
      </w:r>
      <w:r>
        <w:rPr>
          <w:rStyle w:val="FootnoteReference"/>
        </w:rPr>
        <w:footnoteReference w:id="154"/>
      </w:r>
    </w:p>
    <w:p>
      <w:pPr>
        <w:pStyle w:val="BodyText"/>
      </w:pPr>
      <w:r>
        <w:rPr>
          <w:b/>
        </w:rPr>
        <w:t xml:space="preserve">Ervien v. United States, 251 U.S. 41 (1919).</w:t>
      </w:r>
      <w:r>
        <w:t xml:space="preserve"> </w:t>
      </w:r>
      <w:r>
        <w:t xml:space="preserve">New Mexico’s 1915 statute authorized its land commissioner to spend up to three percent of annual trust-land income advertising the state to homeseekers and investors. The Court, unanimously, held the diversion unlawful and enforceable by the United States as a breach of trust. Justice McKenna’s opinion supplies two of the field’s controlling formulations:</w:t>
      </w:r>
      <w:r>
        <w:t xml:space="preserve"> </w:t>
      </w:r>
      <w:r>
        <w:t xml:space="preserve">“</w:t>
      </w:r>
      <w:r>
        <w:t xml:space="preserve">[t]here is in the Enabling Act a specific enumeration of the purposes for which the lands were granted and the enumeration is necessarily exclusive of any other purpose,</w:t>
      </w:r>
      <w:r>
        <w:t xml:space="preserve">”</w:t>
      </w:r>
      <w:r>
        <w:t xml:space="preserve"> </w:t>
      </w:r>
      <w:r>
        <w:t xml:space="preserve">and</w:t>
      </w:r>
      <w:r>
        <w:t xml:space="preserve"> </w:t>
      </w:r>
      <w:r>
        <w:t xml:space="preserve">“</w:t>
      </w:r>
      <w:r>
        <w:t xml:space="preserve">[t]he dedication, we repeat, was special and exact, precluding any supplementary or aiding sense.</w:t>
      </w:r>
      <w:r>
        <w:t xml:space="preserve">”</w:t>
      </w:r>
      <w:r>
        <w:t xml:space="preserve"> </w:t>
      </w:r>
      <w:r>
        <w:t xml:space="preserve">To the state’s argument that promotion would ultimately enrich the trust, the Court — recounting the District Court’s view while affirming its result — answered that what would be</w:t>
      </w:r>
      <w:r>
        <w:t xml:space="preserve"> </w:t>
      </w:r>
      <w:r>
        <w:t xml:space="preserve">“</w:t>
      </w:r>
      <w:r>
        <w:t xml:space="preserve">a wise administration of the property</w:t>
      </w:r>
      <w:r>
        <w:t xml:space="preserve">”</w:t>
      </w:r>
      <w:r>
        <w:t xml:space="preserve"> </w:t>
      </w:r>
      <w:r>
        <w:t xml:space="preserve">in a private proprietor</w:t>
      </w:r>
      <w:r>
        <w:t xml:space="preserve"> </w:t>
      </w:r>
      <w:r>
        <w:t xml:space="preserve">“</w:t>
      </w:r>
      <w:r>
        <w:t xml:space="preserve">could not reach the odious dereliction of a breach of trust in the state.</w:t>
      </w:r>
      <w:r>
        <w:t xml:space="preserve">”</w:t>
      </w:r>
      <w:r>
        <w:rPr>
          <w:rStyle w:val="FootnoteReference"/>
        </w:rPr>
        <w:footnoteReference w:id="155"/>
      </w:r>
    </w:p>
    <w:p>
      <w:pPr>
        <w:pStyle w:val="BodyText"/>
      </w:pPr>
      <w:r>
        <w:rPr>
          <w:b/>
        </w:rPr>
        <w:t xml:space="preserve">Lassen v. Arizona ex rel. Arizona Highway Department, 385 U.S. 458 (1967).</w:t>
      </w:r>
      <w:r>
        <w:t xml:space="preserve"> </w:t>
      </w:r>
      <w:r>
        <w:t xml:space="preserve">The leading modern case. Arizona’s highway department sought trust lands for highway rights-of-way and material sites without actual cash payment to the trust, on the theory that highway construction enhances the value of the remaining trust lands. The Court rejected the theory and required payment in money:</w:t>
      </w:r>
      <w:r>
        <w:t xml:space="preserve"> </w:t>
      </w:r>
      <w:r>
        <w:t xml:space="preserve">“</w:t>
      </w:r>
      <w:r>
        <w:t xml:space="preserve">Arizona must actually compensate the trust in money for the full appraised value of any material sites or rights of way which it obtains on or over trust lands.</w:t>
      </w:r>
      <w:r>
        <w:t xml:space="preserve">”</w:t>
      </w:r>
      <w:r>
        <w:t xml:space="preserve"> </w:t>
      </w:r>
      <w:r>
        <w:t xml:space="preserve">The opinion reaffirms</w:t>
      </w:r>
      <w:r>
        <w:t xml:space="preserve"> </w:t>
      </w:r>
      <w:r>
        <w:rPr>
          <w:i/>
        </w:rPr>
        <w:t xml:space="preserve">Ervien</w:t>
      </w:r>
      <w:r>
        <w:t xml:space="preserve">’s exclusivity rule and quotes, of the granting language, the assessment that</w:t>
      </w:r>
      <w:r>
        <w:t xml:space="preserve"> </w:t>
      </w:r>
      <w:r>
        <w:t xml:space="preserve">“</w:t>
      </w:r>
      <w:r>
        <w:t xml:space="preserve">[w]ords more clearly designed * * * to create definite and specific trusts and to make them in all respects separate and independent of each other could hardly have been chosen.</w:t>
      </w:r>
      <w:r>
        <w:t xml:space="preserve">”</w:t>
      </w:r>
      <w:r>
        <w:rPr>
          <w:rStyle w:val="FootnoteReference"/>
        </w:rPr>
        <w:footnoteReference w:id="156"/>
      </w:r>
    </w:p>
    <w:p>
      <w:pPr>
        <w:pStyle w:val="BodyText"/>
      </w:pPr>
      <w:r>
        <w:rPr>
          <w:b/>
        </w:rPr>
        <w:t xml:space="preserve">Andrus v. Utah, 446 U.S. 500 (1980).</w:t>
      </w:r>
      <w:r>
        <w:t xml:space="preserve"> </w:t>
      </w:r>
      <w:r>
        <w:t xml:space="preserve">Though the Secretary of the Interior prevailed on the indemnity-selection question presented, the majority’s framing is the doctrinal contribution: the school-lands grant is a</w:t>
      </w:r>
      <w:r>
        <w:t xml:space="preserve"> </w:t>
      </w:r>
      <w:r>
        <w:t xml:space="preserve">“</w:t>
      </w:r>
      <w:r>
        <w:t xml:space="preserve">‘</w:t>
      </w:r>
      <w:r>
        <w:t xml:space="preserve">solemn agreement</w:t>
      </w:r>
      <w:r>
        <w:t xml:space="preserve">’</w:t>
      </w:r>
      <w:r>
        <w:t xml:space="preserve"> </w:t>
      </w:r>
      <w:r>
        <w:t xml:space="preserve">which in some ways may be analogized to a contract between private parties,</w:t>
      </w:r>
      <w:r>
        <w:t xml:space="preserve">”</w:t>
      </w:r>
      <w:r>
        <w:t xml:space="preserve"> </w:t>
      </w:r>
      <w:r>
        <w:t xml:space="preserve">whose indemnity right exists</w:t>
      </w:r>
      <w:r>
        <w:t xml:space="preserve"> </w:t>
      </w:r>
      <w:r>
        <w:t xml:space="preserve">“</w:t>
      </w:r>
      <w:r>
        <w:t xml:space="preserve">to give the State the benefit of the bargain.</w:t>
      </w:r>
      <w:r>
        <w:t xml:space="preserve">”</w:t>
      </w:r>
      <w:r>
        <w:t xml:space="preserve"> </w:t>
      </w:r>
      <w:r>
        <w:t xml:space="preserve">Justice Powell’s dissent — the passage most often quoted by later courts, including the Oregon Supreme Court — describes</w:t>
      </w:r>
      <w:r>
        <w:t xml:space="preserve"> </w:t>
      </w:r>
      <w:r>
        <w:t xml:space="preserve">“</w:t>
      </w:r>
      <w:r>
        <w:t xml:space="preserve">solemn bilateral compacts between each State and the Federal Government</w:t>
      </w:r>
      <w:r>
        <w:t xml:space="preserve">”</w:t>
      </w:r>
      <w:r>
        <w:t xml:space="preserve"> </w:t>
      </w:r>
      <w:r>
        <w:t xml:space="preserve">imposing</w:t>
      </w:r>
      <w:r>
        <w:t xml:space="preserve"> </w:t>
      </w:r>
      <w:r>
        <w:t xml:space="preserve">“</w:t>
      </w:r>
      <w:r>
        <w:t xml:space="preserve">upon the State a binding and perpetual obligation to use the granted lands for the support of public education.</w:t>
      </w:r>
      <w:r>
        <w:t xml:space="preserve">”</w:t>
      </w:r>
      <w:r>
        <w:rPr>
          <w:rStyle w:val="FootnoteReference"/>
        </w:rPr>
        <w:footnoteReference w:id="157"/>
      </w:r>
    </w:p>
    <w:p>
      <w:pPr>
        <w:pStyle w:val="BodyText"/>
      </w:pPr>
      <w:r>
        <w:rPr>
          <w:b/>
        </w:rPr>
        <w:t xml:space="preserve">ASARCO Inc. v. Kadish, 490 U.S. 605 (1989).</w:t>
      </w:r>
      <w:r>
        <w:t xml:space="preserve"> </w:t>
      </w:r>
      <w:r>
        <w:t xml:space="preserve">The modern capstone. Arizona schoolteachers and their association sued in state court contending that Arizona’s mineral-leasing statute permitted dispositions of trust land without the appraisal and public-auction protections of the 1910 Enabling Act; the Arizona Supreme Court agreed and invalidated the statute; the Supreme Court affirmed. Justice Kennedy framed the question —</w:t>
      </w:r>
      <w:r>
        <w:t xml:space="preserve"> </w:t>
      </w:r>
      <w:r>
        <w:t xml:space="preserve">“</w:t>
      </w:r>
      <w:r>
        <w:t xml:space="preserve">whether Arizona’s statute governing mineral leases on state lands is void because it does not conform with the federal laws that originally granted those lands from the United States to Arizona</w:t>
      </w:r>
      <w:r>
        <w:t xml:space="preserve">”</w:t>
      </w:r>
      <w:r>
        <w:t xml:space="preserve"> </w:t>
      </w:r>
      <w:r>
        <w:t xml:space="preserve">— and answered it yes: Congress</w:t>
      </w:r>
      <w:r>
        <w:t xml:space="preserve"> </w:t>
      </w:r>
      <w:r>
        <w:t xml:space="preserve">“</w:t>
      </w:r>
      <w:r>
        <w:t xml:space="preserve">provided … that the new State would hold those granted lands in trust and subject to the specific conditions set out in § 28 of the Act.</w:t>
      </w:r>
      <w:r>
        <w:t xml:space="preserve">”</w:t>
      </w:r>
      <w:r>
        <w:rPr>
          <w:rStyle w:val="FootnoteReference"/>
        </w:rPr>
        <w:footnoteReference w:id="158"/>
      </w:r>
      <w:r>
        <w:t xml:space="preserve"> </w:t>
      </w:r>
      <w:r>
        <w:rPr>
          <w:i/>
        </w:rPr>
        <w:t xml:space="preserve">Kadish</w:t>
      </w:r>
      <w:r>
        <w:t xml:space="preserve"> </w:t>
      </w:r>
      <w:r>
        <w:t xml:space="preserve">establishes, as binding modern law rather than nineteenth-century background, that state statutes inconsistent with the federal-compact trust framework are void.</w:t>
      </w:r>
    </w:p>
    <w:p>
      <w:pPr>
        <w:pStyle w:val="BodyText"/>
      </w:pPr>
      <w:r>
        <w:t xml:space="preserve">The companion holding of</w:t>
      </w:r>
      <w:r>
        <w:t xml:space="preserve"> </w:t>
      </w:r>
      <w:r>
        <w:rPr>
          <w:b/>
        </w:rPr>
        <w:t xml:space="preserve">Alamo Land &amp; Cattle Co. v. Arizona, 424 U.S. 295 (1976)</w:t>
      </w:r>
      <w:r>
        <w:t xml:space="preserve"> </w:t>
      </w:r>
      <w:r>
        <w:t xml:space="preserve">completes the structure: proceeds of trust lands remain subject to the same trust as the lands, and the United States retains</w:t>
      </w:r>
      <w:r>
        <w:t xml:space="preserve"> </w:t>
      </w:r>
      <w:r>
        <w:t xml:space="preserve">“</w:t>
      </w:r>
      <w:r>
        <w:t xml:space="preserve">a continuing interest in the administration of both the lands and the funds which derive from them.</w:t>
      </w:r>
      <w:r>
        <w:t xml:space="preserve">”</w:t>
      </w:r>
      <w:r>
        <w:rPr>
          <w:rStyle w:val="FootnoteReference"/>
        </w:rPr>
        <w:footnoteReference w:id="159"/>
      </w:r>
    </w:p>
    <w:p>
      <w:pPr>
        <w:pStyle w:val="Heading3"/>
      </w:pPr>
      <w:bookmarkStart w:id="160" w:name="Xfd4d7028c040ca4e107e607c8ea8eabb2cbcc26"/>
      <w:r>
        <w:t xml:space="preserve">§ 4.3 Constitutional incorporation: the Nebraska rule</w:t>
      </w:r>
      <w:bookmarkEnd w:id="160"/>
    </w:p>
    <w:p>
      <w:pPr>
        <w:pStyle w:val="FirstParagraph"/>
      </w:pPr>
      <w:r>
        <w:t xml:space="preserve">A second, independent foundation for trust character arises where the state’s own constitution designates the granted lands a trust. The Nebraska Supreme Court built the canonical doctrine in a trilogy decided between 1946 and 1952.</w:t>
      </w:r>
    </w:p>
    <w:p>
      <w:pPr>
        <w:pStyle w:val="BodyText"/>
      </w:pPr>
      <w:r>
        <w:rPr>
          <w:b/>
        </w:rPr>
        <w:t xml:space="preserve">State v. Platte Valley Public Power &amp; Irrigation District, 147 Neb. 289, 23 N.W.2d 300 (1946)</w:t>
      </w:r>
      <w:r>
        <w:t xml:space="preserve"> </w:t>
      </w:r>
      <w:r>
        <w:t xml:space="preserve">laid the floor in a condemnation setting:</w:t>
      </w:r>
      <w:r>
        <w:t xml:space="preserve"> </w:t>
      </w:r>
      <w:r>
        <w:t xml:space="preserve">“</w:t>
      </w:r>
      <w:r>
        <w:t xml:space="preserve">the school lands of this state are held in trust by the state under a contractual and constitutional obligation to refrain from disposition or alienation of the use of this property, except as allowed by the Enabling Act and the Constitution.</w:t>
      </w:r>
      <w:r>
        <w:t xml:space="preserve">”</w:t>
      </w:r>
      <w:r>
        <w:t xml:space="preserve"> </w:t>
      </w:r>
      <w:r>
        <w:t xml:space="preserve">Legislative direction over leasing is</w:t>
      </w:r>
      <w:r>
        <w:t xml:space="preserve"> </w:t>
      </w:r>
      <w:r>
        <w:t xml:space="preserve">“</w:t>
      </w:r>
      <w:r>
        <w:t xml:space="preserve">subject to and limited by the obligation to preserve the trust property inviolate.</w:t>
      </w:r>
      <w:r>
        <w:t xml:space="preserve">”</w:t>
      </w:r>
      <w:r>
        <w:rPr>
          <w:rStyle w:val="FootnoteReference"/>
        </w:rPr>
        <w:footnoteReference w:id="161"/>
      </w:r>
    </w:p>
    <w:p>
      <w:pPr>
        <w:pStyle w:val="BodyText"/>
      </w:pPr>
      <w:r>
        <w:rPr>
          <w:b/>
        </w:rPr>
        <w:t xml:space="preserve">State ex rel. Ebke v. Board of Educational Lands &amp; Funds, 154 Neb. 244, 47 N.W.2d 520 (1951)</w:t>
      </w:r>
      <w:r>
        <w:t xml:space="preserve"> </w:t>
      </w:r>
      <w:r>
        <w:t xml:space="preserve">struck down a 1947 statute that abandoned public bidding in favor of lease renewals to existing holders at arbitrary valuations below fair market value. The court’s two sentences are the rule’s classic statement:</w:t>
      </w:r>
      <w:r>
        <w:t xml:space="preserve"> </w:t>
      </w:r>
      <w:r>
        <w:t xml:space="preserve">“</w:t>
      </w:r>
      <w:r>
        <w:t xml:space="preserve">[t]he state in acting as a trustee is subject to the same standards, and when its status as a trustee is fixed by the Constitution a violation of its duty as a trustee is a violation of the Constitution itself</w:t>
      </w:r>
      <w:r>
        <w:t xml:space="preserve">”</w:t>
      </w:r>
      <w:r>
        <w:t xml:space="preserve">; and</w:t>
      </w:r>
      <w:r>
        <w:t xml:space="preserve"> </w:t>
      </w:r>
      <w:r>
        <w:t xml:space="preserve">“</w:t>
      </w:r>
      <w:r>
        <w:t xml:space="preserve">[t]he designation of these lands as a trust in the Constitution has the effect of incorporating into the constitutional provision the rules of law regulating the administration of trusts and the conduct and duties of trustees.</w:t>
      </w:r>
      <w:r>
        <w:t xml:space="preserve">”</w:t>
      </w:r>
      <w:r>
        <w:t xml:space="preserve"> </w:t>
      </w:r>
      <w:r>
        <w:t xml:space="preserve">It follows that</w:t>
      </w:r>
      <w:r>
        <w:t xml:space="preserve"> </w:t>
      </w:r>
      <w:r>
        <w:t xml:space="preserve">“</w:t>
      </w:r>
      <w:r>
        <w:t xml:space="preserve">[a] breach of trust in such a situation is in effect a violation of the constitutional provision and has the effect of invalidating the legislation authorizing the breach.</w:t>
      </w:r>
      <w:r>
        <w:t xml:space="preserve">”</w:t>
      </w:r>
      <w:r>
        <w:rPr>
          <w:rStyle w:val="FootnoteReference"/>
        </w:rPr>
        <w:footnoteReference w:id="162"/>
      </w:r>
    </w:p>
    <w:p>
      <w:pPr>
        <w:pStyle w:val="BodyText"/>
      </w:pPr>
      <w:r>
        <w:rPr>
          <w:b/>
        </w:rPr>
        <w:t xml:space="preserve">Propst v. Board of Educational Lands &amp; Funds, 156 Neb. 226, 55 N.W.2d 653 (1952)</w:t>
      </w:r>
      <w:r>
        <w:t xml:space="preserve"> </w:t>
      </w:r>
      <w:r>
        <w:t xml:space="preserve">put teeth in</w:t>
      </w:r>
      <w:r>
        <w:t xml:space="preserve"> </w:t>
      </w:r>
      <w:r>
        <w:rPr>
          <w:i/>
        </w:rPr>
        <w:t xml:space="preserve">Ebke</w:t>
      </w:r>
      <w:r>
        <w:t xml:space="preserve">. When the board treated the invalidated renewal leases as void and re-auctioned the sections, the renewal holders sued; the court affirmed denial of relief, restating the framework in unusually crisp form — title</w:t>
      </w:r>
      <w:r>
        <w:t xml:space="preserve"> </w:t>
      </w:r>
      <w:r>
        <w:t xml:space="preserve">“</w:t>
      </w:r>
      <w:r>
        <w:t xml:space="preserve">was granted to and vested in the state upon an express trust for the</w:t>
      </w:r>
      <w:r>
        <w:t xml:space="preserve"> </w:t>
      </w:r>
      <w:r>
        <w:t xml:space="preserve">‘</w:t>
      </w:r>
      <w:r>
        <w:t xml:space="preserve">support of common schools</w:t>
      </w:r>
      <w:r>
        <w:t xml:space="preserve">’</w:t>
      </w:r>
      <w:r>
        <w:t xml:space="preserve"> </w:t>
      </w:r>
      <w:r>
        <w:t xml:space="preserve">with no right or power of the state to use, dispose of, or alienate the lands or any part thereof, except as allowed by the Enabling Act and the Constitution</w:t>
      </w:r>
      <w:r>
        <w:t xml:space="preserve">”</w:t>
      </w:r>
      <w:r>
        <w:t xml:space="preserve"> </w:t>
      </w:r>
      <w:r>
        <w:t xml:space="preserve">— and adding two doctrinal contributions. First, the nullity rule:</w:t>
      </w:r>
      <w:r>
        <w:t xml:space="preserve"> </w:t>
      </w:r>
      <w:r>
        <w:t xml:space="preserve">“</w:t>
      </w:r>
      <w:r>
        <w:t xml:space="preserve">an unconstitutional statute is a nullity, is void from its enactment, and is incapable of creating any rights or obligations,</w:t>
      </w:r>
      <w:r>
        <w:t xml:space="preserve">”</w:t>
      </w:r>
      <w:r>
        <w:t xml:space="preserve"> </w:t>
      </w:r>
      <w:r>
        <w:t xml:space="preserve">so the 1947 statute had produced no enforceable lease interests at all. Second, the third-party-notice rule:</w:t>
      </w:r>
      <w:r>
        <w:t xml:space="preserve"> </w:t>
      </w:r>
      <w:r>
        <w:t xml:space="preserve">“</w:t>
      </w:r>
      <w:r>
        <w:t xml:space="preserve">Anyone dealing with the school lands must do so with knowledge of and subject to the trust obligation of the state.</w:t>
      </w:r>
      <w:r>
        <w:t xml:space="preserve">”</w:t>
      </w:r>
      <w:r>
        <w:rPr>
          <w:rStyle w:val="FootnoteReference"/>
        </w:rPr>
        <w:footnoteReference w:id="163"/>
      </w:r>
      <w:r>
        <w:rPr>
          <w:rStyle w:val="FootnoteReference"/>
        </w:rPr>
        <w:footnoteReference w:id="164"/>
      </w:r>
    </w:p>
    <w:p>
      <w:pPr>
        <w:pStyle w:val="BodyText"/>
      </w:pPr>
      <w:r>
        <w:t xml:space="preserve">The incorporation rule’s significance is structural. It converts every trust-law question into a constitutional question, placing breach beyond legislative ratification: the legislature cannot authorize what the constitution, through the incorporated trust standards, forbids.</w:t>
      </w:r>
    </w:p>
    <w:p>
      <w:pPr>
        <w:pStyle w:val="Heading3"/>
      </w:pPr>
      <w:bookmarkStart w:id="165" w:name="the-breadth-of-agreement"/>
      <w:r>
        <w:t xml:space="preserve">§ 4.4 The breadth of agreement</w:t>
      </w:r>
      <w:bookmarkEnd w:id="165"/>
    </w:p>
    <w:p>
      <w:pPr>
        <w:pStyle w:val="FirstParagraph"/>
      </w:pPr>
      <w:r>
        <w:t xml:space="preserve">Beyond Nebraska and the federal line, the trust character of the grants has been affirmed — and given operative consequence — by the highest courts of at least ten jurisdictions. The</w:t>
      </w:r>
      <w:r>
        <w:t xml:space="preserve"> </w:t>
      </w:r>
      <w:r>
        <w:rPr>
          <w:i/>
        </w:rPr>
        <w:t xml:space="preserve">Skamania</w:t>
      </w:r>
      <w:r>
        <w:t xml:space="preserve"> </w:t>
      </w:r>
      <w:r>
        <w:t xml:space="preserve">formulation has proven accurate as description: where the question has been squarely presented, the answer has been uniform.</w:t>
      </w:r>
      <w:r>
        <w:rPr>
          <w:rStyle w:val="FootnoteReference"/>
        </w:rPr>
        <w:footnoteReference w:id="166"/>
      </w:r>
      <w:r>
        <w:rPr>
          <w:rStyle w:val="FootnoteReference"/>
        </w:rPr>
        <w:footnoteReference w:id="167"/>
      </w:r>
      <w:r>
        <w:t xml:space="preserve"> </w:t>
      </w:r>
      <w:r>
        <w:t xml:space="preserve">The agreement spans every instrument generation: the township-trust states with their bare 1811–1817 instruments (Louisiana, Mississippi), the two-section states (Nebraska, Washington, Montana, South Dakota, Oklahoma), the four-section states with the strict 1910 text (Arizona, New Mexico), the 1894 Utah act, and Alaska’s 1958 hybrid.</w:t>
      </w:r>
    </w:p>
    <w:p>
      <w:pPr>
        <w:pStyle w:val="BodyText"/>
      </w:pPr>
      <w:r>
        <w:t xml:space="preserve">What divides the jurisdictions is not whether the trust binds but how far the trust constrains legislative design choices in administration — the question treated at § 4.7 — and who may enforce it (Chapter 13).</w:t>
      </w:r>
    </w:p>
    <w:p>
      <w:pPr>
        <w:pStyle w:val="Heading3"/>
      </w:pPr>
      <w:bookmarkStart w:id="168" w:name="X9ca8c1de314ac63b5e57b709f8c62c6534f26a1"/>
      <w:r>
        <w:t xml:space="preserve">§ 4.5 The contested ground: the early-instrument states, with Oregon as the live case study</w:t>
      </w:r>
      <w:bookmarkEnd w:id="168"/>
    </w:p>
    <w:p>
      <w:pPr>
        <w:pStyle w:val="FirstParagraph"/>
      </w:pPr>
      <w:r>
        <w:t xml:space="preserve">The honorary-grant position survives, as a live litigating position, principally in states whose granting instruments predate the express</w:t>
      </w:r>
      <w:r>
        <w:t xml:space="preserve"> </w:t>
      </w:r>
      <w:r>
        <w:t xml:space="preserve">“</w:t>
      </w:r>
      <w:r>
        <w:t xml:space="preserve">in trust</w:t>
      </w:r>
      <w:r>
        <w:t xml:space="preserve">”</w:t>
      </w:r>
      <w:r>
        <w:t xml:space="preserve"> </w:t>
      </w:r>
      <w:r>
        <w:t xml:space="preserve">drafting of the later acts. Oregon — admitted in 1859 under an act granting sections 16 and 36</w:t>
      </w:r>
      <w:r>
        <w:t xml:space="preserve"> </w:t>
      </w:r>
      <w:r>
        <w:t xml:space="preserve">“</w:t>
      </w:r>
      <w:r>
        <w:t xml:space="preserve">for the use of schools,</w:t>
      </w:r>
      <w:r>
        <w:t xml:space="preserve">”</w:t>
      </w:r>
      <w:r>
        <w:t xml:space="preserve"> </w:t>
      </w:r>
      <w:r>
        <w:t xml:space="preserve">without the word</w:t>
      </w:r>
      <w:r>
        <w:t xml:space="preserve"> </w:t>
      </w:r>
      <w:r>
        <w:t xml:space="preserve">“</w:t>
      </w:r>
      <w:r>
        <w:t xml:space="preserve">trust</w:t>
      </w:r>
      <w:r>
        <w:t xml:space="preserve">”</w:t>
      </w:r>
      <w:r>
        <w:t xml:space="preserve"> </w:t>
      </w:r>
      <w:r>
        <w:t xml:space="preserve">— is the field’s current proving ground, and its experience illustrates both the position’s textual openings and the weight of authority it must overcome.</w:t>
      </w:r>
    </w:p>
    <w:p>
      <w:pPr>
        <w:pStyle w:val="BodyText"/>
      </w:pPr>
      <w:r>
        <w:rPr>
          <w:b/>
        </w:rPr>
        <w:t xml:space="preserve">The Oregon trust canon.</w:t>
      </w:r>
      <w:r>
        <w:t xml:space="preserve"> </w:t>
      </w:r>
      <w:r>
        <w:t xml:space="preserve">Oregon’s courts characterized the grant as a trust early and repeatedly. In 1899 the Oregon Supreme Court called the grant</w:t>
      </w:r>
      <w:r>
        <w:t xml:space="preserve"> </w:t>
      </w:r>
      <w:r>
        <w:t xml:space="preserve">“</w:t>
      </w:r>
      <w:r>
        <w:t xml:space="preserve">an absolute grant, vesting the title in the state for a special purpose.</w:t>
      </w:r>
      <w:r>
        <w:t xml:space="preserve">”</w:t>
      </w:r>
      <w:r>
        <w:rPr>
          <w:rStyle w:val="FootnoteReference"/>
        </w:rPr>
        <w:footnoteReference w:id="169"/>
      </w:r>
      <w:r>
        <w:t xml:space="preserve"> </w:t>
      </w:r>
      <w:r>
        <w:t xml:space="preserve">In 1917 it said the lands</w:t>
      </w:r>
      <w:r>
        <w:t xml:space="preserve"> </w:t>
      </w:r>
      <w:r>
        <w:t xml:space="preserve">“</w:t>
      </w:r>
      <w:r>
        <w:t xml:space="preserve">are a trust for the benefit of public education,</w:t>
      </w:r>
      <w:r>
        <w:t xml:space="preserve">”</w:t>
      </w:r>
      <w:r>
        <w:t xml:space="preserve"> </w:t>
      </w:r>
      <w:r>
        <w:t xml:space="preserve">and, in the same year, that</w:t>
      </w:r>
      <w:r>
        <w:t xml:space="preserve"> </w:t>
      </w:r>
      <w:r>
        <w:t xml:space="preserve">“</w:t>
      </w:r>
      <w:r>
        <w:t xml:space="preserve">the state is not a mere dry trustee, but it holds the funds in trust for the common schools of the state, and hence in trust for a public purpose</w:t>
      </w:r>
      <w:r>
        <w:t xml:space="preserve">”</w:t>
      </w:r>
      <w:r>
        <w:t xml:space="preserve"> </w:t>
      </w:r>
      <w:r>
        <w:t xml:space="preserve">— the active/dry distinction being a fiduciary classification with content, since a dry trustee holds bare title while an active trustee bears duties of management, loyalty, and care.</w:t>
      </w:r>
      <w:r>
        <w:rPr>
          <w:rStyle w:val="FootnoteReference"/>
        </w:rPr>
        <w:footnoteReference w:id="170"/>
      </w:r>
      <w:r>
        <w:t xml:space="preserve"> </w:t>
      </w:r>
      <w:r>
        <w:t xml:space="preserve">In 1931 the court produced the strongest sentence in the state’s jurisprudence: the Land Board in loaning trust funds acts</w:t>
      </w:r>
      <w:r>
        <w:t xml:space="preserve"> </w:t>
      </w:r>
      <w:r>
        <w:t xml:space="preserve">“</w:t>
      </w:r>
      <w:r>
        <w:t xml:space="preserve">in the execution of a trust of the highest nature, which has been created by the fundamental law of this state.</w:t>
      </w:r>
      <w:r>
        <w:t xml:space="preserve">”</w:t>
      </w:r>
      <w:r>
        <w:rPr>
          <w:rStyle w:val="FootnoteReference"/>
        </w:rPr>
        <w:footnoteReference w:id="171"/>
      </w:r>
      <w:r>
        <w:t xml:space="preserve"> </w:t>
      </w:r>
      <w:r>
        <w:t xml:space="preserve">The modern court has carried the framing forward: the 2019</w:t>
      </w:r>
      <w:r>
        <w:t xml:space="preserve"> </w:t>
      </w:r>
      <w:r>
        <w:rPr>
          <w:i/>
        </w:rPr>
        <w:t xml:space="preserve">Cascadia Wildlands</w:t>
      </w:r>
      <w:r>
        <w:t xml:space="preserve"> </w:t>
      </w:r>
      <w:r>
        <w:t xml:space="preserve">opinion states that the Admission Act</w:t>
      </w:r>
      <w:r>
        <w:t xml:space="preserve"> </w:t>
      </w:r>
      <w:r>
        <w:t xml:space="preserve">“</w:t>
      </w:r>
      <w:r>
        <w:t xml:space="preserve">granted the federal lands to the state in trust</w:t>
      </w:r>
      <w:r>
        <w:t xml:space="preserve"> </w:t>
      </w:r>
      <w:r>
        <w:t xml:space="preserve">‘</w:t>
      </w:r>
      <w:r>
        <w:t xml:space="preserve">for school purposes,</w:t>
      </w:r>
      <w:r>
        <w:t xml:space="preserve">’</w:t>
      </w:r>
      <w:r>
        <w:t xml:space="preserve">”</w:t>
      </w:r>
      <w:r>
        <w:t xml:space="preserve"> </w:t>
      </w:r>
      <w:r>
        <w:t xml:space="preserve">and it treats legislative determinations about the best use of common school lands as operating</w:t>
      </w:r>
      <w:r>
        <w:t xml:space="preserve"> </w:t>
      </w:r>
      <w:r>
        <w:t xml:space="preserve">“</w:t>
      </w:r>
      <w:r>
        <w:t xml:space="preserve">in keeping with the state’s trust obligation.</w:t>
      </w:r>
      <w:r>
        <w:t xml:space="preserve">”</w:t>
      </w:r>
      <w:r>
        <w:rPr>
          <w:rStyle w:val="FootnoteReference"/>
        </w:rPr>
        <w:footnoteReference w:id="172"/>
      </w:r>
      <w:r>
        <w:t xml:space="preserve"> </w:t>
      </w:r>
      <w:r>
        <w:t xml:space="preserve">The state’s own law office has agreed: a 1992 formal opinion of the Oregon Attorney General concluded that the Common School Fund obligations under the Admission Act and the Oregon Constitution are binding fiduciary obligations —</w:t>
      </w:r>
      <w:r>
        <w:t xml:space="preserve"> </w:t>
      </w:r>
      <w:r>
        <w:t xml:space="preserve">“</w:t>
      </w:r>
      <w:r>
        <w:t xml:space="preserve">the obligations are binding. They cannot be disregarded.</w:t>
      </w:r>
      <w:r>
        <w:t xml:space="preserve">”</w:t>
      </w:r>
      <w:r>
        <w:rPr>
          <w:rStyle w:val="FootnoteReference"/>
        </w:rPr>
        <w:footnoteReference w:id="173"/>
      </w:r>
    </w:p>
    <w:p>
      <w:pPr>
        <w:pStyle w:val="BodyText"/>
      </w:pPr>
      <w:r>
        <w:rPr>
          <w:b/>
        </w:rPr>
        <w:t xml:space="preserve">The legislative-power counterweight.</w:t>
      </w:r>
      <w:r>
        <w:t xml:space="preserve"> </w:t>
      </w:r>
      <w:r>
        <w:t xml:space="preserve">Oregon doctrine also contains the materials of the honorary-grant argument. Article VIII, section 5 of the Oregon Constitution subjects the Land Board’s powers and duties to legislative prescription, and the Oregon Supreme Court has held that</w:t>
      </w:r>
      <w:r>
        <w:t xml:space="preserve"> </w:t>
      </w:r>
      <w:r>
        <w:t xml:space="preserve">“</w:t>
      </w:r>
      <w:r>
        <w:t xml:space="preserve">the determination of the proper use of common school funds is a legislative one, subject to the overall requirement that the use have as its goal the greater public benefit.</w:t>
      </w:r>
      <w:r>
        <w:t xml:space="preserve">”</w:t>
      </w:r>
      <w:r>
        <w:rPr>
          <w:rStyle w:val="FootnoteReference"/>
        </w:rPr>
        <w:footnoteReference w:id="174"/>
      </w:r>
      <w:r>
        <w:t xml:space="preserve"> </w:t>
      </w:r>
      <w:r>
        <w:t xml:space="preserve">In</w:t>
      </w:r>
      <w:r>
        <w:t xml:space="preserve"> </w:t>
      </w:r>
      <w:r>
        <w:rPr>
          <w:i/>
        </w:rPr>
        <w:t xml:space="preserve">Cascadia Wildlands</w:t>
      </w:r>
      <w:r>
        <w:t xml:space="preserve"> </w:t>
      </w:r>
      <w:r>
        <w:t xml:space="preserve">the court rejected the argument that the Admission Act gives the Land Board a</w:t>
      </w:r>
      <w:r>
        <w:t xml:space="preserve"> </w:t>
      </w:r>
      <w:r>
        <w:t xml:space="preserve">“</w:t>
      </w:r>
      <w:r>
        <w:t xml:space="preserve">core function</w:t>
      </w:r>
      <w:r>
        <w:t xml:space="preserve">”</w:t>
      </w:r>
      <w:r>
        <w:t xml:space="preserve"> </w:t>
      </w:r>
      <w:r>
        <w:t xml:space="preserve">of net-revenue maximization that would invalidate a statute withdrawing certain lands from sale — while observing in the same passage that</w:t>
      </w:r>
      <w:r>
        <w:t xml:space="preserve"> </w:t>
      </w:r>
      <w:r>
        <w:t xml:space="preserve">“</w:t>
      </w:r>
      <w:r>
        <w:t xml:space="preserve">[i]n some circumstances, the</w:t>
      </w:r>
      <w:r>
        <w:t xml:space="preserve"> </w:t>
      </w:r>
      <w:r>
        <w:t xml:space="preserve">‘</w:t>
      </w:r>
      <w:r>
        <w:t xml:space="preserve">greatest benefit</w:t>
      </w:r>
      <w:r>
        <w:t xml:space="preserve">’</w:t>
      </w:r>
      <w:r>
        <w:t xml:space="preserve"> </w:t>
      </w:r>
      <w:r>
        <w:t xml:space="preserve">mandate may require the State Land Board to maximize net profit, for example, by obtaining the best price for the authorized sale of timber on common school lands.</w:t>
      </w:r>
      <w:r>
        <w:t xml:space="preserve">”</w:t>
      </w:r>
      <w:r>
        <w:rPr>
          <w:rStyle w:val="FootnoteReference"/>
        </w:rPr>
        <w:footnoteReference w:id="175"/>
      </w:r>
      <w:r>
        <w:t xml:space="preserve"> </w:t>
      </w:r>
      <w:r>
        <w:rPr>
          <w:i/>
        </w:rPr>
        <w:t xml:space="preserve">Cascadia</w:t>
      </w:r>
      <w:r>
        <w:t xml:space="preserve">’s holding is narrow — one specific asserted duty, rejected in a specific separation-of-powers posture — but its vocabulary of legislative prescription is the platform on which the broader honorary-grant contention now stands.</w:t>
      </w:r>
    </w:p>
    <w:p>
      <w:pPr>
        <w:pStyle w:val="BodyText"/>
      </w:pPr>
      <w:r>
        <w:rPr>
          <w:b/>
        </w:rPr>
        <w:t xml:space="preserve">The live dispute.</w:t>
      </w:r>
      <w:r>
        <w:t xml:space="preserve"> </w:t>
      </w:r>
      <w:r>
        <w:t xml:space="preserve">In litigation pending as this volume is written —</w:t>
      </w:r>
      <w:r>
        <w:t xml:space="preserve"> </w:t>
      </w:r>
      <w:r>
        <w:rPr>
          <w:i/>
        </w:rPr>
        <w:t xml:space="preserve">Siuslaw School District 97J v. State of Oregon</w:t>
      </w:r>
      <w:r>
        <w:t xml:space="preserve">, Coos County Circuit Court No. 24CV38372 (trial set August 2026) — the State of Oregon has taken the position that the trust characterizations in its century of case law are</w:t>
      </w:r>
      <w:r>
        <w:t xml:space="preserve"> </w:t>
      </w:r>
      <w:r>
        <w:t xml:space="preserve">“</w:t>
      </w:r>
      <w:r>
        <w:t xml:space="preserve">short-hand labels</w:t>
      </w:r>
      <w:r>
        <w:t xml:space="preserve">”</w:t>
      </w:r>
      <w:r>
        <w:t xml:space="preserve"> </w:t>
      </w:r>
      <w:r>
        <w:t xml:space="preserve">that do not import common-law fiduciary duties, and that the Land Board’s duties are exclusively those the legislature has enacted. The plaintiffs contend the characterizations are doctrine. The trial court has ruled, in pre-trial opinions, that the plaintiffs have standing and that Common School Fund claims are governed by common-law principles, while reserving the trust-characterization question.</w:t>
      </w:r>
      <w:r>
        <w:rPr>
          <w:rStyle w:val="FootnoteReference"/>
        </w:rPr>
        <w:footnoteReference w:id="176"/>
      </w:r>
      <w:r>
        <w:t xml:space="preserve"> </w:t>
      </w:r>
      <w:r>
        <w:t xml:space="preserve">A related Oregon appellate decision holds that challenges to the validity of laws are not tort claims subject to the state claims statute.</w:t>
      </w:r>
      <w:r>
        <w:rPr>
          <w:rStyle w:val="FootnoteReference"/>
        </w:rPr>
        <w:footnoteReference w:id="177"/>
      </w:r>
      <w:r>
        <w:t xml:space="preserve"> </w:t>
      </w:r>
      <w:r>
        <w:t xml:space="preserve">The dispute is presented here as what it is — contested and unadjudicated — but the reader should note its asymmetry: the honorary-grant position must explain away not only Oregon’s own canon but the uniform sister-state and federal authority collected in §§ 4.2–4.4, none of which the position has yet persuaded any court to reject. No decision in the verified corpus has held a school-lands grant honorary.</w:t>
      </w:r>
    </w:p>
    <w:p>
      <w:pPr>
        <w:pStyle w:val="Heading3"/>
      </w:pPr>
      <w:bookmarkStart w:id="178" w:name="what-turns-on-the-answer"/>
      <w:r>
        <w:t xml:space="preserve">§ 4.6 What turns on the answer</w:t>
      </w:r>
      <w:bookmarkEnd w:id="178"/>
    </w:p>
    <w:p>
      <w:pPr>
        <w:pStyle w:val="FirstParagraph"/>
      </w:pPr>
      <w:r>
        <w:t xml:space="preserve">Trust character is not an abstraction; a cluster of operative rules follows from it. Each is developed in a later chapter; they are collected here because together they are the answer to</w:t>
      </w:r>
      <w:r>
        <w:t xml:space="preserve"> </w:t>
      </w:r>
      <w:r>
        <w:t xml:space="preserve">“</w:t>
      </w:r>
      <w:r>
        <w:t xml:space="preserve">why does the label matter?</w:t>
      </w:r>
      <w:r>
        <w:t xml:space="preserve">”</w:t>
      </w:r>
    </w:p>
    <w:p>
      <w:pPr>
        <w:pStyle w:val="BodyText"/>
      </w:pPr>
      <w:r>
        <w:rPr>
          <w:b/>
        </w:rPr>
        <w:t xml:space="preserve">(a) Statutes effecting a breach are void.</w:t>
      </w:r>
      <w:r>
        <w:t xml:space="preserve"> </w:t>
      </w:r>
      <w:r>
        <w:t xml:space="preserve">The constitutional-incorporation states invalidate the authorizing legislation itself, and the Supreme Court has affirmed the same result as a matter of federal compact law.</w:t>
      </w:r>
      <w:r>
        <w:rPr>
          <w:rStyle w:val="FootnoteReference"/>
        </w:rPr>
        <w:footnoteReference w:id="179"/>
      </w:r>
      <w:r>
        <w:rPr>
          <w:rStyle w:val="FootnoteReference"/>
        </w:rPr>
        <w:footnoteReference w:id="180"/>
      </w:r>
    </w:p>
    <w:p>
      <w:pPr>
        <w:pStyle w:val="BodyText"/>
      </w:pPr>
      <w:r>
        <w:rPr>
          <w:b/>
        </w:rPr>
        <w:t xml:space="preserve">(b) Third parties deal at their peril.</w:t>
      </w:r>
      <w:r>
        <w:t xml:space="preserve"> </w:t>
      </w:r>
      <w:r>
        <w:t xml:space="preserve">Because the trust limitation travels with the land,</w:t>
      </w:r>
      <w:r>
        <w:t xml:space="preserve"> </w:t>
      </w:r>
      <w:r>
        <w:t xml:space="preserve">“</w:t>
      </w:r>
      <w:r>
        <w:t xml:space="preserve">[a]nyone dealing with the school lands must do so with knowledge of and subject to the trust obligation of the state.</w:t>
      </w:r>
      <w:r>
        <w:t xml:space="preserve">”</w:t>
      </w:r>
      <w:r>
        <w:rPr>
          <w:rStyle w:val="FootnoteReference"/>
        </w:rPr>
        <w:footnoteReference w:id="181"/>
      </w:r>
      <w:r>
        <w:rPr>
          <w:rStyle w:val="FootnoteReference"/>
        </w:rPr>
        <w:footnoteReference w:id="182"/>
      </w:r>
    </w:p>
    <w:p>
      <w:pPr>
        <w:pStyle w:val="BodyText"/>
      </w:pPr>
      <w:r>
        <w:rPr>
          <w:b/>
        </w:rPr>
        <w:t xml:space="preserve">(c) The state cannot waive, and is not estopped from asserting, the trust’s rights.</w:t>
      </w:r>
      <w:r>
        <w:t xml:space="preserve"> </w:t>
      </w:r>
      <w:r>
        <w:t xml:space="preserve">A trustee has no authority to waive the beneficiaries’ interest; the state’s acceptance of below-market payments does not bar later recovery of the difference, and limitations doctrines yield.</w:t>
      </w:r>
      <w:r>
        <w:rPr>
          <w:rStyle w:val="FootnoteReference"/>
        </w:rPr>
        <w:footnoteReference w:id="183"/>
      </w:r>
      <w:r>
        <w:rPr>
          <w:rStyle w:val="FootnoteReference"/>
        </w:rPr>
        <w:footnoteReference w:id="184"/>
      </w:r>
    </w:p>
    <w:p>
      <w:pPr>
        <w:pStyle w:val="BodyText"/>
      </w:pPr>
      <w:r>
        <w:rPr>
          <w:b/>
        </w:rPr>
        <w:t xml:space="preserve">(d) The state pays full value when it deals with itself.</w:t>
      </w:r>
      <w:r>
        <w:t xml:space="preserve"> </w:t>
      </w:r>
      <w:r>
        <w:t xml:space="preserve">Intra-governmental transfers, takings, and condemnations carry the same compensation duty as dispositions to strangers — the</w:t>
      </w:r>
      <w:r>
        <w:t xml:space="preserve"> </w:t>
      </w:r>
      <w:r>
        <w:rPr>
          <w:i/>
        </w:rPr>
        <w:t xml:space="preserve">Lassen</w:t>
      </w:r>
      <w:r>
        <w:t xml:space="preserve"> </w:t>
      </w:r>
      <w:r>
        <w:t xml:space="preserve">rule, with state analogues from condemnation bars to park inclusions.</w:t>
      </w:r>
      <w:r>
        <w:rPr>
          <w:rStyle w:val="FootnoteReference"/>
        </w:rPr>
        <w:footnoteReference w:id="185"/>
      </w:r>
      <w:r>
        <w:rPr>
          <w:rStyle w:val="FootnoteReference"/>
        </w:rPr>
        <w:footnoteReference w:id="186"/>
      </w:r>
    </w:p>
    <w:p>
      <w:pPr>
        <w:pStyle w:val="BodyText"/>
      </w:pPr>
      <w:r>
        <w:rPr>
          <w:b/>
        </w:rPr>
        <w:t xml:space="preserve">(e) The trust cannot be terminated by absorption.</w:t>
      </w:r>
      <w:r>
        <w:t xml:space="preserve"> </w:t>
      </w:r>
      <w:r>
        <w:t xml:space="preserve">A state may not extinguish a granted trust by folding its function into general government on the assurance that government will serve the purpose anyway.</w:t>
      </w:r>
      <w:r>
        <w:rPr>
          <w:rStyle w:val="FootnoteReference"/>
        </w:rPr>
        <w:footnoteReference w:id="187"/>
      </w:r>
    </w:p>
    <w:p>
      <w:pPr>
        <w:pStyle w:val="BodyText"/>
      </w:pPr>
      <w:r>
        <w:rPr>
          <w:b/>
        </w:rPr>
        <w:t xml:space="preserve">(f) Proceeds are impressed with the trust.</w:t>
      </w:r>
      <w:r>
        <w:t xml:space="preserve"> </w:t>
      </w:r>
      <w:r>
        <w:t xml:space="preserve">The duty follows the asset through every conversion — land to money, money to investment.</w:t>
      </w:r>
      <w:r>
        <w:rPr>
          <w:rStyle w:val="FootnoteReference"/>
        </w:rPr>
        <w:footnoteReference w:id="188"/>
      </w:r>
    </w:p>
    <w:p>
      <w:pPr>
        <w:pStyle w:val="Heading3"/>
      </w:pPr>
      <w:bookmarkStart w:id="189" w:name="the-honorary-grant-position-examined"/>
      <w:r>
        <w:t xml:space="preserve">§ 4.7 The honorary-grant position examined</w:t>
      </w:r>
      <w:bookmarkEnd w:id="189"/>
    </w:p>
    <w:p>
      <w:pPr>
        <w:pStyle w:val="FirstParagraph"/>
      </w:pPr>
      <w:r>
        <w:t xml:space="preserve">A treatise owes the losing argument its best statement. The honorary-grant position rests on five distinguishable contentions; they are of unequal strength, and the practitioner should keep them separate.</w:t>
      </w:r>
    </w:p>
    <w:p>
      <w:pPr>
        <w:pStyle w:val="BodyText"/>
      </w:pPr>
      <w:r>
        <w:rPr>
          <w:b/>
        </w:rPr>
        <w:t xml:space="preserve">(1) The</w:t>
      </w:r>
      <w:r>
        <w:rPr>
          <w:b/>
        </w:rPr>
        <w:t xml:space="preserve"> </w:t>
      </w:r>
      <w:r>
        <w:rPr>
          <w:b/>
        </w:rPr>
        <w:t xml:space="preserve">“</w:t>
      </w:r>
      <w:r>
        <w:rPr>
          <w:b/>
        </w:rPr>
        <w:t xml:space="preserve">labels</w:t>
      </w:r>
      <w:r>
        <w:rPr>
          <w:b/>
        </w:rPr>
        <w:t xml:space="preserve">”</w:t>
      </w:r>
      <w:r>
        <w:rPr>
          <w:b/>
        </w:rPr>
        <w:t xml:space="preserve"> </w:t>
      </w:r>
      <w:r>
        <w:rPr>
          <w:b/>
        </w:rPr>
        <w:t xml:space="preserve">contention.</w:t>
      </w:r>
      <w:r>
        <w:t xml:space="preserve"> </w:t>
      </w:r>
      <w:r>
        <w:t xml:space="preserve">Judicial trust language, the argument runs, is descriptive shorthand — courts reaching for a familiar metaphor — not the adoption of trust law wholesale. The contention is currently advanced in the Oregon litigation described at § 4.5. Its difficulty is that the characterizations appear in the operative reasoning of the decisions, not their rhetoric:</w:t>
      </w:r>
      <w:r>
        <w:t xml:space="preserve"> </w:t>
      </w:r>
      <w:r>
        <w:rPr>
          <w:i/>
        </w:rPr>
        <w:t xml:space="preserve">Eagle Point</w:t>
      </w:r>
      <w:r>
        <w:t xml:space="preserve"> </w:t>
      </w:r>
      <w:r>
        <w:t xml:space="preserve">located the trust in</w:t>
      </w:r>
      <w:r>
        <w:t xml:space="preserve"> </w:t>
      </w:r>
      <w:r>
        <w:t xml:space="preserve">“</w:t>
      </w:r>
      <w:r>
        <w:t xml:space="preserve">the fundamental law of this state</w:t>
      </w:r>
      <w:r>
        <w:t xml:space="preserve">”</w:t>
      </w:r>
      <w:r>
        <w:t xml:space="preserve">;</w:t>
      </w:r>
      <w:r>
        <w:t xml:space="preserve"> </w:t>
      </w:r>
      <w:r>
        <w:rPr>
          <w:i/>
        </w:rPr>
        <w:t xml:space="preserve">Lee</w:t>
      </w:r>
      <w:r>
        <w:t xml:space="preserve"> </w:t>
      </w:r>
      <w:r>
        <w:t xml:space="preserve">classified the state as an active rather than dry trustee, a distinction that has no function except to assign duties;</w:t>
      </w:r>
      <w:r>
        <w:t xml:space="preserve"> </w:t>
      </w:r>
      <w:r>
        <w:rPr>
          <w:i/>
        </w:rPr>
        <w:t xml:space="preserve">Cascadia</w:t>
      </w:r>
      <w:r>
        <w:t xml:space="preserve"> </w:t>
      </w:r>
      <w:r>
        <w:t xml:space="preserve">rested its Admission Act analysis on the grant of the federal lands to the state</w:t>
      </w:r>
      <w:r>
        <w:t xml:space="preserve"> </w:t>
      </w:r>
      <w:r>
        <w:t xml:space="preserve">“</w:t>
      </w:r>
      <w:r>
        <w:t xml:space="preserve">in trust</w:t>
      </w:r>
      <w:r>
        <w:t xml:space="preserve"> </w:t>
      </w:r>
      <w:r>
        <w:t xml:space="preserve">‘</w:t>
      </w:r>
      <w:r>
        <w:t xml:space="preserve">for school purposes.</w:t>
      </w:r>
      <w:r>
        <w:t xml:space="preserve">’</w:t>
      </w:r>
      <w:r>
        <w:t xml:space="preserve">”</w:t>
      </w:r>
      <w:r>
        <w:rPr>
          <w:rStyle w:val="FootnoteReference"/>
        </w:rPr>
        <w:footnoteReference w:id="190"/>
      </w:r>
      <w:r>
        <w:t xml:space="preserve"> </w:t>
      </w:r>
      <w:r>
        <w:t xml:space="preserve">No decision in the verified corpus has accepted the labels reading.</w:t>
      </w:r>
    </w:p>
    <w:p>
      <w:pPr>
        <w:pStyle w:val="BodyText"/>
      </w:pPr>
      <w:r>
        <w:rPr>
          <w:b/>
        </w:rPr>
        <w:t xml:space="preserve">(2) The</w:t>
      </w:r>
      <w:r>
        <w:rPr>
          <w:b/>
        </w:rPr>
        <w:t xml:space="preserve"> </w:t>
      </w:r>
      <w:r>
        <w:rPr>
          <w:b/>
        </w:rPr>
        <w:t xml:space="preserve">“</w:t>
      </w:r>
      <w:r>
        <w:rPr>
          <w:b/>
        </w:rPr>
        <w:t xml:space="preserve">prescribed by law</w:t>
      </w:r>
      <w:r>
        <w:rPr>
          <w:b/>
        </w:rPr>
        <w:t xml:space="preserve">”</w:t>
      </w:r>
      <w:r>
        <w:rPr>
          <w:b/>
        </w:rPr>
        <w:t xml:space="preserve"> </w:t>
      </w:r>
      <w:r>
        <w:rPr>
          <w:b/>
        </w:rPr>
        <w:t xml:space="preserve">contention.</w:t>
      </w:r>
      <w:r>
        <w:t xml:space="preserve"> </w:t>
      </w:r>
      <w:r>
        <w:t xml:space="preserve">Where a constitution subjects the land board’s powers and duties to legislative prescription, the argument runs, the legislature’s enactments are the duties’ exclusive source. The contention has genuine doctrinal footing —</w:t>
      </w:r>
      <w:r>
        <w:t xml:space="preserve"> </w:t>
      </w:r>
      <w:r>
        <w:rPr>
          <w:i/>
        </w:rPr>
        <w:t xml:space="preserve">Johnson</w:t>
      </w:r>
      <w:r>
        <w:t xml:space="preserve"> </w:t>
      </w:r>
      <w:r>
        <w:t xml:space="preserve">and</w:t>
      </w:r>
      <w:r>
        <w:t xml:space="preserve"> </w:t>
      </w:r>
      <w:r>
        <w:rPr>
          <w:i/>
        </w:rPr>
        <w:t xml:space="preserve">Cascadia</w:t>
      </w:r>
      <w:r>
        <w:t xml:space="preserve"> </w:t>
      </w:r>
      <w:r>
        <w:t xml:space="preserve">allocate substantial design authority to the Oregon legislature, and the federal courts in</w:t>
      </w:r>
      <w:r>
        <w:t xml:space="preserve"> </w:t>
      </w:r>
      <w:r>
        <w:rPr>
          <w:i/>
        </w:rPr>
        <w:t xml:space="preserve">Branson</w:t>
      </w:r>
      <w:r>
        <w:t xml:space="preserve"> </w:t>
      </w:r>
      <w:r>
        <w:t xml:space="preserve">likewise sustained a state’s structural reform against compact challenge.</w:t>
      </w:r>
      <w:r>
        <w:rPr>
          <w:rStyle w:val="FootnoteReference"/>
        </w:rPr>
        <w:footnoteReference w:id="191"/>
      </w:r>
      <w:r>
        <w:t xml:space="preserve"> </w:t>
      </w:r>
      <w:r>
        <w:t xml:space="preserve">But the sister-state authorities draw the boundary uniformly: legislative power operates</w:t>
      </w:r>
      <w:r>
        <w:t xml:space="preserve"> </w:t>
      </w:r>
      <w:r>
        <w:rPr>
          <w:i/>
        </w:rPr>
        <w:t xml:space="preserve">within</w:t>
      </w:r>
      <w:r>
        <w:t xml:space="preserve"> </w:t>
      </w:r>
      <w:r>
        <w:t xml:space="preserve">the trust and ends where breach begins.</w:t>
      </w:r>
      <w:r>
        <w:t xml:space="preserve"> </w:t>
      </w:r>
      <w:r>
        <w:t xml:space="preserve">“</w:t>
      </w:r>
      <w:r>
        <w:t xml:space="preserve">No Act of the Legislature can validly alter, modify or diminish the State’s duty as Trustee.</w:t>
      </w:r>
      <w:r>
        <w:t xml:space="preserve">”</w:t>
      </w:r>
      <w:r>
        <w:rPr>
          <w:rStyle w:val="FootnoteReference"/>
        </w:rPr>
        <w:footnoteReference w:id="192"/>
      </w:r>
    </w:p>
    <w:p>
      <w:pPr>
        <w:pStyle w:val="BodyText"/>
      </w:pPr>
      <w:r>
        <w:rPr>
          <w:b/>
        </w:rPr>
        <w:t xml:space="preserve">(3) The negative-implication contention.</w:t>
      </w:r>
      <w:r>
        <w:t xml:space="preserve"> </w:t>
      </w:r>
      <w:r>
        <w:t xml:space="preserve">State trust codes and prudent-investor statutes typically exclude public bodies; the exclusion, the argument runs, implies a legislative judgment that no fiduciary duties attach. The inference is contestable in both directions — the exclusions are equally consistent with the judgment that public trusts are governed by constitutional and common-law standards the codes do not displace — and no court in the verified corpus has adopted the negative implication as a holding [VERIFY: survey of decisions addressing trust-code exclusions remains to be completed].</w:t>
      </w:r>
    </w:p>
    <w:p>
      <w:pPr>
        <w:pStyle w:val="BodyText"/>
      </w:pPr>
      <w:r>
        <w:rPr>
          <w:b/>
        </w:rPr>
        <w:t xml:space="preserve">(4) The</w:t>
      </w:r>
      <w:r>
        <w:rPr>
          <w:b/>
        </w:rPr>
        <w:t xml:space="preserve"> </w:t>
      </w:r>
      <w:r>
        <w:rPr>
          <w:b/>
        </w:rPr>
        <w:t xml:space="preserve">“</w:t>
      </w:r>
      <w:r>
        <w:rPr>
          <w:b/>
        </w:rPr>
        <w:t xml:space="preserve">absolute grant</w:t>
      </w:r>
      <w:r>
        <w:rPr>
          <w:b/>
        </w:rPr>
        <w:t xml:space="preserve">”</w:t>
      </w:r>
      <w:r>
        <w:rPr>
          <w:b/>
        </w:rPr>
        <w:t xml:space="preserve"> </w:t>
      </w:r>
      <w:r>
        <w:rPr>
          <w:b/>
        </w:rPr>
        <w:t xml:space="preserve">contention.</w:t>
      </w:r>
      <w:r>
        <w:t xml:space="preserve"> </w:t>
      </w:r>
      <w:r>
        <w:t xml:space="preserve">Early opinions describing the grant as</w:t>
      </w:r>
      <w:r>
        <w:t xml:space="preserve"> </w:t>
      </w:r>
      <w:r>
        <w:t xml:space="preserve">“</w:t>
      </w:r>
      <w:r>
        <w:t xml:space="preserve">absolute</w:t>
      </w:r>
      <w:r>
        <w:t xml:space="preserve">”</w:t>
      </w:r>
      <w:r>
        <w:t xml:space="preserve"> </w:t>
      </w:r>
      <w:r>
        <w:t xml:space="preserve">are invoked for the absence of enforceable conditions. The texts will not carry the weight:</w:t>
      </w:r>
      <w:r>
        <w:t xml:space="preserve"> </w:t>
      </w:r>
      <w:r>
        <w:rPr>
          <w:i/>
        </w:rPr>
        <w:t xml:space="preserve">Schneider</w:t>
      </w:r>
      <w:r>
        <w:t xml:space="preserve">’s full phrase is</w:t>
      </w:r>
      <w:r>
        <w:t xml:space="preserve"> </w:t>
      </w:r>
      <w:r>
        <w:t xml:space="preserve">“</w:t>
      </w:r>
      <w:r>
        <w:t xml:space="preserve">an absolute grant, vesting the title in the state for a special purpose</w:t>
      </w:r>
      <w:r>
        <w:t xml:space="preserve">”</w:t>
      </w:r>
      <w:r>
        <w:t xml:space="preserve"> </w:t>
      </w:r>
      <w:r>
        <w:t xml:space="preserve">— absoluteness goes to irrevocability of title, and the</w:t>
      </w:r>
      <w:r>
        <w:t xml:space="preserve"> </w:t>
      </w:r>
      <w:r>
        <w:t xml:space="preserve">“</w:t>
      </w:r>
      <w:r>
        <w:t xml:space="preserve">special purpose</w:t>
      </w:r>
      <w:r>
        <w:t xml:space="preserve">”</w:t>
      </w:r>
      <w:r>
        <w:t xml:space="preserve"> </w:t>
      </w:r>
      <w:r>
        <w:t xml:space="preserve">is precisely the restriction that constitutes the trust.</w:t>
      </w:r>
      <w:r>
        <w:rPr>
          <w:rStyle w:val="FootnoteReference"/>
        </w:rPr>
        <w:footnoteReference w:id="193"/>
      </w:r>
    </w:p>
    <w:p>
      <w:pPr>
        <w:pStyle w:val="BodyText"/>
      </w:pPr>
      <w:r>
        <w:rPr>
          <w:b/>
        </w:rPr>
        <w:t xml:space="preserve">(5) The enforcement-channel contention.</w:t>
      </w:r>
      <w:r>
        <w:t xml:space="preserve"> </w:t>
      </w:r>
      <w:r>
        <w:t xml:space="preserve">Distinct from all the above is the position that the trust is real but enforceable only by public officers — the charitable-trust framing. The New Mexico Court of Appeals so held, denying standing to conservation groups and to parents suing on behalf of schoolchildren, over a separate opinion objecting that</w:t>
      </w:r>
      <w:r>
        <w:t xml:space="preserve"> </w:t>
      </w:r>
      <w:r>
        <w:t xml:space="preserve">“</w:t>
      </w:r>
      <w:r>
        <w:t xml:space="preserve">[t]he majority opinion applies our standing case law too cautiously and in the process essentially voids that provision of Section 10 of the Enabling Act which reserves the</w:t>
      </w:r>
      <w:r>
        <w:t xml:space="preserve"> </w:t>
      </w:r>
      <w:r>
        <w:t xml:space="preserve">‘</w:t>
      </w:r>
      <w:r>
        <w:t xml:space="preserve">power … of any citizen [of the State] to enforce the provisions of this act.</w:t>
      </w:r>
      <w:r>
        <w:t xml:space="preserve">’</w:t>
      </w:r>
      <w:r>
        <w:t xml:space="preserve">”</w:t>
      </w:r>
      <w:r>
        <w:rPr>
          <w:rStyle w:val="FootnoteReference"/>
        </w:rPr>
        <w:footnoteReference w:id="194"/>
      </w:r>
      <w:r>
        <w:t xml:space="preserve"> </w:t>
      </w:r>
      <w:r>
        <w:t xml:space="preserve">This contention concedes trust character and contests only the plaintiff class; it is treated with the standing doctrine in Chapter 13. The practitioner should resist opposing counsel’s tendency to blur it into contention (1): a trust enforceable only by the attorney general is still a trust, with every consequence catalogued in § 4.6 available in a properly constituted suit.</w:t>
      </w:r>
    </w:p>
    <w:p>
      <w:pPr>
        <w:pStyle w:val="BodyText"/>
      </w:pPr>
      <w:r>
        <w:t xml:space="preserve">Finally, candor requires noting the decisions in which trust character was affirmed but the state prevailed on the application:</w:t>
      </w:r>
      <w:r>
        <w:t xml:space="preserve"> </w:t>
      </w:r>
      <w:r>
        <w:rPr>
          <w:i/>
        </w:rPr>
        <w:t xml:space="preserve">Johnson</w:t>
      </w:r>
      <w:r>
        <w:t xml:space="preserve"> </w:t>
      </w:r>
      <w:r>
        <w:t xml:space="preserve">(proper use of common school funds a legislative determination within the constitutional standard),</w:t>
      </w:r>
      <w:r>
        <w:t xml:space="preserve"> </w:t>
      </w:r>
      <w:r>
        <w:rPr>
          <w:i/>
        </w:rPr>
        <w:t xml:space="preserve">Cascadia</w:t>
      </w:r>
      <w:r>
        <w:t xml:space="preserve"> </w:t>
      </w:r>
      <w:r>
        <w:t xml:space="preserve">(no core function of revenue maximization invalidating a withdrawal statute),</w:t>
      </w:r>
      <w:r>
        <w:t xml:space="preserve"> </w:t>
      </w:r>
      <w:r>
        <w:rPr>
          <w:i/>
        </w:rPr>
        <w:t xml:space="preserve">Andrus</w:t>
      </w:r>
      <w:r>
        <w:t xml:space="preserve"> </w:t>
      </w:r>
      <w:r>
        <w:t xml:space="preserve">(Secretary’s indemnity policy sustained within the solemn-agreement frame),</w:t>
      </w:r>
      <w:r>
        <w:t xml:space="preserve"> </w:t>
      </w:r>
      <w:r>
        <w:rPr>
          <w:i/>
        </w:rPr>
        <w:t xml:space="preserve">Branson</w:t>
      </w:r>
      <w:r>
        <w:t xml:space="preserve"> </w:t>
      </w:r>
      <w:r>
        <w:t xml:space="preserve">(structural reform sustained), and Montana’s</w:t>
      </w:r>
      <w:r>
        <w:t xml:space="preserve"> </w:t>
      </w:r>
      <w:r>
        <w:rPr>
          <w:i/>
        </w:rPr>
        <w:t xml:space="preserve">Darkenwald</w:t>
      </w:r>
      <w:r>
        <w:t xml:space="preserve"> </w:t>
      </w:r>
      <w:r>
        <w:t xml:space="preserve">decision sustaining, over a vigorous dissent, a revenue-commingling statute with a reconciliation mechanism.</w:t>
      </w:r>
      <w:r>
        <w:rPr>
          <w:rStyle w:val="FootnoteReference"/>
        </w:rPr>
        <w:footnoteReference w:id="195"/>
      </w:r>
      <w:r>
        <w:t xml:space="preserve"> </w:t>
      </w:r>
      <w:r>
        <w:t xml:space="preserve">These cases mark the doctrine’s real boundary — trust character constrains, but does not displace, legislative administration — and the honest hornbook statement is that the field’s live disputes are fought on that boundary, not on the existence of the trust.</w:t>
      </w:r>
    </w:p>
    <w:p>
      <w:pPr>
        <w:pStyle w:val="Heading3"/>
      </w:pPr>
      <w:bookmarkStart w:id="196" w:name="synthesis-1"/>
      <w:r>
        <w:t xml:space="preserve">§ 4.8 Synthesis</w:t>
      </w:r>
      <w:bookmarkEnd w:id="196"/>
    </w:p>
    <w:p>
      <w:pPr>
        <w:pStyle w:val="FirstParagraph"/>
      </w:pPr>
      <w:r>
        <w:t xml:space="preserve">The black-letter propositions a practitioner may state with confidence:</w:t>
      </w:r>
    </w:p>
    <w:p>
      <w:pPr>
        <w:numPr>
          <w:ilvl w:val="0"/>
          <w:numId w:val="1002"/>
        </w:numPr>
        <w:pStyle w:val="Compact"/>
      </w:pPr>
      <w:r>
        <w:rPr>
          <w:b/>
        </w:rPr>
        <w:t xml:space="preserve">The school-lands grants create real, enforceable trusts.</w:t>
      </w:r>
      <w:r>
        <w:t xml:space="preserve"> </w:t>
      </w:r>
      <w:r>
        <w:t xml:space="preserve">The federal line is unbroken from 1852 to 1989, and every state high court squarely presented with the question has agreed.</w:t>
      </w:r>
      <w:r>
        <w:rPr>
          <w:rStyle w:val="FootnoteReference"/>
        </w:rPr>
        <w:footnoteReference w:id="197"/>
      </w:r>
      <w:r>
        <w:rPr>
          <w:rStyle w:val="FootnoteReference"/>
        </w:rPr>
        <w:footnoteReference w:id="198"/>
      </w:r>
    </w:p>
    <w:p>
      <w:pPr>
        <w:numPr>
          <w:ilvl w:val="0"/>
          <w:numId w:val="1002"/>
        </w:numPr>
        <w:pStyle w:val="Compact"/>
      </w:pPr>
      <w:r>
        <w:rPr>
          <w:b/>
        </w:rPr>
        <w:t xml:space="preserve">Where the state constitution designates the trust, breach of trust is breach of the constitution,</w:t>
      </w:r>
      <w:r>
        <w:t xml:space="preserve"> </w:t>
      </w:r>
      <w:r>
        <w:t xml:space="preserve">incorporating the rules of trust administration into organic law and invalidating legislation that authorizes breach.</w:t>
      </w:r>
      <w:r>
        <w:rPr>
          <w:rStyle w:val="FootnoteReference"/>
        </w:rPr>
        <w:footnoteReference w:id="199"/>
      </w:r>
    </w:p>
    <w:p>
      <w:pPr>
        <w:numPr>
          <w:ilvl w:val="0"/>
          <w:numId w:val="1002"/>
        </w:numPr>
        <w:pStyle w:val="Compact"/>
      </w:pPr>
      <w:r>
        <w:rPr>
          <w:b/>
        </w:rPr>
        <w:t xml:space="preserve">Within the trust, legislatures retain genuine administrative design authority</w:t>
      </w:r>
      <w:r>
        <w:t xml:space="preserve"> </w:t>
      </w:r>
      <w:r>
        <w:t xml:space="preserve">— structure, method, even withdrawal of lands from sale — bounded by the prohibition on subordinating or diverting the beneficiaries’ interest.</w:t>
      </w:r>
      <w:r>
        <w:rPr>
          <w:rStyle w:val="FootnoteReference"/>
        </w:rPr>
        <w:footnoteReference w:id="200"/>
      </w:r>
    </w:p>
    <w:p>
      <w:pPr>
        <w:numPr>
          <w:ilvl w:val="0"/>
          <w:numId w:val="1002"/>
        </w:numPr>
        <w:pStyle w:val="Compact"/>
      </w:pPr>
      <w:r>
        <w:rPr>
          <w:b/>
        </w:rPr>
        <w:t xml:space="preserve">In the early-instrument states the contrary position remains a litigating position, not a holding.</w:t>
      </w:r>
      <w:r>
        <w:t xml:space="preserve"> </w:t>
      </w:r>
      <w:r>
        <w:t xml:space="preserve">As of this writing, no court has held a school-lands grant honorary; the question is squarely presented in pending Oregon litigation, and the chapter should be updated when it is decided [VERIFY before publication: status of</w:t>
      </w:r>
      <w:r>
        <w:t xml:space="preserve"> </w:t>
      </w:r>
      <w:r>
        <w:rPr>
          <w:i/>
        </w:rPr>
        <w:t xml:space="preserve">Siuslaw School District 97J v. State of Oregon</w:t>
      </w:r>
      <w:r>
        <w:t xml:space="preserve">, No. 24CV38372, and of the petition for review in</w:t>
      </w:r>
      <w:r>
        <w:t xml:space="preserve"> </w:t>
      </w:r>
      <w:r>
        <w:rPr>
          <w:i/>
        </w:rPr>
        <w:t xml:space="preserve">Advocates for School Trust Lands v. State</w:t>
      </w:r>
      <w:r>
        <w:t xml:space="preserve">].</w:t>
      </w:r>
    </w:p>
    <w:p>
      <w:r>
        <w:pict>
          <v:rect style="width:0;height:1.5pt" o:hralign="center" o:hrstd="t" o:hr="t"/>
        </w:pict>
      </w:r>
    </w:p>
    <w:p>
      <w:pPr>
        <w:pStyle w:val="FirstParagraph"/>
      </w:pPr>
      <w:r>
        <w:rPr>
          <w:i/>
        </w:rPr>
        <w:t xml:space="preserve">End of Trust Character chapter v1 (renumbered as Chapter 4; numeric footnotes converted to named keys 2026-06-07). Verification pass of 2026-06-07 against L0 primaries: the two 1999 Idaho Watersheds opinions resolved (133 Idaho 55 is the H.J.R. 6 single-subject writ proceeding; 133 Idaho 64, 982 P.2d 367, is the § 58-310B invalidation); the second Kanaly opinion resolved (401 N.W.2d 551 (S.D. 1987); the 397 N.W.2d 374 cite is erroneous). Verification queue: Advocates v. State review status; trust-code negative-implication survey; Siuslaw litigation status at publication; full-opinion pulls behind the stub-carried items flagged above (Platte Valley, University of Alaska, Weiss, Plateau Mining, Deer Valley, Pettibone, Darkenwald, the 1983 Oregon AG opinion). Resolved 2026-06-07: the NPCA</w:t>
      </w:r>
      <w:r>
        <w:rPr>
          <w:i/>
        </w:rPr>
        <w:t xml:space="preserve"> </w:t>
      </w:r>
      <w:r>
        <w:rPr>
          <w:i/>
        </w:rPr>
        <w:t xml:space="preserve">“</w:t>
      </w:r>
      <w:r>
        <w:rPr>
          <w:i/>
        </w:rPr>
        <w:t xml:space="preserve">suspect on its face</w:t>
      </w:r>
      <w:r>
        <w:rPr>
          <w:i/>
        </w:rPr>
        <w:t xml:space="preserve">”</w:t>
      </w:r>
      <w:r>
        <w:rPr>
          <w:i/>
        </w:rPr>
        <w:t xml:space="preserve"> </w:t>
      </w:r>
      <w:r>
        <w:rPr>
          <w:i/>
        </w:rPr>
        <w:t xml:space="preserve">quotation verified verbatim against the full opinion text and pinned at 869 P.2d 909, 922; the proceeds/use-of-land passage pinned at 920 (flags cleared; the L0 full-opinion upgrade remains on the harvest queue).</w:t>
      </w:r>
    </w:p>
    <w:p>
      <w:r>
        <w:br w:type="page"/>
      </w:r>
    </w:p>
    <w:p>
      <w:pPr>
        <w:pStyle w:val="Heading1"/>
      </w:pPr>
      <w:bookmarkStart w:id="201" w:name="X72f94e56ffeb7ea784d88ef2266f9e4683e5355"/>
      <w:r>
        <w:t xml:space="preserve">Chapter 5 — The State’s Two Capacities: Sovereign and Trustee (v1)</w:t>
      </w:r>
      <w:bookmarkEnd w:id="201"/>
    </w:p>
    <w:p>
      <w:pPr>
        <w:pStyle w:val="FirstParagraph"/>
      </w:pPr>
      <w:r>
        <w:rPr>
          <w:i/>
        </w:rPr>
        <w:t xml:space="preserve">Status: v1, corpus-bounded draft — renumbered (formerly Chapter 4) per the 2026-06-07 chapter map and converted from numeric footnotes to named keys per</w:t>
      </w:r>
      <w:r>
        <w:rPr>
          <w:i/>
        </w:rPr>
        <w:t xml:space="preserve"> </w:t>
      </w:r>
      <w:r>
        <w:rPr>
          <w:rStyle w:val="VerbatimChar"/>
          <w:i/>
        </w:rPr>
        <w:t xml:space="preserve">_tools/CITATION_STANDARD.md</w:t>
      </w:r>
      <w:r>
        <w:rPr>
          <w:i/>
        </w:rPr>
        <w:t xml:space="preserve">; change ledger at</w:t>
      </w:r>
      <w:r>
        <w:rPr>
          <w:i/>
        </w:rPr>
        <w:t xml:space="preserve"> </w:t>
      </w:r>
      <w:r>
        <w:rPr>
          <w:rStyle w:val="VerbatimChar"/>
          <w:i/>
        </w:rPr>
        <w:t xml:space="preserve">_citation_audit/impl_ch02-05.md</w:t>
      </w:r>
      <w:r>
        <w:rPr>
          <w:i/>
        </w:rPr>
        <w:t xml:space="preserve">. Every authority herein is carried in the project’s verified research files; [VERIFY] flags mark items awaiting primary-source confirmation under quality gate G3. Passages touching the pending Oregon litigation are drawn from the public record only and carry [COUNSEL REVIEW] flags.</w:t>
      </w:r>
    </w:p>
    <w:p>
      <w:r>
        <w:pict>
          <v:rect style="width:0;height:1.5pt" o:hralign="center" o:hrstd="t" o:hr="t"/>
        </w:pict>
      </w:r>
    </w:p>
    <w:p>
      <w:pPr>
        <w:pStyle w:val="Heading3"/>
      </w:pPr>
      <w:bookmarkStart w:id="202" w:name="the-distinction-stated"/>
      <w:r>
        <w:t xml:space="preserve">§ 5.1 The distinction stated</w:t>
      </w:r>
      <w:bookmarkEnd w:id="202"/>
    </w:p>
    <w:p>
      <w:pPr>
        <w:pStyle w:val="FirstParagraph"/>
      </w:pPr>
      <w:r>
        <w:t xml:space="preserve">A state that accepted a school-lands grant occupies two legal capacities at once. As</w:t>
      </w:r>
      <w:r>
        <w:t xml:space="preserve"> </w:t>
      </w:r>
      <w:r>
        <w:rPr>
          <w:i/>
        </w:rPr>
        <w:t xml:space="preserve">sovereign</w:t>
      </w:r>
      <w:r>
        <w:t xml:space="preserve">, it governs: it legislates, taxes, condemns, builds highways, designates parks, and owes its duties to the people generally. As</w:t>
      </w:r>
      <w:r>
        <w:t xml:space="preserve"> </w:t>
      </w:r>
      <w:r>
        <w:rPr>
          <w:i/>
        </w:rPr>
        <w:t xml:space="preserve">trustee</w:t>
      </w:r>
      <w:r>
        <w:t xml:space="preserve">, it administers a specific estate for a specific beneficiary class, and owes that class — not the public — the duties catalogued in Part III. Most of the modern violations in the field’s case law are, at bottom, failures to keep the two capacities apart: the sovereign reaching for trust assets as if they were ordinary public property, or the trustee subordinating the beneficiaries’ interest to a goal the sovereign prefers.</w:t>
      </w:r>
    </w:p>
    <w:p>
      <w:pPr>
        <w:pStyle w:val="BodyText"/>
      </w:pPr>
      <w:r>
        <w:t xml:space="preserve">An Arizona trial judge, writing after the era’s leading cases, stated the working rule with a bluntness the formal doctrine confirms:</w:t>
      </w:r>
      <w:r>
        <w:t xml:space="preserve"> </w:t>
      </w:r>
      <w:r>
        <w:t xml:space="preserve">“</w:t>
      </w:r>
      <w:r>
        <w:t xml:space="preserve">state trust land is not owned by the State of Arizona. It is held by the State in trust for specified beneficiaries.</w:t>
      </w:r>
      <w:r>
        <w:t xml:space="preserve">”</w:t>
      </w:r>
      <w:r>
        <w:rPr>
          <w:rStyle w:val="FootnoteReference"/>
        </w:rPr>
        <w:footnoteReference w:id="203"/>
      </w:r>
      <w:r>
        <w:t xml:space="preserve"> </w:t>
      </w:r>
      <w:r>
        <w:t xml:space="preserve">This chapter develops that proposition in four steps: the two distinct sources of state title and the two distinct trusts they generate (§ 5.2); why</w:t>
      </w:r>
      <w:r>
        <w:t xml:space="preserve"> </w:t>
      </w:r>
      <w:r>
        <w:t xml:space="preserve">“</w:t>
      </w:r>
      <w:r>
        <w:t xml:space="preserve">the people generally</w:t>
      </w:r>
      <w:r>
        <w:t xml:space="preserve">”</w:t>
      </w:r>
      <w:r>
        <w:t xml:space="preserve"> </w:t>
      </w:r>
      <w:r>
        <w:t xml:space="preserve">are not the beneficiary class (§ 5.3); intra-governmental adversity — what happens when the state deals with itself (§ 5.4); and the</w:t>
      </w:r>
      <w:r>
        <w:t xml:space="preserve"> </w:t>
      </w:r>
      <w:r>
        <w:t xml:space="preserve">“</w:t>
      </w:r>
      <w:r>
        <w:t xml:space="preserve">not state land</w:t>
      </w:r>
      <w:r>
        <w:t xml:space="preserve">”</w:t>
      </w:r>
      <w:r>
        <w:t xml:space="preserve"> </w:t>
      </w:r>
      <w:r>
        <w:t xml:space="preserve">proposition with its honest limits (§ 5.5).</w:t>
      </w:r>
    </w:p>
    <w:p>
      <w:pPr>
        <w:pStyle w:val="Heading3"/>
      </w:pPr>
      <w:bookmarkStart w:id="204" w:name="two-sources-of-title-two-trusts"/>
      <w:r>
        <w:t xml:space="preserve">§ 5.2 Two sources of title, two trusts</w:t>
      </w:r>
      <w:bookmarkEnd w:id="204"/>
    </w:p>
    <w:p>
      <w:pPr>
        <w:pStyle w:val="FirstParagraph"/>
      </w:pPr>
      <w:r>
        <w:t xml:space="preserve">The distinction begins in conveyancing. A state holds its lands under two fundamentally different kinds of title, and a different trust doctrine attaches to each.</w:t>
      </w:r>
    </w:p>
    <w:p>
      <w:pPr>
        <w:pStyle w:val="BodyText"/>
      </w:pPr>
      <w:r>
        <w:rPr>
          <w:b/>
        </w:rPr>
        <w:t xml:space="preserve">Sovereign title.</w:t>
      </w:r>
      <w:r>
        <w:t xml:space="preserve"> </w:t>
      </w:r>
      <w:r>
        <w:t xml:space="preserve">Some lands — beds of navigable waters being the classic case — pass to a state at statehood by operation of the equal-footing doctrine,</w:t>
      </w:r>
      <w:r>
        <w:t xml:space="preserve"> </w:t>
      </w:r>
      <w:r>
        <w:t xml:space="preserve">“</w:t>
      </w:r>
      <w:r>
        <w:t xml:space="preserve">by virtue of its sovereignty.</w:t>
      </w:r>
      <w:r>
        <w:t xml:space="preserve">”</w:t>
      </w:r>
      <w:r>
        <w:t xml:space="preserve"> </w:t>
      </w:r>
      <w:r>
        <w:t xml:space="preserve">Title of this kind</w:t>
      </w:r>
      <w:r>
        <w:t xml:space="preserve"> </w:t>
      </w:r>
      <w:r>
        <w:t xml:space="preserve">“</w:t>
      </w:r>
      <w:r>
        <w:t xml:space="preserve">is conferred not by Congress, but by the Constitution itself.</w:t>
      </w:r>
      <w:r>
        <w:t xml:space="preserve">”</w:t>
      </w:r>
      <w:r>
        <w:rPr>
          <w:rStyle w:val="FootnoteReference"/>
        </w:rPr>
        <w:footnoteReference w:id="205"/>
      </w:r>
      <w:r>
        <w:t xml:space="preserve"> </w:t>
      </w:r>
      <w:r>
        <w:t xml:space="preserve">Lands so held are subject, in most states, to the public trust doctrine: the state’s rights over its sovereign lands are</w:t>
      </w:r>
      <w:r>
        <w:t xml:space="preserve"> </w:t>
      </w:r>
      <w:r>
        <w:t xml:space="preserve">“</w:t>
      </w:r>
      <w:r>
        <w:t xml:space="preserve">merely those of a trustee for the public.</w:t>
      </w:r>
      <w:r>
        <w:t xml:space="preserve">”</w:t>
      </w:r>
      <w:r>
        <w:rPr>
          <w:rStyle w:val="FootnoteReference"/>
        </w:rPr>
        <w:footnoteReference w:id="206"/>
      </w:r>
      <w:r>
        <w:t xml:space="preserve"> </w:t>
      </w:r>
      <w:r>
        <w:t xml:space="preserve">The public trust doctrine is a creature of state law, its beneficiary is the public at large, and its content is whatever the state’s own courts have made of it.</w:t>
      </w:r>
    </w:p>
    <w:p>
      <w:pPr>
        <w:pStyle w:val="BodyText"/>
      </w:pPr>
      <w:r>
        <w:rPr>
          <w:b/>
        </w:rPr>
        <w:t xml:space="preserve">Granted title.</w:t>
      </w:r>
      <w:r>
        <w:t xml:space="preserve"> </w:t>
      </w:r>
      <w:r>
        <w:t xml:space="preserve">The school sections came to the state another way entirely: by direct federal conveyance, on conditions, accepted as a compact (Chapters 2 and 3). Federal land law has long held that land</w:t>
      </w:r>
      <w:r>
        <w:t xml:space="preserve"> </w:t>
      </w:r>
      <w:r>
        <w:t xml:space="preserve">“</w:t>
      </w:r>
      <w:r>
        <w:t xml:space="preserve">legally appropriated to any purpose</w:t>
      </w:r>
      <w:r>
        <w:t xml:space="preserve">”</w:t>
      </w:r>
      <w:r>
        <w:t xml:space="preserve"> </w:t>
      </w:r>
      <w:r>
        <w:t xml:space="preserve">is,</w:t>
      </w:r>
      <w:r>
        <w:t xml:space="preserve"> </w:t>
      </w:r>
      <w:r>
        <w:t xml:space="preserve">“</w:t>
      </w:r>
      <w:r>
        <w:t xml:space="preserve">from that moment … severed from the mass of public lands</w:t>
      </w:r>
      <w:r>
        <w:t xml:space="preserve">”</w:t>
      </w:r>
      <w:r>
        <w:rPr>
          <w:rStyle w:val="FootnoteReference"/>
        </w:rPr>
        <w:footnoteReference w:id="207"/>
      </w:r>
      <w:r>
        <w:t xml:space="preserve"> </w:t>
      </w:r>
      <w:r>
        <w:t xml:space="preserve">— and the school sections were appropriated to a named purpose before the state ever held them. The trust that attaches to granted title is the subject of this volume: its source is the federal compact and the receiving constitution, its beneficiary class is named, and its content is the body of fiduciary doctrine collected in Chapter 4 and Part III.</w:t>
      </w:r>
    </w:p>
    <w:p>
      <w:pPr>
        <w:pStyle w:val="BodyText"/>
      </w:pPr>
      <w:r>
        <w:t xml:space="preserve">The two trusts are easily conflated, because both use the word</w:t>
      </w:r>
      <w:r>
        <w:t xml:space="preserve"> </w:t>
      </w:r>
      <w:r>
        <w:t xml:space="preserve">“</w:t>
      </w:r>
      <w:r>
        <w:t xml:space="preserve">trust</w:t>
      </w:r>
      <w:r>
        <w:t xml:space="preserve">”</w:t>
      </w:r>
      <w:r>
        <w:t xml:space="preserve"> </w:t>
      </w:r>
      <w:r>
        <w:t xml:space="preserve">and both name the state as trustee. The conflation is consequential. Under the public trust doctrine the trustee and the beneficiary are, functionally, the same public, so the doctrine operates chiefly as a restraint on alienation; under the school trust the trustee and the beneficiary are distinct, so the doctrine operates as genuine fiduciary law, with loyalty, full-value, accounting, and enforcement consequences a public-at-large trust cannot generate. In the pending Oregon litigation the plaintiffs contend that the State’s summary-judgment theory rests on precisely this conflation — applying public-trust-doctrine reasoning, built for sovereign-title lands, to a federal direct-grant trust; the State’s position is that the Admission Act grant does not import common-law fiduciary duties at all. Both positions are attributed as positions; the question is unadjudicated as this volume is written. [COUNSEL REVIEW — this paragraph characterizes the parties’ positions in 24CV38372 from public filings.]</w:t>
      </w:r>
      <w:r>
        <w:rPr>
          <w:rStyle w:val="FootnoteReference"/>
        </w:rPr>
        <w:footnoteReference w:id="208"/>
      </w:r>
    </w:p>
    <w:p>
      <w:pPr>
        <w:pStyle w:val="BodyText"/>
      </w:pPr>
      <w:r>
        <w:t xml:space="preserve">The practitioner’s first diligence item in any case follows directly: establish</w:t>
      </w:r>
      <w:r>
        <w:t xml:space="preserve"> </w:t>
      </w:r>
      <w:r>
        <w:rPr>
          <w:i/>
        </w:rPr>
        <w:t xml:space="preserve">which title</w:t>
      </w:r>
      <w:r>
        <w:t xml:space="preserve"> </w:t>
      </w:r>
      <w:r>
        <w:t xml:space="preserve">the disputed land is held under. The applicable trust, the beneficiary class, the standard of review, and the available remedies all turn on the answer.</w:t>
      </w:r>
    </w:p>
    <w:p>
      <w:pPr>
        <w:pStyle w:val="Heading3"/>
      </w:pPr>
      <w:bookmarkStart w:id="209" w:name="Xc0db1fc775180451bf5a9485a1f241efc72aa71"/>
      <w:r>
        <w:t xml:space="preserve">§ 5.3 The beneficiary class: why</w:t>
      </w:r>
      <w:r>
        <w:t xml:space="preserve"> </w:t>
      </w:r>
      <w:r>
        <w:t xml:space="preserve">“</w:t>
      </w:r>
      <w:r>
        <w:t xml:space="preserve">the people generally</w:t>
      </w:r>
      <w:r>
        <w:t xml:space="preserve">”</w:t>
      </w:r>
      <w:r>
        <w:t xml:space="preserve"> </w:t>
      </w:r>
      <w:r>
        <w:t xml:space="preserve">are not it</w:t>
      </w:r>
      <w:bookmarkEnd w:id="209"/>
    </w:p>
    <w:p>
      <w:pPr>
        <w:pStyle w:val="FirstParagraph"/>
      </w:pPr>
      <w:r>
        <w:t xml:space="preserve">Trust law’s organizing question is</w:t>
      </w:r>
      <w:r>
        <w:t xml:space="preserve"> </w:t>
      </w:r>
      <w:r>
        <w:rPr>
          <w:i/>
        </w:rPr>
        <w:t xml:space="preserve">cui bono</w:t>
      </w:r>
      <w:r>
        <w:t xml:space="preserve"> </w:t>
      </w:r>
      <w:r>
        <w:t xml:space="preserve">— for whose benefit? The school-grant answer is specific, and the specificity is the doctrine’s engine.</w:t>
      </w:r>
    </w:p>
    <w:p>
      <w:pPr>
        <w:pStyle w:val="BodyText"/>
      </w:pPr>
      <w:r>
        <w:t xml:space="preserve">The Supreme Court’s formulation in</w:t>
      </w:r>
      <w:r>
        <w:t xml:space="preserve"> </w:t>
      </w:r>
      <w:r>
        <w:rPr>
          <w:i/>
        </w:rPr>
        <w:t xml:space="preserve">Lassen</w:t>
      </w:r>
      <w:r>
        <w:t xml:space="preserve"> </w:t>
      </w:r>
      <w:r>
        <w:t xml:space="preserve">is the lead statement: the grants were designed to</w:t>
      </w:r>
      <w:r>
        <w:t xml:space="preserve"> </w:t>
      </w:r>
      <w:r>
        <w:t xml:space="preserve">“</w:t>
      </w:r>
      <w:r>
        <w:t xml:space="preserve">provide the most substantial support possible to the beneficiaries</w:t>
      </w:r>
      <w:r>
        <w:t xml:space="preserve">”</w:t>
      </w:r>
      <w:r>
        <w:t xml:space="preserve"> </w:t>
      </w:r>
      <w:r>
        <w:t xml:space="preserve">and to ensure</w:t>
      </w:r>
      <w:r>
        <w:t xml:space="preserve"> </w:t>
      </w:r>
      <w:r>
        <w:t xml:space="preserve">“</w:t>
      </w:r>
      <w:r>
        <w:t xml:space="preserve">that only those beneficiaries profit from the trust.</w:t>
      </w:r>
      <w:r>
        <w:t xml:space="preserve">”</w:t>
      </w:r>
      <w:r>
        <w:rPr>
          <w:rStyle w:val="FootnoteReference"/>
        </w:rPr>
        <w:footnoteReference w:id="210"/>
      </w:r>
      <w:r>
        <w:t xml:space="preserve"> </w:t>
      </w:r>
      <w:r>
        <w:t xml:space="preserve">The word</w:t>
      </w:r>
      <w:r>
        <w:t xml:space="preserve"> </w:t>
      </w:r>
      <w:r>
        <w:rPr>
          <w:i/>
        </w:rPr>
        <w:t xml:space="preserve">only</w:t>
      </w:r>
      <w:r>
        <w:t xml:space="preserve"> </w:t>
      </w:r>
      <w:r>
        <w:t xml:space="preserve">does the work. A trust whose benefits may be spread across the public generally is not violated when the sovereign redirects them; a trust whose benefits must reach only the named class is violated by exactly that redirection. So the cases hold. New Mexico’s expenditure of trust income to advertise the state — a use that would plausibly benefit every New Mexican, schoolchildren included — was an</w:t>
      </w:r>
      <w:r>
        <w:t xml:space="preserve"> </w:t>
      </w:r>
      <w:r>
        <w:t xml:space="preserve">“</w:t>
      </w:r>
      <w:r>
        <w:t xml:space="preserve">odious dereliction</w:t>
      </w:r>
      <w:r>
        <w:t xml:space="preserve">”</w:t>
      </w:r>
      <w:r>
        <w:t xml:space="preserve"> </w:t>
      </w:r>
      <w:r>
        <w:t xml:space="preserve">— the District Court’s phrase, recounted by a unanimous Court affirming its result — because the enumeration of trust purposes</w:t>
      </w:r>
      <w:r>
        <w:t xml:space="preserve"> </w:t>
      </w:r>
      <w:r>
        <w:t xml:space="preserve">“</w:t>
      </w:r>
      <w:r>
        <w:t xml:space="preserve">is necessarily exclusive of any other purpose.</w:t>
      </w:r>
      <w:r>
        <w:t xml:space="preserve">”</w:t>
      </w:r>
      <w:r>
        <w:rPr>
          <w:rStyle w:val="FootnoteReference"/>
        </w:rPr>
        <w:footnoteReference w:id="211"/>
      </w:r>
      <w:r>
        <w:t xml:space="preserve"> </w:t>
      </w:r>
      <w:r>
        <w:t xml:space="preserve">Washington’s release of timber purchasers from their contracts — a measure for</w:t>
      </w:r>
      <w:r>
        <w:t xml:space="preserve"> </w:t>
      </w:r>
      <w:r>
        <w:t xml:space="preserve">“</w:t>
      </w:r>
      <w:r>
        <w:t xml:space="preserve">the timber industry and the state economy in general</w:t>
      </w:r>
      <w:r>
        <w:t xml:space="preserve">”</w:t>
      </w:r>
      <w:r>
        <w:t xml:space="preserve"> </w:t>
      </w:r>
      <w:r>
        <w:t xml:space="preserve">— was a breach, because the benefit ran to the economy</w:t>
      </w:r>
      <w:r>
        <w:t xml:space="preserve"> </w:t>
      </w:r>
      <w:r>
        <w:t xml:space="preserve">“</w:t>
      </w:r>
      <w:r>
        <w:t xml:space="preserve">at the expense of the trust beneficiaries.</w:t>
      </w:r>
      <w:r>
        <w:t xml:space="preserve">”</w:t>
      </w:r>
      <w:r>
        <w:rPr>
          <w:rStyle w:val="FootnoteReference"/>
        </w:rPr>
        <w:footnoteReference w:id="212"/>
      </w:r>
      <w:r>
        <w:t xml:space="preserve"> </w:t>
      </w:r>
      <w:r>
        <w:t xml:space="preserve">Idaho’s statute directing the land board to weigh the interests of</w:t>
      </w:r>
      <w:r>
        <w:t xml:space="preserve"> </w:t>
      </w:r>
      <w:r>
        <w:t xml:space="preserve">“</w:t>
      </w:r>
      <w:r>
        <w:t xml:space="preserve">the schools, the state, and Idaho livestock industry</w:t>
      </w:r>
      <w:r>
        <w:t xml:space="preserve">”</w:t>
      </w:r>
      <w:r>
        <w:t xml:space="preserve"> </w:t>
      </w:r>
      <w:r>
        <w:t xml:space="preserve">was invalid, because the legislature itself may not direct the trustee toward non-beneficiary interests.</w:t>
      </w:r>
      <w:r>
        <w:rPr>
          <w:rStyle w:val="FootnoteReference"/>
        </w:rPr>
        <w:footnoteReference w:id="213"/>
      </w:r>
      <w:r>
        <w:t xml:space="preserve"> </w:t>
      </w:r>
      <w:r>
        <w:t xml:space="preserve">Alaska’s inclusion of university trust land in a state park — a public amenity by definition — was</w:t>
      </w:r>
      <w:r>
        <w:t xml:space="preserve"> </w:t>
      </w:r>
      <w:r>
        <w:t xml:space="preserve">“</w:t>
      </w:r>
      <w:r>
        <w:t xml:space="preserve">a breach of a federal trust,</w:t>
      </w:r>
      <w:r>
        <w:t xml:space="preserve">”</w:t>
      </w:r>
      <w:r>
        <w:t xml:space="preserve"> </w:t>
      </w:r>
      <w:r>
        <w:t xml:space="preserve">because</w:t>
      </w:r>
      <w:r>
        <w:t xml:space="preserve"> </w:t>
      </w:r>
      <w:r>
        <w:t xml:space="preserve">“</w:t>
      </w:r>
      <w:r>
        <w:t xml:space="preserve">it is the duty of a trustee to administer the trust solely in the interest of the beneficiaries.</w:t>
      </w:r>
      <w:r>
        <w:t xml:space="preserve">”</w:t>
      </w:r>
      <w:r>
        <w:rPr>
          <w:rStyle w:val="FootnoteReference"/>
        </w:rPr>
        <w:footnoteReference w:id="214"/>
      </w:r>
    </w:p>
    <w:p>
      <w:pPr>
        <w:pStyle w:val="BodyText"/>
      </w:pPr>
      <w:r>
        <w:t xml:space="preserve">The principle bears stating in its uncomfortable generality:</w:t>
      </w:r>
      <w:r>
        <w:t xml:space="preserve"> </w:t>
      </w:r>
      <w:r>
        <w:rPr>
          <w:i/>
        </w:rPr>
        <w:t xml:space="preserve">benefit to the public is not a defense; it is frequently the violation itself.</w:t>
      </w:r>
      <w:r>
        <w:t xml:space="preserve"> </w:t>
      </w:r>
      <w:r>
        <w:t xml:space="preserve">The diversions in the canonical cases were not corrupt enrichments of private parties. They were popular public goods — promotion, parks, industry relief, grazing accommodation — funded out of the trust. The two-capacities frame explains why they fail: each was a sovereign’s judgment about the general welfare, executed with a trustee’s assets.</w:t>
      </w:r>
    </w:p>
    <w:p>
      <w:pPr>
        <w:pStyle w:val="BodyText"/>
      </w:pPr>
      <w:r>
        <w:t xml:space="preserve">One honest complication must be noted. Some receiving constitutions phrase their management standard in terms of the people: Oregon’s Article VIII, section 5(2) directs management</w:t>
      </w:r>
      <w:r>
        <w:t xml:space="preserve"> </w:t>
      </w:r>
      <w:r>
        <w:t xml:space="preserve">“</w:t>
      </w:r>
      <w:r>
        <w:t xml:space="preserve">with the object of obtaining the greatest benefit for the people of this state,</w:t>
      </w:r>
      <w:r>
        <w:t xml:space="preserve">”</w:t>
      </w:r>
      <w:r>
        <w:t xml:space="preserve"> </w:t>
      </w:r>
      <w:r>
        <w:t xml:space="preserve">and the Oregon Supreme Court has written that the Land Board carries out</w:t>
      </w:r>
      <w:r>
        <w:t xml:space="preserve"> </w:t>
      </w:r>
      <w:r>
        <w:t xml:space="preserve">“</w:t>
      </w:r>
      <w:r>
        <w:t xml:space="preserve">its duties as trustee of common school lands held in trust for the people of Oregon in accordance with the Admission Act.</w:t>
      </w:r>
      <w:r>
        <w:t xml:space="preserve">”</w:t>
      </w:r>
      <w:r>
        <w:rPr>
          <w:rStyle w:val="FootnoteReference"/>
        </w:rPr>
        <w:footnoteReference w:id="215"/>
      </w:r>
      <w:r>
        <w:t xml:space="preserve"> </w:t>
      </w:r>
      <w:r>
        <w:t xml:space="preserve">Whether such phrasing redefines the beneficiary class, or merely names the public as the ultimate political beneficiary of a trust whose direct beneficiaries remain the schools, is contested in the pending Oregon litigation; the sister-state authorities collected above resolve the analogous question uniformly in favor of the named class, but no Oregon appellate holding yet decides it. [COUNSEL REVIEW — characterization of the contested ground in 24CV38372.] The interpretive stakes are developed in Chapter 6 (loyalty) and Chapter 13 (who may sue).</w:t>
      </w:r>
    </w:p>
    <w:p>
      <w:pPr>
        <w:pStyle w:val="Heading3"/>
      </w:pPr>
      <w:bookmarkStart w:id="216" w:name="intra-governmental-adversity"/>
      <w:r>
        <w:t xml:space="preserve">§ 5.4 Intra-governmental adversity</w:t>
      </w:r>
      <w:bookmarkEnd w:id="216"/>
    </w:p>
    <w:p>
      <w:pPr>
        <w:pStyle w:val="FirstParagraph"/>
      </w:pPr>
      <w:r>
        <w:t xml:space="preserve">The two-capacities distinction earns its keep when the state appears on both sides of a transaction. Government is built to suppress internal adversity: agencies of one sovereign are expected to cooperate, budgets are fungible at the legislature, and a transfer from one state pocket to another looks, to the sovereign, like no transfer at all. Trust law supplies the adversity the political structure suppresses — because one of the pockets is not the state’s.</w:t>
      </w:r>
    </w:p>
    <w:p>
      <w:pPr>
        <w:pStyle w:val="BodyText"/>
      </w:pPr>
      <w:r>
        <w:rPr>
          <w:b/>
        </w:rPr>
        <w:t xml:space="preserve">The lead case.</w:t>
      </w:r>
      <w:r>
        <w:t xml:space="preserve"> </w:t>
      </w:r>
      <w:r>
        <w:t xml:space="preserve">In</w:t>
      </w:r>
      <w:r>
        <w:t xml:space="preserve"> </w:t>
      </w:r>
      <w:r>
        <w:rPr>
          <w:i/>
        </w:rPr>
        <w:t xml:space="preserve">Lassen</w:t>
      </w:r>
      <w:r>
        <w:t xml:space="preserve">, Arizona’s highway department took school trust lands for rights-of-way, contending that an internal transfer between arms of the same state carried no trust consequences. The Supreme Court held the opposite: the state must compensate the trust at full appraised value.</w:t>
      </w:r>
      <w:r>
        <w:rPr>
          <w:rStyle w:val="FootnoteReference"/>
        </w:rPr>
        <w:footnoteReference w:id="217"/>
      </w:r>
      <w:r>
        <w:t xml:space="preserve"> </w:t>
      </w:r>
      <w:r>
        <w:t xml:space="preserve">The internal character of the transfer is not a defense but the danger — the grants create trusts</w:t>
      </w:r>
      <w:r>
        <w:t xml:space="preserve"> </w:t>
      </w:r>
      <w:r>
        <w:t xml:space="preserve">“</w:t>
      </w:r>
      <w:r>
        <w:t xml:space="preserve">definite and specific … separate and independent,</w:t>
      </w:r>
      <w:r>
        <w:t xml:space="preserve">”</w:t>
      </w:r>
      <w:r>
        <w:t xml:space="preserve"> </w:t>
      </w:r>
      <w:r>
        <w:t xml:space="preserve">and their separateness is precisely from the rest of the state’s estate.</w:t>
      </w:r>
    </w:p>
    <w:p>
      <w:pPr>
        <w:pStyle w:val="BodyText"/>
      </w:pPr>
      <w:r>
        <w:rPr>
          <w:b/>
        </w:rPr>
        <w:t xml:space="preserve">The state analogues.</w:t>
      </w:r>
      <w:r>
        <w:t xml:space="preserve"> </w:t>
      </w:r>
      <w:r>
        <w:t xml:space="preserve">The sister-state courts have applied the rule across the full range of intra-governmental dealings.</w:t>
      </w:r>
      <w:r>
        <w:rPr>
          <w:rStyle w:val="FootnoteReference"/>
        </w:rPr>
        <w:footnoteReference w:id="218"/>
      </w:r>
      <w:r>
        <w:t xml:space="preserve"> </w:t>
      </w:r>
      <w:r>
        <w:t xml:space="preserve">South Dakota’s legislature transferred a trust-funded college campus to another state agency without compensation; the transfer was unconstitutional and in violation of the Enabling Act.</w:t>
      </w:r>
      <w:r>
        <w:rPr>
          <w:rStyle w:val="FootnoteReference"/>
        </w:rPr>
        <w:footnoteReference w:id="219"/>
      </w:r>
      <w:r>
        <w:t xml:space="preserve"> </w:t>
      </w:r>
      <w:r>
        <w:t xml:space="preserve">New Mexico’s highway commission took rights-of-way over trust lands on the strength of attorney general opinions advising that the state need not pay itself; the court disapproved the opinions and required compensation.</w:t>
      </w:r>
      <w:r>
        <w:rPr>
          <w:rStyle w:val="FootnoteReference"/>
        </w:rPr>
        <w:footnoteReference w:id="220"/>
      </w:r>
      <w:r>
        <w:t xml:space="preserve"> </w:t>
      </w:r>
      <w:r>
        <w:t xml:space="preserve">Alaska folded university trust land into a state park without paying the trust.</w:t>
      </w:r>
      <w:r>
        <w:rPr>
          <w:rStyle w:val="FootnoteReference"/>
        </w:rPr>
        <w:footnoteReference w:id="221"/>
      </w:r>
      <w:r>
        <w:t xml:space="preserve"> </w:t>
      </w:r>
      <w:r>
        <w:t xml:space="preserve">Montana held that appurtenant water rights on trust lands are trust interests requiring compensation when the state reallocates them.</w:t>
      </w:r>
      <w:r>
        <w:rPr>
          <w:rStyle w:val="FootnoteReference"/>
        </w:rPr>
        <w:footnoteReference w:id="222"/>
      </w:r>
    </w:p>
    <w:p>
      <w:pPr>
        <w:pStyle w:val="BodyText"/>
      </w:pPr>
      <w:r>
        <w:rPr>
          <w:b/>
        </w:rPr>
        <w:t xml:space="preserve">The hard case: the beneficiary as taker.</w:t>
      </w:r>
      <w:r>
        <w:t xml:space="preserve"> </w:t>
      </w:r>
      <w:r>
        <w:t xml:space="preserve">Arizona’s</w:t>
      </w:r>
      <w:r>
        <w:t xml:space="preserve"> </w:t>
      </w:r>
      <w:r>
        <w:rPr>
          <w:i/>
        </w:rPr>
        <w:t xml:space="preserve">Deer Valley</w:t>
      </w:r>
      <w:r>
        <w:t xml:space="preserve"> </w:t>
      </w:r>
      <w:r>
        <w:t xml:space="preserve">decision presents the configuration that proves the doctrine’s structure. A school district — itself within the trust’s beneficiary class — sought to condemn trust land for a school site. If the trust ran loosely to</w:t>
      </w:r>
      <w:r>
        <w:t xml:space="preserve"> </w:t>
      </w:r>
      <w:r>
        <w:t xml:space="preserve">“</w:t>
      </w:r>
      <w:r>
        <w:t xml:space="preserve">education</w:t>
      </w:r>
      <w:r>
        <w:t xml:space="preserve">”</w:t>
      </w:r>
      <w:r>
        <w:t xml:space="preserve"> </w:t>
      </w:r>
      <w:r>
        <w:t xml:space="preserve">or to</w:t>
      </w:r>
      <w:r>
        <w:t xml:space="preserve"> </w:t>
      </w:r>
      <w:r>
        <w:t xml:space="preserve">“</w:t>
      </w:r>
      <w:r>
        <w:t xml:space="preserve">the public,</w:t>
      </w:r>
      <w:r>
        <w:t xml:space="preserve">”</w:t>
      </w:r>
      <w:r>
        <w:t xml:space="preserve"> </w:t>
      </w:r>
      <w:r>
        <w:t xml:space="preserve">the condemnation would be unobjectionable, even virtuous. The Arizona Supreme Court barred it: condemnation by any state actor would deprive the trust of the opportunity to obtain prices above appraised value at public auction, and the disposition requirements of the Enabling Act apply even when both parties to the proposed transfer are state actors — even when one of them is a beneficiary.</w:t>
      </w:r>
      <w:r>
        <w:rPr>
          <w:rStyle w:val="FootnoteReference"/>
        </w:rPr>
        <w:footnoteReference w:id="223"/>
      </w:r>
      <w:r>
        <w:t xml:space="preserve"> </w:t>
      </w:r>
      <w:r>
        <w:t xml:space="preserve">The case teaches that the trust’s protections attach to the</w:t>
      </w:r>
      <w:r>
        <w:t xml:space="preserve"> </w:t>
      </w:r>
      <w:r>
        <w:rPr>
          <w:i/>
        </w:rPr>
        <w:t xml:space="preserve">res</w:t>
      </w:r>
      <w:r>
        <w:t xml:space="preserve"> </w:t>
      </w:r>
      <w:r>
        <w:t xml:space="preserve">and its market exposure, not to the identity or good intentions of the acquirer. A beneficiary that wants trust land buys it the way a stranger would.</w:t>
      </w:r>
    </w:p>
    <w:p>
      <w:pPr>
        <w:pStyle w:val="BodyText"/>
      </w:pPr>
      <w:r>
        <w:rPr>
          <w:b/>
        </w:rPr>
        <w:t xml:space="preserve">The contemporary frontier.</w:t>
      </w:r>
      <w:r>
        <w:t xml:space="preserve"> </w:t>
      </w:r>
      <w:r>
        <w:t xml:space="preserve">The intra-governmental problem has not retired. The corpus documents a live 2026 Utah transaction — a noncompetitive direct sale of the Book Cliffs surface estate from the trust administration to the state’s wildlife agency under a direct-sale statute, funded by a legislative appropriation — which advocacy analysis characterizes as the state occupying trustee, seller, and buyer roles simultaneously.</w:t>
      </w:r>
      <w:r>
        <w:rPr>
          <w:rStyle w:val="FootnoteReference"/>
        </w:rPr>
        <w:footnoteReference w:id="224"/>
      </w:r>
      <w:r>
        <w:t xml:space="preserve"> </w:t>
      </w:r>
      <w:r>
        <w:t xml:space="preserve">The transaction’s doctrinal assessment belongs to Chapter 10 (self-dealing) and Chapter 19 (reform’s open problems); it is cited here as evidence that the two-capacities question remains the field’s active fault line, including within reformed systems.</w:t>
      </w:r>
    </w:p>
    <w:p>
      <w:pPr>
        <w:pStyle w:val="Heading3"/>
      </w:pPr>
      <w:bookmarkStart w:id="225" w:name="X6830b19904885a67d8ce6b82126b9679078beb1"/>
      <w:r>
        <w:t xml:space="preserve">§ 5.5</w:t>
      </w:r>
      <w:r>
        <w:t xml:space="preserve"> </w:t>
      </w:r>
      <w:r>
        <w:t xml:space="preserve">“</w:t>
      </w:r>
      <w:r>
        <w:t xml:space="preserve">Not state land</w:t>
      </w:r>
      <w:r>
        <w:t xml:space="preserve">”</w:t>
      </w:r>
      <w:r>
        <w:t xml:space="preserve">: the proposition and its limits</w:t>
      </w:r>
      <w:bookmarkEnd w:id="225"/>
    </w:p>
    <w:p>
      <w:pPr>
        <w:pStyle w:val="FirstParagraph"/>
      </w:pPr>
      <w:r>
        <w:t xml:space="preserve">The proposition that trust land is</w:t>
      </w:r>
      <w:r>
        <w:t xml:space="preserve"> </w:t>
      </w:r>
      <w:r>
        <w:rPr>
          <w:i/>
        </w:rPr>
        <w:t xml:space="preserve">not</w:t>
      </w:r>
      <w:r>
        <w:t xml:space="preserve"> </w:t>
      </w:r>
      <w:r>
        <w:t xml:space="preserve">part of the State’s general estate — that the State holds it as trustee, not as owner of the public domain — is the field’s sharpest organizing idea, and the practitioner should understand both what it asserts and what it does not. The slogan</w:t>
      </w:r>
      <w:r>
        <w:t xml:space="preserve"> </w:t>
      </w:r>
      <w:r>
        <w:t xml:space="preserve">“</w:t>
      </w:r>
      <w:r>
        <w:t xml:space="preserve">not state land</w:t>
      </w:r>
      <w:r>
        <w:t xml:space="preserve">”</w:t>
      </w:r>
      <w:r>
        <w:t xml:space="preserve"> </w:t>
      </w:r>
      <w:r>
        <w:t xml:space="preserve">is often associated with</w:t>
      </w:r>
      <w:r>
        <w:t xml:space="preserve"> </w:t>
      </w:r>
      <w:r>
        <w:rPr>
          <w:i/>
        </w:rPr>
        <w:t xml:space="preserve">Deer Valley</w:t>
      </w:r>
      <w:r>
        <w:t xml:space="preserve">, but that exact phrase does not appear in the opinion: the Arizona Supreme Court reached its no-condemnation result on the Enabling Act’s public-auction requirements, and the not-owned-by-the-State reasoning survives in the opinion only as the court’s recounting of the trial court’s ruling that the trust land</w:t>
      </w:r>
      <w:r>
        <w:t xml:space="preserve"> </w:t>
      </w:r>
      <w:r>
        <w:t xml:space="preserve">“</w:t>
      </w:r>
      <w:r>
        <w:t xml:space="preserve">did not belong to the state.</w:t>
      </w:r>
      <w:r>
        <w:t xml:space="preserve">”</w:t>
      </w:r>
      <w:r>
        <w:rPr>
          <w:rStyle w:val="FootnoteReference"/>
        </w:rPr>
        <w:footnoteReference w:id="226"/>
      </w:r>
    </w:p>
    <w:p>
      <w:pPr>
        <w:pStyle w:val="BodyText"/>
      </w:pPr>
      <w:r>
        <w:rPr>
          <w:b/>
        </w:rPr>
        <w:t xml:space="preserve">What it asserts.</w:t>
      </w:r>
      <w:r>
        <w:t xml:space="preserve"> </w:t>
      </w:r>
      <w:r>
        <w:t xml:space="preserve">The proposition is about beneficial ownership and disposable discretion, not about record title. The state cannot treat trust land as part of its general estate: it cannot devote it to public purposes without paying for it (§ 5.4), cannot direct its administration toward non-beneficiary interests (§ 5.3), cannot waive the beneficiaries’ rights, and cannot pass better title than the trust allows —</w:t>
      </w:r>
      <w:r>
        <w:t xml:space="preserve"> </w:t>
      </w:r>
      <w:r>
        <w:t xml:space="preserve">“</w:t>
      </w:r>
      <w:r>
        <w:t xml:space="preserve">[a]nyone dealing with the school lands must do so with knowledge of and subject to the trust obligation of the state.</w:t>
      </w:r>
      <w:r>
        <w:t xml:space="preserve">”</w:t>
      </w:r>
      <w:r>
        <w:rPr>
          <w:rStyle w:val="FootnoteReference"/>
        </w:rPr>
        <w:footnoteReference w:id="227"/>
      </w:r>
      <w:r>
        <w:rPr>
          <w:rStyle w:val="FootnoteReference"/>
        </w:rPr>
        <w:footnoteReference w:id="228"/>
      </w:r>
    </w:p>
    <w:p>
      <w:pPr>
        <w:pStyle w:val="BodyText"/>
      </w:pPr>
      <w:r>
        <w:rPr>
          <w:b/>
        </w:rPr>
        <w:t xml:space="preserve">What it does not assert.</w:t>
      </w:r>
      <w:r>
        <w:t xml:space="preserve"> </w:t>
      </w:r>
      <w:r>
        <w:t xml:space="preserve">Legal title is in the state, and the state’s courts have called the conveyance</w:t>
      </w:r>
      <w:r>
        <w:t xml:space="preserve"> </w:t>
      </w:r>
      <w:r>
        <w:t xml:space="preserve">“</w:t>
      </w:r>
      <w:r>
        <w:t xml:space="preserve">an absolute grant, vesting the title in the state</w:t>
      </w:r>
      <w:r>
        <w:t xml:space="preserve">”</w:t>
      </w:r>
      <w:r>
        <w:t xml:space="preserve"> </w:t>
      </w:r>
      <w:r>
        <w:t xml:space="preserve">— absolute as to irrevocability,</w:t>
      </w:r>
      <w:r>
        <w:t xml:space="preserve"> </w:t>
      </w:r>
      <w:r>
        <w:t xml:space="preserve">“</w:t>
      </w:r>
      <w:r>
        <w:t xml:space="preserve">for a special purpose</w:t>
      </w:r>
      <w:r>
        <w:t xml:space="preserve">”</w:t>
      </w:r>
      <w:r>
        <w:t xml:space="preserve"> </w:t>
      </w:r>
      <w:r>
        <w:t xml:space="preserve">as to obligation.</w:t>
      </w:r>
      <w:r>
        <w:rPr>
          <w:rStyle w:val="FootnoteReference"/>
        </w:rPr>
        <w:footnoteReference w:id="229"/>
      </w:r>
      <w:r>
        <w:t xml:space="preserve"> </w:t>
      </w:r>
      <w:r>
        <w:t xml:space="preserve">Nor does the trustee capacity strip the state of genuine governance authority over the trust. The cases that mark this boundary deserve statement at full strength, because the two-capacities frame is sometimes pressed further than the authorities carry it. The legislature retains real administrative design power: Oregon’s court has held that</w:t>
      </w:r>
      <w:r>
        <w:t xml:space="preserve"> </w:t>
      </w:r>
      <w:r>
        <w:t xml:space="preserve">“</w:t>
      </w:r>
      <w:r>
        <w:t xml:space="preserve">the determination of the proper use of common school funds is a legislative one</w:t>
      </w:r>
      <w:r>
        <w:t xml:space="preserve">”</w:t>
      </w:r>
      <w:r>
        <w:t xml:space="preserve"> </w:t>
      </w:r>
      <w:r>
        <w:t xml:space="preserve">within the constitutional standard, and that the greatest-benefit mandate did not invalidate a statute withdrawing certain lands from sale.</w:t>
      </w:r>
      <w:r>
        <w:rPr>
          <w:rStyle w:val="FootnoteReference"/>
        </w:rPr>
        <w:footnoteReference w:id="230"/>
      </w:r>
      <w:r>
        <w:t xml:space="preserve"> </w:t>
      </w:r>
      <w:r>
        <w:t xml:space="preserve">The Tenth Circuit sustained Colorado’s wholesale constitutional restructuring of its land board against compact challenge.</w:t>
      </w:r>
      <w:r>
        <w:rPr>
          <w:rStyle w:val="FootnoteReference"/>
        </w:rPr>
        <w:footnoteReference w:id="231"/>
      </w:r>
      <w:r>
        <w:t xml:space="preserve"> </w:t>
      </w:r>
      <w:r>
        <w:t xml:space="preserve">Montana’s high court sustained, over a vigorous dissent, a revenue-commingling statute with a reconciliation mechanism.</w:t>
      </w:r>
      <w:r>
        <w:rPr>
          <w:rStyle w:val="FootnoteReference"/>
        </w:rPr>
        <w:footnoteReference w:id="232"/>
      </w:r>
      <w:r>
        <w:t xml:space="preserve"> </w:t>
      </w:r>
      <w:r>
        <w:t xml:space="preserve">The honest synthesis is the one stated at § 4.7: the sovereign’s design authority operates</w:t>
      </w:r>
      <w:r>
        <w:t xml:space="preserve"> </w:t>
      </w:r>
      <w:r>
        <w:rPr>
          <w:i/>
        </w:rPr>
        <w:t xml:space="preserve">within</w:t>
      </w:r>
      <w:r>
        <w:t xml:space="preserve"> </w:t>
      </w:r>
      <w:r>
        <w:t xml:space="preserve">the trust and ends at breach — at diversion, subordination, uncompensated taking, or below-value disposition. Within that boundary, the sovereign governs; at it, the trustee answers.</w:t>
      </w:r>
    </w:p>
    <w:p>
      <w:pPr>
        <w:pStyle w:val="BodyText"/>
      </w:pPr>
      <w:r>
        <w:rPr>
          <w:b/>
        </w:rPr>
        <w:t xml:space="preserve">Why the distinction does the field’s work.</w:t>
      </w:r>
      <w:r>
        <w:t xml:space="preserve"> </w:t>
      </w:r>
      <w:r>
        <w:t xml:space="preserve">Nearly every doctrine in the remainder of this volume is the two-capacities distinction applied to a recurring fact pattern: divided loyalty (Chapter 6) is the trustee serving the sovereign’s constituencies; full value and competitive disposition (Chapter 9) are the market’s protection against the sovereign’s self-pricing; the intra-governmental transfer rules (Chapter 10) are</w:t>
      </w:r>
      <w:r>
        <w:t xml:space="preserve"> </w:t>
      </w:r>
      <w:r>
        <w:rPr>
          <w:i/>
        </w:rPr>
        <w:t xml:space="preserve">Lassen</w:t>
      </w:r>
      <w:r>
        <w:t xml:space="preserve"> </w:t>
      </w:r>
      <w:r>
        <w:t xml:space="preserve">and</w:t>
      </w:r>
      <w:r>
        <w:t xml:space="preserve"> </w:t>
      </w:r>
      <w:r>
        <w:rPr>
          <w:i/>
        </w:rPr>
        <w:t xml:space="preserve">Deer Valley</w:t>
      </w:r>
      <w:r>
        <w:t xml:space="preserve"> </w:t>
      </w:r>
      <w:r>
        <w:t xml:space="preserve">systematized; the attorney-general problem (Chapter 14) is the two capacities sharing one lawyer; sovereign immunity and tort recharacterization (Chapter 17) are the sovereign’s litigation shields asserted in the trustee’s defense. A practitioner who fixes the distinction firmly can derive most of what follows.</w:t>
      </w:r>
    </w:p>
    <w:p>
      <w:pPr>
        <w:pStyle w:val="Heading3"/>
      </w:pPr>
      <w:bookmarkStart w:id="233" w:name="synthesis-2"/>
      <w:r>
        <w:t xml:space="preserve">§ 5.6 Synthesis</w:t>
      </w:r>
      <w:bookmarkEnd w:id="233"/>
    </w:p>
    <w:p>
      <w:pPr>
        <w:numPr>
          <w:ilvl w:val="0"/>
          <w:numId w:val="1003"/>
        </w:numPr>
        <w:pStyle w:val="Compact"/>
      </w:pPr>
      <w:r>
        <w:rPr>
          <w:b/>
        </w:rPr>
        <w:t xml:space="preserve">Two titles, two trusts.</w:t>
      </w:r>
      <w:r>
        <w:t xml:space="preserve"> </w:t>
      </w:r>
      <w:r>
        <w:t xml:space="preserve">Sovereign-title lands carry the state-law public trust doctrine, whose beneficiary is the public at large; granted school sections carry the federal-compact trust, whose beneficiary class is named. Identify the title before arguing the trust.</w:t>
      </w:r>
      <w:r>
        <w:rPr>
          <w:rStyle w:val="FootnoteReference"/>
        </w:rPr>
        <w:footnoteReference w:id="234"/>
      </w:r>
    </w:p>
    <w:p>
      <w:pPr>
        <w:numPr>
          <w:ilvl w:val="0"/>
          <w:numId w:val="1003"/>
        </w:numPr>
        <w:pStyle w:val="Compact"/>
      </w:pPr>
      <w:r>
        <w:rPr>
          <w:b/>
        </w:rPr>
        <w:t xml:space="preserve">The beneficiary class is closed.</w:t>
      </w:r>
      <w:r>
        <w:t xml:space="preserve"> </w:t>
      </w:r>
      <w:r>
        <w:t xml:space="preserve">Benefit to the public generally does not discharge — and frequently constitutes — the violation; the trustee administers solely for the named class.</w:t>
      </w:r>
      <w:r>
        <w:rPr>
          <w:rStyle w:val="FootnoteReference"/>
        </w:rPr>
        <w:footnoteReference w:id="235"/>
      </w:r>
    </w:p>
    <w:p>
      <w:pPr>
        <w:numPr>
          <w:ilvl w:val="0"/>
          <w:numId w:val="1003"/>
        </w:numPr>
        <w:pStyle w:val="Compact"/>
      </w:pPr>
      <w:r>
        <w:rPr>
          <w:b/>
        </w:rPr>
        <w:t xml:space="preserve">The state pays itself like a stranger.</w:t>
      </w:r>
      <w:r>
        <w:t xml:space="preserve"> </w:t>
      </w:r>
      <w:r>
        <w:t xml:space="preserve">Intra-governmental transfers, takings, and condemnations carry full trust consequences; neither the internal character of the transfer nor the acquirer’s beneficiary status nor its public purpose is a defense.</w:t>
      </w:r>
      <w:r>
        <w:rPr>
          <w:rStyle w:val="FootnoteReference"/>
        </w:rPr>
        <w:footnoteReference w:id="236"/>
      </w:r>
    </w:p>
    <w:p>
      <w:pPr>
        <w:numPr>
          <w:ilvl w:val="0"/>
          <w:numId w:val="1003"/>
        </w:numPr>
        <w:pStyle w:val="Compact"/>
      </w:pPr>
      <w:r>
        <w:rPr>
          <w:b/>
        </w:rPr>
        <w:t xml:space="preserve">“</w:t>
      </w:r>
      <w:r>
        <w:rPr>
          <w:b/>
        </w:rPr>
        <w:t xml:space="preserve">Not state land</w:t>
      </w:r>
      <w:r>
        <w:rPr>
          <w:b/>
        </w:rPr>
        <w:t xml:space="preserve">”</w:t>
      </w:r>
      <w:r>
        <w:rPr>
          <w:b/>
        </w:rPr>
        <w:t xml:space="preserve"> </w:t>
      </w:r>
      <w:r>
        <w:rPr>
          <w:b/>
        </w:rPr>
        <w:t xml:space="preserve">has limits.</w:t>
      </w:r>
      <w:r>
        <w:t xml:space="preserve"> </w:t>
      </w:r>
      <w:r>
        <w:t xml:space="preserve">Title is in the state, and the sovereign retains genuine design authority within the trust; the two-capacities distinction marks where that authority ends — at diversion, subordination, or uncompensated taking — not a general disability of governance.</w:t>
      </w:r>
      <w:r>
        <w:rPr>
          <w:rStyle w:val="FootnoteReference"/>
        </w:rPr>
        <w:footnoteReference w:id="237"/>
      </w:r>
    </w:p>
    <w:p>
      <w:r>
        <w:pict>
          <v:rect style="width:0;height:1.5pt" o:hralign="center" o:hrstd="t" o:hr="t"/>
        </w:pict>
      </w:r>
    </w:p>
    <w:p>
      <w:pPr>
        <w:pStyle w:val="FirstParagraph"/>
      </w:pPr>
      <w:r>
        <w:rPr>
          <w:i/>
        </w:rPr>
        <w:t xml:space="preserve">End of Chapter 5 v1 (renumbered from Chapter 4; numeric footnotes converted to named keys 2026-06-07). Verification queue for this chapter (Cascadia pin resolved at</w:t>
      </w:r>
      <w:r>
        <w:rPr>
          <w:i/>
        </w:rPr>
        <w:t xml:space="preserve"> </w:t>
      </w:r>
      <w:r>
        <w:t xml:space="preserve">763, 2026-06-10): Walker and Lyons full pulls (the Walker holding is carried CIB without a verbatim quotation); Chernaik, Wilcox, and Corvallis Sand &amp; Gravel full pulls (Register G-3, G-5); public-trust-doctrine formulations in the other trust states (accord collection, verification wave 2). Cross-references updated 2026-06-07 to the renumbered chapter map (this chapter formerly Chapter 4; the Appendix A sweep under quality gate G4 remains owed for the appendices and registers). Resolved 2026-06-07: the second Kanaly citation question — 397 N.W.2d 374 is erroneous; the actual second opinion is</w:t>
      </w:r>
      <w:r>
        <w:t xml:space="preserve"> </w:t>
      </w:r>
      <w:r>
        <w:rPr>
          <w:i/>
        </w:rPr>
        <w:t xml:space="preserve">Kanaly v. State ex rel. Janklow</w:t>
      </w:r>
      <w:r>
        <w:t xml:space="preserve">, 401 N.W.2d 551 (S.D. 1987).*</w:t>
      </w:r>
    </w:p>
    <w:p>
      <w:r>
        <w:br w:type="page"/>
      </w:r>
    </w:p>
    <w:p>
      <w:pPr>
        <w:pStyle w:val="Heading1"/>
      </w:pPr>
      <w:bookmarkStart w:id="238" w:name="X748096dd34077b86f51923d1d728e79d1019fcd"/>
      <w:r>
        <w:t xml:space="preserve">Chapter 6 — Loyalty and the Prohibition of Divided Allegiance (v1)</w:t>
      </w:r>
      <w:bookmarkEnd w:id="238"/>
    </w:p>
    <w:p>
      <w:pPr>
        <w:pStyle w:val="FirstParagraph"/>
      </w:pPr>
      <w:r>
        <w:rPr>
          <w:i/>
        </w:rPr>
        <w:t xml:space="preserve">Status: v1, corpus-bounded draft. Every authority herein is carried in the project’s verified research files; [VERIFY] flags mark items awaiting primary-source confirmation under quality gate G3. Passages touching the pending Oregon litigation are drawn from the public record only and carry [COUNSEL REVIEW] flags. The v1 pass (2026-06-07) renumbered this chapter from Chapter 5 to Chapter 6 under the unified Ch1–Ch20 scheme, converted numeric footnotes to named keys per the project citation standard, and applied the resolutions of the 2026-06-07 verification pass.</w:t>
      </w:r>
    </w:p>
    <w:p>
      <w:r>
        <w:pict>
          <v:rect style="width:0;height:1.5pt" o:hralign="center" o:hrstd="t" o:hr="t"/>
        </w:pict>
      </w:r>
    </w:p>
    <w:p>
      <w:pPr>
        <w:pStyle w:val="Heading3"/>
      </w:pPr>
      <w:bookmarkStart w:id="239" w:name="the-duty-stated"/>
      <w:r>
        <w:t xml:space="preserve">§ 6.1 The duty stated</w:t>
      </w:r>
      <w:bookmarkEnd w:id="239"/>
    </w:p>
    <w:p>
      <w:pPr>
        <w:pStyle w:val="FirstParagraph"/>
      </w:pPr>
      <w:r>
        <w:t xml:space="preserve">Loyalty is the first fiduciary duty, and in school-trust law its statement is strict: the trustee administers the trust solely in the interest of the named beneficiaries. The Alaska Supreme Court put it in exactly those terms —</w:t>
      </w:r>
      <w:r>
        <w:t xml:space="preserve"> </w:t>
      </w:r>
      <w:r>
        <w:t xml:space="preserve">“</w:t>
      </w:r>
      <w:r>
        <w:t xml:space="preserve">it is the duty of a trustee to administer the trust solely in the interest of the beneficiaries</w:t>
      </w:r>
      <w:r>
        <w:t xml:space="preserve">”</w:t>
      </w:r>
      <w:r>
        <w:t xml:space="preserve"> </w:t>
      </w:r>
      <w:r>
        <w:t xml:space="preserve">— in holding the state’s uncompensated inclusion of trust land in a public park to be a breach of a federal trust.</w:t>
      </w:r>
      <w:r>
        <w:rPr>
          <w:rStyle w:val="FootnoteReference"/>
        </w:rPr>
        <w:footnoteReference w:id="240"/>
      </w:r>
      <w:r>
        <w:rPr>
          <w:rStyle w:val="FootnoteReference"/>
        </w:rPr>
        <w:footnoteReference w:id="241"/>
      </w:r>
      <w:r>
        <w:t xml:space="preserve"> </w:t>
      </w:r>
      <w:r>
        <w:t xml:space="preserve">The federal formulation supplies the same rule from the granting side: the grants were designed so that</w:t>
      </w:r>
      <w:r>
        <w:t xml:space="preserve"> </w:t>
      </w:r>
      <w:r>
        <w:t xml:space="preserve">“</w:t>
      </w:r>
      <w:r>
        <w:t xml:space="preserve">only those beneficiaries profit from the trust.</w:t>
      </w:r>
      <w:r>
        <w:t xml:space="preserve">”</w:t>
      </w:r>
      <w:r>
        <w:rPr>
          <w:rStyle w:val="FootnoteReference"/>
        </w:rPr>
        <w:footnoteReference w:id="242"/>
      </w:r>
    </w:p>
    <w:p>
      <w:pPr>
        <w:pStyle w:val="BodyText"/>
      </w:pPr>
      <w:r>
        <w:t xml:space="preserve">Two features distinguish the school-trust loyalty cases from their private-trust counterparts. First, the competing allegiance is almost never a private enrichment; it is the state’s own view of the public good — promotion, parks, industry relief, general-fund convenience. Second, the divided allegiance frequently arrives wearing a statute, so that the loyalty question and the legislative-power question (§ 4.6(a)) are decided together. This chapter takes the doctrine in that order: diversion to enumerated-purpose violations (§ 6.2); the divided-loyalty cases proper (§ 6.3); the legislature as the source of the divided allegiance (§ 6.4); the honest boundary — conservation and public-access management distinguished from subordination of the trust (§ 6.5); and the states’ best counter-arguments (§ 6.6).</w:t>
      </w:r>
    </w:p>
    <w:p>
      <w:pPr>
        <w:pStyle w:val="Heading3"/>
      </w:pPr>
      <w:bookmarkStart w:id="243" w:name="X5ada9cd87cb92eb6c63e94d00e505395d85581e"/>
      <w:r>
        <w:t xml:space="preserve">§ 6.2 Diversion to promotional and third-party ends:</w:t>
      </w:r>
      <w:r>
        <w:t xml:space="preserve"> </w:t>
      </w:r>
      <w:r>
        <w:rPr>
          <w:i/>
        </w:rPr>
        <w:t xml:space="preserve">Ervien</w:t>
      </w:r>
      <w:r>
        <w:t xml:space="preserve"> </w:t>
      </w:r>
      <w:r>
        <w:t xml:space="preserve">and the exclusivity of the enumeration</w:t>
      </w:r>
      <w:bookmarkEnd w:id="243"/>
    </w:p>
    <w:p>
      <w:pPr>
        <w:pStyle w:val="FirstParagraph"/>
      </w:pPr>
      <w:r>
        <w:t xml:space="preserve">The lead diversion case is nearly innocuous on its facts, which is its value. New Mexico’s 1915 statute authorized its land commissioner to spend up to three percent of annual trust-land income advertising the state to homeseekers and investors. A more modest deflection of trust income toward general state purposes is hard to imagine, and the state defended it on the ground that growth would ultimately enrich the trust itself. The Supreme Court, unanimously, held the diversion unlawful as a breach of trust. The Enabling Act contains</w:t>
      </w:r>
      <w:r>
        <w:t xml:space="preserve"> </w:t>
      </w:r>
      <w:r>
        <w:t xml:space="preserve">“</w:t>
      </w:r>
      <w:r>
        <w:t xml:space="preserve">a specific enumeration of the purposes for which the lands were granted and the enumeration is necessarily exclusive of any other purpose</w:t>
      </w:r>
      <w:r>
        <w:t xml:space="preserve">”</w:t>
      </w:r>
      <w:r>
        <w:t xml:space="preserve">;</w:t>
      </w:r>
      <w:r>
        <w:t xml:space="preserve"> </w:t>
      </w:r>
      <w:r>
        <w:t xml:space="preserve">“</w:t>
      </w:r>
      <w:r>
        <w:t xml:space="preserve">[t]he dedication, we repeat, was special and exact, precluding any supplementary or aiding sense.</w:t>
      </w:r>
      <w:r>
        <w:t xml:space="preserve">”</w:t>
      </w:r>
      <w:r>
        <w:t xml:space="preserve"> </w:t>
      </w:r>
      <w:r>
        <w:t xml:space="preserve">To the eventual-benefit argument the Court gave the answer that still governs — recounting, and affirming the result of, the District Court’s view: what would be</w:t>
      </w:r>
      <w:r>
        <w:t xml:space="preserve"> </w:t>
      </w:r>
      <w:r>
        <w:t xml:space="preserve">“</w:t>
      </w:r>
      <w:r>
        <w:t xml:space="preserve">a wise administration of the property</w:t>
      </w:r>
      <w:r>
        <w:t xml:space="preserve">”</w:t>
      </w:r>
      <w:r>
        <w:t xml:space="preserve"> </w:t>
      </w:r>
      <w:r>
        <w:t xml:space="preserve">in a private proprietor</w:t>
      </w:r>
      <w:r>
        <w:t xml:space="preserve"> </w:t>
      </w:r>
      <w:r>
        <w:t xml:space="preserve">“</w:t>
      </w:r>
      <w:r>
        <w:t xml:space="preserve">could not reach the odious dereliction of a breach of trust in the state.</w:t>
      </w:r>
      <w:r>
        <w:t xml:space="preserve">”</w:t>
      </w:r>
      <w:r>
        <w:rPr>
          <w:rStyle w:val="FootnoteReference"/>
        </w:rPr>
        <w:footnoteReference w:id="244"/>
      </w:r>
      <w:r>
        <w:rPr>
          <w:rStyle w:val="FootnoteReference"/>
        </w:rPr>
        <w:footnoteReference w:id="245"/>
      </w:r>
    </w:p>
    <w:p>
      <w:pPr>
        <w:pStyle w:val="BodyText"/>
      </w:pPr>
      <w:r>
        <w:rPr>
          <w:i/>
        </w:rPr>
        <w:t xml:space="preserve">Ervien</w:t>
      </w:r>
      <w:r>
        <w:t xml:space="preserve"> </w:t>
      </w:r>
      <w:r>
        <w:t xml:space="preserve">establishes three propositions the later cases assume. The enumerated purposes are exclusive, so the loyalty inquiry does not balance the diversion’s merits against the trust’s loss. The trustee’s good faith and the diversion’s popularity are irrelevant — the New Mexico program was neither corrupt nor concealed. And indirect-benefit reasoning (</w:t>
      </w:r>
      <w:r>
        <w:t xml:space="preserve">“</w:t>
      </w:r>
      <w:r>
        <w:t xml:space="preserve">the spending helps the state, and a richer state helps the schools</w:t>
      </w:r>
      <w:r>
        <w:t xml:space="preserve">”</w:t>
      </w:r>
      <w:r>
        <w:t xml:space="preserve">) is precisely the reasoning the duty of loyalty exists to forbid, because every diversion can be defended that way.</w:t>
      </w:r>
    </w:p>
    <w:p>
      <w:pPr>
        <w:pStyle w:val="Heading3"/>
      </w:pPr>
      <w:bookmarkStart w:id="246" w:name="divided-loyalty-skamania"/>
      <w:r>
        <w:t xml:space="preserve">§ 6.3 Divided loyalty:</w:t>
      </w:r>
      <w:r>
        <w:t xml:space="preserve"> </w:t>
      </w:r>
      <w:r>
        <w:rPr>
          <w:i/>
        </w:rPr>
        <w:t xml:space="preserve">Skamania</w:t>
      </w:r>
      <w:bookmarkEnd w:id="246"/>
    </w:p>
    <w:p>
      <w:pPr>
        <w:pStyle w:val="FirstParagraph"/>
      </w:pPr>
      <w:r>
        <w:t xml:space="preserve">Where</w:t>
      </w:r>
      <w:r>
        <w:t xml:space="preserve"> </w:t>
      </w:r>
      <w:r>
        <w:rPr>
          <w:i/>
        </w:rPr>
        <w:t xml:space="preserve">Ervien</w:t>
      </w:r>
      <w:r>
        <w:t xml:space="preserve"> </w:t>
      </w:r>
      <w:r>
        <w:t xml:space="preserve">governs the diversion of trust assets</w:t>
      </w:r>
      <w:r>
        <w:t xml:space="preserve"> </w:t>
      </w:r>
      <w:r>
        <w:rPr>
          <w:i/>
        </w:rPr>
        <w:t xml:space="preserve">out</w:t>
      </w:r>
      <w:r>
        <w:t xml:space="preserve">, the leading state case governs the subtler failure: administration of the trust itself in the service of someone else’s interest. In</w:t>
      </w:r>
      <w:r>
        <w:t xml:space="preserve"> </w:t>
      </w:r>
      <w:r>
        <w:rPr>
          <w:i/>
        </w:rPr>
        <w:t xml:space="preserve">County of Skamania v. State</w:t>
      </w:r>
      <w:r>
        <w:t xml:space="preserve">, the Washington legislature had released private timber purchasers from their contracts on trust lands. The Washington Supreme Court invalidated the legislation. The court’s three sentences have become the field’s working vocabulary. On the trust’s character:</w:t>
      </w:r>
      <w:r>
        <w:t xml:space="preserve"> </w:t>
      </w:r>
      <w:r>
        <w:t xml:space="preserve">“</w:t>
      </w:r>
      <w:r>
        <w:t xml:space="preserve">Every court that has considered the issue has concluded that these are real, enforceable trusts that impose upon the state the same fiduciary duties applicable to private trustees.</w:t>
      </w:r>
      <w:r>
        <w:t xml:space="preserve">”</w:t>
      </w:r>
      <w:r>
        <w:t xml:space="preserve"> </w:t>
      </w:r>
      <w:r>
        <w:t xml:space="preserve">On the management standard:</w:t>
      </w:r>
      <w:r>
        <w:t xml:space="preserve"> </w:t>
      </w:r>
      <w:r>
        <w:t xml:space="preserve">“</w:t>
      </w:r>
      <w:r>
        <w:t xml:space="preserve">When the State transfers trust assets such as contract rights it must seek full value for the assets, and it may not sacrifice this goal to pursue other objectives, no matter how laudable those objectives may be.</w:t>
      </w:r>
      <w:r>
        <w:t xml:space="preserve">”</w:t>
      </w:r>
      <w:r>
        <w:t xml:space="preserve"> </w:t>
      </w:r>
      <w:r>
        <w:t xml:space="preserve">And on the violation:</w:t>
      </w:r>
      <w:r>
        <w:t xml:space="preserve"> </w:t>
      </w:r>
      <w:r>
        <w:t xml:space="preserve">“</w:t>
      </w:r>
      <w:r>
        <w:t xml:space="preserve">the primary purpose and effect of this legislation was to benefit the timber industry and the state economy in general, at the expense of the trust beneficiaries. This divided loyalty constitutes a breach of trust.</w:t>
      </w:r>
      <w:r>
        <w:t xml:space="preserve">”</w:t>
      </w:r>
      <w:r>
        <w:rPr>
          <w:rStyle w:val="FootnoteReference"/>
        </w:rPr>
        <w:footnoteReference w:id="247"/>
      </w:r>
      <w:r>
        <w:rPr>
          <w:rStyle w:val="FootnoteReference"/>
        </w:rPr>
        <w:footnoteReference w:id="248"/>
      </w:r>
    </w:p>
    <w:p>
      <w:pPr>
        <w:pStyle w:val="BodyText"/>
      </w:pPr>
      <w:r>
        <w:t xml:space="preserve">Three points of doctrine sit in the holding. First, the loyalty analysis runs on</w:t>
      </w:r>
      <w:r>
        <w:t xml:space="preserve"> </w:t>
      </w:r>
      <w:r>
        <w:rPr>
          <w:i/>
        </w:rPr>
        <w:t xml:space="preserve">purpose and effect</w:t>
      </w:r>
      <w:r>
        <w:t xml:space="preserve">, not form: the legislation did not transfer an acre, yet releasing contract rights below their value was a transfer of trust assets to the obligors. Loyalty follows every form the trust’s wealth takes — land, contract rights, proceeds (§ 4.6(f)). Second, the laudability of the competing objective is expressly excluded from the analysis;</w:t>
      </w:r>
      <w:r>
        <w:t xml:space="preserve"> </w:t>
      </w:r>
      <w:r>
        <w:rPr>
          <w:i/>
        </w:rPr>
        <w:t xml:space="preserve">Skamania</w:t>
      </w:r>
      <w:r>
        <w:t xml:space="preserve"> </w:t>
      </w:r>
      <w:r>
        <w:t xml:space="preserve">is the state-court echo of</w:t>
      </w:r>
      <w:r>
        <w:t xml:space="preserve"> </w:t>
      </w:r>
      <w:r>
        <w:rPr>
          <w:i/>
        </w:rPr>
        <w:t xml:space="preserve">Ervien</w:t>
      </w:r>
      <w:r>
        <w:t xml:space="preserve">’s rule that the violation is frequently a popular public good (§ 5.3). Third, the doctrine is not a relic of its decade: in 2022 the Washington Supreme Court unanimously reaffirmed</w:t>
      </w:r>
      <w:r>
        <w:t xml:space="preserve"> </w:t>
      </w:r>
      <w:r>
        <w:rPr>
          <w:i/>
        </w:rPr>
        <w:t xml:space="preserve">Skamania</w:t>
      </w:r>
      <w:r>
        <w:t xml:space="preserve">, repeating its categorical formulation as live law.</w:t>
      </w:r>
      <w:r>
        <w:rPr>
          <w:rStyle w:val="FootnoteReference"/>
        </w:rPr>
        <w:footnoteReference w:id="249"/>
      </w:r>
    </w:p>
    <w:p>
      <w:pPr>
        <w:pStyle w:val="Heading3"/>
      </w:pPr>
      <w:bookmarkStart w:id="250" w:name="X0f31e215236f86d3f9440b054e31ae5ddb3b103"/>
      <w:r>
        <w:t xml:space="preserve">§ 6.4 The legislature as the source of the divided allegiance</w:t>
      </w:r>
      <w:bookmarkEnd w:id="250"/>
    </w:p>
    <w:p>
      <w:pPr>
        <w:pStyle w:val="FirstParagraph"/>
      </w:pPr>
      <w:r>
        <w:t xml:space="preserve">In private trust law the disloyal trustee acts; in school-trust law the divided allegiance is usually</w:t>
      </w:r>
      <w:r>
        <w:t xml:space="preserve"> </w:t>
      </w:r>
      <w:r>
        <w:rPr>
          <w:i/>
        </w:rPr>
        <w:t xml:space="preserve">enacted</w:t>
      </w:r>
      <w:r>
        <w:t xml:space="preserve">. The cases hold uniformly that codification does not cure the disloyalty — the legislature is itself bound by the trust, and a statute directing or authorizing divided allegiance falls with the conduct it directs (§ 4.6(a)).</w:t>
      </w:r>
    </w:p>
    <w:p>
      <w:pPr>
        <w:pStyle w:val="BodyText"/>
      </w:pPr>
      <w:r>
        <w:t xml:space="preserve">The cleanest statement is Idaho’s. Idaho Code § 58-310B directed the land board, in resolving competing lease applications, toward the interests of</w:t>
      </w:r>
      <w:r>
        <w:t xml:space="preserve"> </w:t>
      </w:r>
      <w:r>
        <w:t xml:space="preserve">“</w:t>
      </w:r>
      <w:r>
        <w:t xml:space="preserve">the schools, the state, and Idaho livestock industry.</w:t>
      </w:r>
      <w:r>
        <w:t xml:space="preserve">”</w:t>
      </w:r>
      <w:r>
        <w:t xml:space="preserve"> </w:t>
      </w:r>
      <w:r>
        <w:t xml:space="preserve">The Idaho Supreme Court held the statute invalid: the legislature itself may not direct the trustee’s attention to non-beneficiary interests.</w:t>
      </w:r>
      <w:r>
        <w:rPr>
          <w:rStyle w:val="FootnoteReference"/>
        </w:rPr>
        <w:footnoteReference w:id="251"/>
      </w:r>
      <w:r>
        <w:t xml:space="preserve"> </w:t>
      </w:r>
      <w:r>
        <w:t xml:space="preserve">Montana’s high court struck four statutes and a Department rental policy diverting school-trust assets in a single decision, holding that the presumption of constitutionality does not save legislation that breaches the trust framework.</w:t>
      </w:r>
      <w:r>
        <w:rPr>
          <w:rStyle w:val="FootnoteReference"/>
        </w:rPr>
        <w:footnoteReference w:id="252"/>
      </w:r>
      <w:r>
        <w:t xml:space="preserve"> </w:t>
      </w:r>
      <w:r>
        <w:t xml:space="preserve">Nebraska’s</w:t>
      </w:r>
      <w:r>
        <w:t xml:space="preserve"> </w:t>
      </w:r>
      <w:r>
        <w:rPr>
          <w:i/>
        </w:rPr>
        <w:t xml:space="preserve">Ebke</w:t>
      </w:r>
      <w:r>
        <w:t xml:space="preserve"> </w:t>
      </w:r>
      <w:r>
        <w:t xml:space="preserve">struck the 1947 statute that abandoned public bidding in favor of renewals to existing leaseholders at below-market valuations — divided allegiance toward the sitting lessees, in statutory form.</w:t>
      </w:r>
      <w:r>
        <w:rPr>
          <w:rStyle w:val="FootnoteReference"/>
        </w:rPr>
        <w:footnoteReference w:id="253"/>
      </w:r>
      <w:r>
        <w:t xml:space="preserve"> </w:t>
      </w:r>
      <w:r>
        <w:t xml:space="preserve">And the Supreme Court’s modern capstone reaches the same result as a matter of federal compact law: a state statute permitting dispositions of trust assets without the granting act’s protections is void.</w:t>
      </w:r>
      <w:r>
        <w:rPr>
          <w:rStyle w:val="FootnoteReference"/>
        </w:rPr>
        <w:footnoteReference w:id="254"/>
      </w:r>
    </w:p>
    <w:p>
      <w:pPr>
        <w:pStyle w:val="BodyText"/>
      </w:pPr>
      <w:r>
        <w:t xml:space="preserve">The practitioner should note the structural consequence. Because the loyalty norm binds the legislature, the duty cannot be evaded by the move that defeats most public-law duties — redefining the duty’s content by statute. A legislature may design the administration (§ 4.7(2)); it may not design the allegiance.</w:t>
      </w:r>
    </w:p>
    <w:p>
      <w:pPr>
        <w:pStyle w:val="Heading3"/>
      </w:pPr>
      <w:bookmarkStart w:id="255" w:name="Xce9d07c7ac7a21d09afab1dc933f72624b3d861"/>
      <w:r>
        <w:t xml:space="preserve">§ 6.5 Conservation and public access distinguished from subordination</w:t>
      </w:r>
      <w:bookmarkEnd w:id="255"/>
    </w:p>
    <w:p>
      <w:pPr>
        <w:pStyle w:val="FirstParagraph"/>
      </w:pPr>
      <w:r>
        <w:t xml:space="preserve">The duty of loyalty is sometimes caricatured — by both its friends and its opponents — as a rule that the trustee must strip-mine the corpus and bar the gates. The verified corpus does not support the caricature, and the practitioner who presses loyalty past its real boundary will lose credibility the doctrine does not require losing. Three accommodation patterns recur in the authorities, each consistent with undivided loyalty.</w:t>
      </w:r>
    </w:p>
    <w:p>
      <w:pPr>
        <w:pStyle w:val="BodyText"/>
      </w:pPr>
      <w:r>
        <w:rPr>
          <w:b/>
        </w:rPr>
        <w:t xml:space="preserve">Conservation as asset management.</w:t>
      </w:r>
      <w:r>
        <w:t xml:space="preserve"> </w:t>
      </w:r>
      <w:r>
        <w:t xml:space="preserve">Long-term preservation of a productive asset is not a competing allegiance; it is prudence in the beneficiaries’ own service. Montana’s</w:t>
      </w:r>
      <w:r>
        <w:t xml:space="preserve"> </w:t>
      </w:r>
      <w:r>
        <w:rPr>
          <w:i/>
        </w:rPr>
        <w:t xml:space="preserve">Burlingame</w:t>
      </w:r>
      <w:r>
        <w:t xml:space="preserve"> </w:t>
      </w:r>
      <w:r>
        <w:t xml:space="preserve">states the sustained-yield doctrine: the long-term productivity of trust land takes priority over short-term income.</w:t>
      </w:r>
      <w:r>
        <w:rPr>
          <w:rStyle w:val="FootnoteReference"/>
        </w:rPr>
        <w:footnoteReference w:id="256"/>
      </w:r>
      <w:r>
        <w:t xml:space="preserve"> </w:t>
      </w:r>
      <w:r>
        <w:t xml:space="preserve">Oregon’s attorney general reached the same accommodation from the trust side, reading the management mandate as a duty to obtain the greatest benefit</w:t>
      </w:r>
      <w:r>
        <w:t xml:space="preserve"> </w:t>
      </w:r>
      <w:r>
        <w:t xml:space="preserve">“</w:t>
      </w:r>
      <w:r>
        <w:t xml:space="preserve">consistent with the conservation of the resource under sound techniques of land management.</w:t>
      </w:r>
      <w:r>
        <w:t xml:space="preserve">”</w:t>
      </w:r>
      <w:r>
        <w:rPr>
          <w:rStyle w:val="FootnoteReference"/>
        </w:rPr>
        <w:footnoteReference w:id="257"/>
      </w:r>
      <w:r>
        <w:t xml:space="preserve"> </w:t>
      </w:r>
      <w:r>
        <w:t xml:space="preserve">Conservation practiced</w:t>
      </w:r>
      <w:r>
        <w:t xml:space="preserve"> </w:t>
      </w:r>
      <w:r>
        <w:rPr>
          <w:i/>
        </w:rPr>
        <w:t xml:space="preserve">for the beneficiaries</w:t>
      </w:r>
      <w:r>
        <w:t xml:space="preserve"> </w:t>
      </w:r>
      <w:r>
        <w:t xml:space="preserve">— against erosion, overcutting, exhaustion of the range — is loyalty’s instrument, not its rival. The intergenerational logic of this rule is Chapter 8’s subject.</w:t>
      </w:r>
    </w:p>
    <w:p>
      <w:pPr>
        <w:pStyle w:val="BodyText"/>
      </w:pPr>
      <w:r>
        <w:rPr>
          <w:b/>
        </w:rPr>
        <w:t xml:space="preserve">Non-revenue designations that cost the trust nothing.</w:t>
      </w:r>
      <w:r>
        <w:t xml:space="preserve"> </w:t>
      </w:r>
      <w:r>
        <w:t xml:space="preserve">A 1977 formal opinion of the Oregon Attorney General concluded that trust lands may be designated for non-commercial uses (there, natural-area preserves) only if the designation does not diminish the lands’ financial contribution to the school fund.</w:t>
      </w:r>
      <w:r>
        <w:rPr>
          <w:rStyle w:val="FootnoteReference"/>
        </w:rPr>
        <w:footnoteReference w:id="258"/>
      </w:r>
      <w:r>
        <w:t xml:space="preserve"> </w:t>
      </w:r>
      <w:r>
        <w:t xml:space="preserve">The formulation generalizes: public-access and preservation overlays are compatible with loyalty exactly to the extent the trust loses nothing by them.</w:t>
      </w:r>
    </w:p>
    <w:p>
      <w:pPr>
        <w:pStyle w:val="BodyText"/>
      </w:pPr>
      <w:r>
        <w:rPr>
          <w:b/>
        </w:rPr>
        <w:t xml:space="preserve">Deviation with compensation.</w:t>
      </w:r>
      <w:r>
        <w:t xml:space="preserve"> </w:t>
      </w:r>
      <w:r>
        <w:t xml:space="preserve">Where the public</w:t>
      </w:r>
      <w:r>
        <w:t xml:space="preserve"> </w:t>
      </w:r>
      <w:r>
        <w:rPr>
          <w:i/>
        </w:rPr>
        <w:t xml:space="preserve">does</w:t>
      </w:r>
      <w:r>
        <w:t xml:space="preserve"> </w:t>
      </w:r>
      <w:r>
        <w:t xml:space="preserve">want trust assets devoted to non-revenue values, the cases supply the lawful route: pay for it. Utah’s</w:t>
      </w:r>
      <w:r>
        <w:t xml:space="preserve"> </w:t>
      </w:r>
      <w:r>
        <w:rPr>
          <w:i/>
        </w:rPr>
        <w:t xml:space="preserve">National Parks</w:t>
      </w:r>
      <w:r>
        <w:t xml:space="preserve"> </w:t>
      </w:r>
      <w:r>
        <w:t xml:space="preserve">holding resolves the question whether</w:t>
      </w:r>
      <w:r>
        <w:t xml:space="preserve"> </w:t>
      </w:r>
      <w:r>
        <w:t xml:space="preserve">“</w:t>
      </w:r>
      <w:r>
        <w:t xml:space="preserve">scenic, aesthetic, and recreational values</w:t>
      </w:r>
      <w:r>
        <w:t xml:space="preserve">”</w:t>
      </w:r>
      <w:r>
        <w:t xml:space="preserve"> </w:t>
      </w:r>
      <w:r>
        <w:t xml:space="preserve">may be preferred over income in favor of income maximization</w:t>
      </w:r>
      <w:r>
        <w:t xml:space="preserve"> </w:t>
      </w:r>
      <w:r>
        <w:rPr>
          <w:i/>
        </w:rPr>
        <w:t xml:space="preserve">unless the trust is compensated for any deviation</w:t>
      </w:r>
      <w:r>
        <w:t xml:space="preserve">.</w:t>
      </w:r>
      <w:r>
        <w:rPr>
          <w:rStyle w:val="FootnoteReference"/>
        </w:rPr>
        <w:footnoteReference w:id="259"/>
      </w:r>
      <w:r>
        <w:t xml:space="preserve"> </w:t>
      </w:r>
      <w:r>
        <w:t xml:space="preserve">The Alaska park case is the same rule stated negatively — the park was a breach because the trust was not paid</w:t>
      </w:r>
      <w:r>
        <w:rPr>
          <w:rStyle w:val="FootnoteReference"/>
        </w:rPr>
        <w:footnoteReference w:id="260"/>
      </w:r>
      <w:r>
        <w:t xml:space="preserve"> </w:t>
      </w:r>
      <w:r>
        <w:t xml:space="preserve">— and the full-value machinery of Chapters 9 and 10 supplies the price. A legislature may also withdraw trust lands from a particular disposition program by statute; the Oregon Supreme Court sustained such a withdrawal against the claim that it invaded a constitutionally mandated core function of revenue maximization.</w:t>
      </w:r>
      <w:r>
        <w:rPr>
          <w:rStyle w:val="FootnoteReference"/>
        </w:rPr>
        <w:footnoteReference w:id="261"/>
      </w:r>
    </w:p>
    <w:p>
      <w:pPr>
        <w:pStyle w:val="BodyText"/>
      </w:pPr>
      <w:r>
        <w:t xml:space="preserve">The dividing line across all three patterns is the same: conservation and access in the service of the beneficiaries’ long-term value, or paid for at full value, are administration; conservation and access funded silently out of the trust are subordination. The trustee may be green; it may not be generous with other people’s property.</w:t>
      </w:r>
    </w:p>
    <w:p>
      <w:pPr>
        <w:pStyle w:val="Heading3"/>
      </w:pPr>
      <w:bookmarkStart w:id="262" w:name="the-states-best-counter-arguments"/>
      <w:r>
        <w:t xml:space="preserve">§ 6.6 The states’ best counter-arguments</w:t>
      </w:r>
      <w:bookmarkEnd w:id="262"/>
    </w:p>
    <w:p>
      <w:pPr>
        <w:pStyle w:val="FirstParagraph"/>
      </w:pPr>
      <w:r>
        <w:t xml:space="preserve">A practitioner asserting divided loyalty will meet four defenses worth stating at full strength.</w:t>
      </w:r>
    </w:p>
    <w:p>
      <w:pPr>
        <w:pStyle w:val="BodyText"/>
      </w:pPr>
      <w:r>
        <w:rPr>
          <w:b/>
        </w:rPr>
        <w:t xml:space="preserve">(1) The beneficiary-class definition.</w:t>
      </w:r>
      <w:r>
        <w:t xml:space="preserve"> </w:t>
      </w:r>
      <w:r>
        <w:t xml:space="preserve">Some receiving constitutions phrase the management standard in terms of the public: Oregon’s Article VIII, section 5(2) directs management</w:t>
      </w:r>
      <w:r>
        <w:t xml:space="preserve"> </w:t>
      </w:r>
      <w:r>
        <w:t xml:space="preserve">“</w:t>
      </w:r>
      <w:r>
        <w:t xml:space="preserve">with the object of obtaining the greatest benefit for the people of this state.</w:t>
      </w:r>
      <w:r>
        <w:t xml:space="preserve">”</w:t>
      </w:r>
      <w:r>
        <w:rPr>
          <w:rStyle w:val="FootnoteReference"/>
        </w:rPr>
        <w:footnoteReference w:id="263"/>
      </w:r>
      <w:r>
        <w:t xml:space="preserve"> </w:t>
      </w:r>
      <w:r>
        <w:t xml:space="preserve">The state’s argument runs: where the constitutional beneficiary is the public, multiple-use balancing</w:t>
      </w:r>
      <w:r>
        <w:t xml:space="preserve"> </w:t>
      </w:r>
      <w:r>
        <w:rPr>
          <w:i/>
        </w:rPr>
        <w:t xml:space="preserve">is</w:t>
      </w:r>
      <w:r>
        <w:t xml:space="preserve"> </w:t>
      </w:r>
      <w:r>
        <w:t xml:space="preserve">loyalty, and the divided-loyalty cases from named-class jurisdictions simply do not apply. The question whether such phrasing redefines the class, or names the public as the ultimate political beneficiary of a trust whose direct beneficiaries remain the schools, is contested in pending Oregon litigation and is unresolved by any Oregon appellate holding; the sister-state authorities resolve the analogous question uniformly for the named class. [COUNSEL REVIEW — characterization of the contested ground in 24CV38372.] The structural analysis is § 5.3.</w:t>
      </w:r>
    </w:p>
    <w:p>
      <w:pPr>
        <w:pStyle w:val="BodyText"/>
      </w:pPr>
      <w:r>
        <w:rPr>
          <w:b/>
        </w:rPr>
        <w:t xml:space="preserve">(2) Legislative design authority.</w:t>
      </w:r>
      <w:r>
        <w:t xml:space="preserve"> </w:t>
      </w:r>
      <w:r>
        <w:rPr>
          <w:i/>
        </w:rPr>
        <w:t xml:space="preserve">Johnson</w:t>
      </w:r>
      <w:r>
        <w:t xml:space="preserve"> </w:t>
      </w:r>
      <w:r>
        <w:t xml:space="preserve">and</w:t>
      </w:r>
      <w:r>
        <w:t xml:space="preserve"> </w:t>
      </w:r>
      <w:r>
        <w:rPr>
          <w:i/>
        </w:rPr>
        <w:t xml:space="preserve">Cascadia</w:t>
      </w:r>
      <w:r>
        <w:t xml:space="preserve"> </w:t>
      </w:r>
      <w:r>
        <w:t xml:space="preserve">allocate genuine design authority over administration to the Oregon legislature, and the Tenth Circuit sustained Colorado’s wholesale restructuring of its land board against compact challenge.</w:t>
      </w:r>
      <w:r>
        <w:rPr>
          <w:rStyle w:val="FootnoteReference"/>
        </w:rPr>
        <w:footnoteReference w:id="264"/>
      </w:r>
      <w:r>
        <w:t xml:space="preserve"> </w:t>
      </w:r>
      <w:r>
        <w:t xml:space="preserve">The defense argument generalizes the holdings: what plaintiffs call divided loyalty is often, the state will say, a permissible design choice about</w:t>
      </w:r>
      <w:r>
        <w:t xml:space="preserve"> </w:t>
      </w:r>
      <w:r>
        <w:rPr>
          <w:i/>
        </w:rPr>
        <w:t xml:space="preserve">how</w:t>
      </w:r>
      <w:r>
        <w:t xml:space="preserve"> </w:t>
      </w:r>
      <w:r>
        <w:t xml:space="preserve">to serve the beneficiaries. The answer the sister-state cases give is the boundary stated at § 4.7(2): design authority operates within the trust and ends where the legislature directs the trustee’s allegiance elsewhere (</w:t>
      </w:r>
      <w:r>
        <w:rPr>
          <w:i/>
        </w:rPr>
        <w:t xml:space="preserve">IWP II</w:t>
      </w:r>
      <w:r>
        <w:t xml:space="preserve">) or transfers trust value to third parties (</w:t>
      </w:r>
      <w:r>
        <w:rPr>
          <w:i/>
        </w:rPr>
        <w:t xml:space="preserve">Skamania</w:t>
      </w:r>
      <w:r>
        <w:t xml:space="preserve">,</w:t>
      </w:r>
      <w:r>
        <w:t xml:space="preserve"> </w:t>
      </w:r>
      <w:r>
        <w:rPr>
          <w:i/>
        </w:rPr>
        <w:t xml:space="preserve">Ebke</w:t>
      </w:r>
      <w:r>
        <w:t xml:space="preserve">).</w:t>
      </w:r>
    </w:p>
    <w:p>
      <w:pPr>
        <w:pStyle w:val="BodyText"/>
      </w:pPr>
      <w:r>
        <w:rPr>
          <w:b/>
        </w:rPr>
        <w:t xml:space="preserve">(3) The reconciliation defense.</w:t>
      </w:r>
      <w:r>
        <w:t xml:space="preserve"> </w:t>
      </w:r>
      <w:r>
        <w:t xml:space="preserve">Montana’s</w:t>
      </w:r>
      <w:r>
        <w:t xml:space="preserve"> </w:t>
      </w:r>
      <w:r>
        <w:rPr>
          <w:i/>
        </w:rPr>
        <w:t xml:space="preserve">Darkenwald</w:t>
      </w:r>
      <w:r>
        <w:t xml:space="preserve"> </w:t>
      </w:r>
      <w:r>
        <w:t xml:space="preserve">decision sustained, over a vigorous dissent, a statute commingling school-trust distributable revenues with the general fund subject to a reconciliation mechanism.</w:t>
      </w:r>
      <w:r>
        <w:rPr>
          <w:rStyle w:val="FootnoteReference"/>
        </w:rPr>
        <w:footnoteReference w:id="265"/>
      </w:r>
      <w:r>
        <w:t xml:space="preserve"> </w:t>
      </w:r>
      <w:r>
        <w:t xml:space="preserve">The case shows that a court may accept an arrangement that looks like divided allegiance where the state persuades it that the trust is made whole. It is the field’s leading counter-precedent and is examined with the impartiality doctrine at § 8.3.</w:t>
      </w:r>
    </w:p>
    <w:p>
      <w:pPr>
        <w:pStyle w:val="BodyText"/>
      </w:pPr>
      <w:r>
        <w:rPr>
          <w:b/>
        </w:rPr>
        <w:t xml:space="preserve">(4) Asset character.</w:t>
      </w:r>
      <w:r>
        <w:t xml:space="preserve"> </w:t>
      </w:r>
      <w:r>
        <w:t xml:space="preserve">Loyalty’s strictness attaches to trust assets. Oregon’s attorney general has distinguished constitutionally dedicated school-fund assets, which require a net-financial-benefit finding, from sovereign-title (equal-footing) lands, where the board enjoys</w:t>
      </w:r>
      <w:r>
        <w:t xml:space="preserve"> </w:t>
      </w:r>
      <w:r>
        <w:t xml:space="preserve">“</w:t>
      </w:r>
      <w:r>
        <w:t xml:space="preserve">wide latitude.</w:t>
      </w:r>
      <w:r>
        <w:t xml:space="preserve">”</w:t>
      </w:r>
      <w:r>
        <w:rPr>
          <w:rStyle w:val="FootnoteReference"/>
        </w:rPr>
        <w:footnoteReference w:id="266"/>
      </w:r>
      <w:r>
        <w:t xml:space="preserve"> </w:t>
      </w:r>
      <w:r>
        <w:t xml:space="preserve">The defense will press the distinction wherever the asset’s provenance permits; the practitioner’s first diligence item is therefore the title question of § 5.2.</w:t>
      </w:r>
    </w:p>
    <w:p>
      <w:pPr>
        <w:pStyle w:val="Heading3"/>
      </w:pPr>
      <w:bookmarkStart w:id="267" w:name="synthesis-3"/>
      <w:r>
        <w:t xml:space="preserve">§ 6.7 Synthesis</w:t>
      </w:r>
      <w:bookmarkEnd w:id="267"/>
    </w:p>
    <w:p>
      <w:pPr>
        <w:numPr>
          <w:ilvl w:val="0"/>
          <w:numId w:val="1004"/>
        </w:numPr>
        <w:pStyle w:val="Compact"/>
      </w:pPr>
      <w:r>
        <w:rPr>
          <w:b/>
        </w:rPr>
        <w:t xml:space="preserve">Administration solely in the interest of the named beneficiaries.</w:t>
      </w:r>
      <w:r>
        <w:t xml:space="preserve"> </w:t>
      </w:r>
      <w:r>
        <w:t xml:space="preserve">The trustee state may not administer the trust in the service of any other interest, public or private; the enumerated purposes are exclusive.</w:t>
      </w:r>
      <w:r>
        <w:rPr>
          <w:rStyle w:val="FootnoteReference"/>
        </w:rPr>
        <w:footnoteReference w:id="268"/>
      </w:r>
    </w:p>
    <w:p>
      <w:pPr>
        <w:numPr>
          <w:ilvl w:val="0"/>
          <w:numId w:val="1004"/>
        </w:numPr>
        <w:pStyle w:val="Compact"/>
      </w:pPr>
      <w:r>
        <w:rPr>
          <w:b/>
        </w:rPr>
        <w:t xml:space="preserve">Benefit to the public is not a defense.</w:t>
      </w:r>
      <w:r>
        <w:t xml:space="preserve"> </w:t>
      </w:r>
      <w:r>
        <w:t xml:space="preserve">The canonical loyalty violations were popular public goods — promotion, parks, industry relief; the laudability of the competing objective is excluded from the analysis.</w:t>
      </w:r>
      <w:r>
        <w:rPr>
          <w:rStyle w:val="FootnoteReference"/>
        </w:rPr>
        <w:footnoteReference w:id="269"/>
      </w:r>
    </w:p>
    <w:p>
      <w:pPr>
        <w:numPr>
          <w:ilvl w:val="0"/>
          <w:numId w:val="1004"/>
        </w:numPr>
        <w:pStyle w:val="Compact"/>
      </w:pPr>
      <w:r>
        <w:rPr>
          <w:b/>
        </w:rPr>
        <w:t xml:space="preserve">Codified disloyalty is still disloyalty.</w:t>
      </w:r>
      <w:r>
        <w:t xml:space="preserve"> </w:t>
      </w:r>
      <w:r>
        <w:t xml:space="preserve">A statute directing the trustee toward non-beneficiary interests, or transferring trust value to third parties, falls with the conduct it authorizes.</w:t>
      </w:r>
      <w:r>
        <w:rPr>
          <w:rStyle w:val="FootnoteReference"/>
        </w:rPr>
        <w:footnoteReference w:id="270"/>
      </w:r>
    </w:p>
    <w:p>
      <w:pPr>
        <w:numPr>
          <w:ilvl w:val="0"/>
          <w:numId w:val="1004"/>
        </w:numPr>
        <w:pStyle w:val="Compact"/>
      </w:pPr>
      <w:r>
        <w:rPr>
          <w:b/>
        </w:rPr>
        <w:t xml:space="preserve">Conservation and access are lawful in three forms:</w:t>
      </w:r>
      <w:r>
        <w:t xml:space="preserve"> </w:t>
      </w:r>
      <w:r>
        <w:t xml:space="preserve">as long-term asset management for the beneficiaries (sustained yield); as overlays that cost the trust nothing; and as deviations paid for at full value. Outside those forms, they are subordination.</w:t>
      </w:r>
      <w:r>
        <w:rPr>
          <w:rStyle w:val="FootnoteReference"/>
        </w:rPr>
        <w:footnoteReference w:id="271"/>
      </w:r>
    </w:p>
    <w:p>
      <w:r>
        <w:pict>
          <v:rect style="width:0;height:1.5pt" o:hralign="center" o:hrstd="t" o:hr="t"/>
        </w:pict>
      </w:r>
    </w:p>
    <w:p>
      <w:pPr>
        <w:pStyle w:val="FirstParagraph"/>
      </w:pPr>
      <w:r>
        <w:rPr>
          <w:i/>
        </w:rPr>
        <w:t xml:space="preserve">End of Chapter 6 v1. Verification queue for this chapter: pin cites for the Skamania divided-loyalty and full-value passages; Nigh pin cites — RESOLVED 2026-06-09 (642 P.2d at 236, L0-verified); AG-opinion accord collection for the no-diminution rule (Register G-7); status of the contested beneficiary-class question in 24CV38372 at publication. Resolved 2026-06-07: the relationship of the two 1999 Idaho Watersheds opinions (133 Idaho 55, 982 P.2d 358 = the H.J.R. 6 single-subject writ proceeding; 133 Idaho 64, 982 P.2d 367 = the § 58-310B invalidation cited herein). Cross-references renumbered to the unified Ch1–Ch20 scheme in this v1 pass; any future renumbering triggers the Appendix A sweep per quality gate G4.</w:t>
      </w:r>
    </w:p>
    <w:p>
      <w:r>
        <w:br w:type="page"/>
      </w:r>
    </w:p>
    <w:p>
      <w:pPr>
        <w:pStyle w:val="Heading1"/>
      </w:pPr>
      <w:bookmarkStart w:id="272" w:name="X1ab979b7802fada42d9a7c7abfdec93d25b00e5"/>
      <w:r>
        <w:t xml:space="preserve">Chapter 7 — Prudence and the Duty of Productivity (v1)</w:t>
      </w:r>
      <w:bookmarkEnd w:id="272"/>
    </w:p>
    <w:p>
      <w:pPr>
        <w:pStyle w:val="FirstParagraph"/>
      </w:pPr>
      <w:r>
        <w:rPr>
          <w:i/>
        </w:rPr>
        <w:t xml:space="preserve">Status: v1, corpus-bounded draft. Every authority herein is carried in the project’s verified research files; [VERIFY] flags mark items awaiting primary-source confirmation under quality gate G3. Passages touching the pending Oregon litigation are drawn from the public record only and carry [COUNSEL REVIEW] flags. The v1 pass (2026-06-07) renumbered this chapter from Chapter 6 to Chapter 7 under the unified Ch1–Ch20 scheme, converted numeric footnotes to named keys per the project citation standard, and applied the resolutions of the 2026-06-07 verification pass (including the</w:t>
      </w:r>
      <w:r>
        <w:rPr>
          <w:i/>
        </w:rPr>
        <w:t xml:space="preserve"> </w:t>
      </w:r>
      <w:r>
        <w:t xml:space="preserve">National Parks* pin cites).*</w:t>
      </w:r>
    </w:p>
    <w:p>
      <w:r>
        <w:pict>
          <v:rect style="width:0;height:1.5pt" o:hralign="center" o:hrstd="t" o:hr="t"/>
        </w:pict>
      </w:r>
    </w:p>
    <w:p>
      <w:pPr>
        <w:pStyle w:val="Heading3"/>
      </w:pPr>
      <w:bookmarkStart w:id="273" w:name="the-duty-stated-and-its-vocabulary"/>
      <w:r>
        <w:t xml:space="preserve">§ 7.1 The duty stated, and its vocabulary</w:t>
      </w:r>
      <w:bookmarkEnd w:id="273"/>
    </w:p>
    <w:p>
      <w:pPr>
        <w:pStyle w:val="FirstParagraph"/>
      </w:pPr>
      <w:r>
        <w:t xml:space="preserve">The duty of loyalty (Chapter 6) tells the trustee</w:t>
      </w:r>
      <w:r>
        <w:t xml:space="preserve"> </w:t>
      </w:r>
      <w:r>
        <w:rPr>
          <w:i/>
        </w:rPr>
        <w:t xml:space="preserve">whom</w:t>
      </w:r>
      <w:r>
        <w:t xml:space="preserve"> </w:t>
      </w:r>
      <w:r>
        <w:t xml:space="preserve">to serve; the duties of prudence and productivity tell the trustee</w:t>
      </w:r>
      <w:r>
        <w:t xml:space="preserve"> </w:t>
      </w:r>
      <w:r>
        <w:rPr>
          <w:i/>
        </w:rPr>
        <w:t xml:space="preserve">how well</w:t>
      </w:r>
      <w:r>
        <w:t xml:space="preserve">. The common-law statement is the trustee’s affirmative obligation to use reasonable care and skill to make trust property productive,</w:t>
      </w:r>
      <w:r>
        <w:rPr>
          <w:rStyle w:val="FootnoteReference"/>
        </w:rPr>
        <w:footnoteReference w:id="274"/>
      </w:r>
      <w:r>
        <w:t xml:space="preserve"> </w:t>
      </w:r>
      <w:r>
        <w:t xml:space="preserve">joined in the modern formulations to the prudent-investor framework. In school-trust law the duty arrives under several names, and the practitioner should learn to recognize them as one duty:</w:t>
      </w:r>
    </w:p>
    <w:p>
      <w:pPr>
        <w:numPr>
          <w:ilvl w:val="0"/>
          <w:numId w:val="1005"/>
        </w:numPr>
        <w:pStyle w:val="Compact"/>
      </w:pPr>
      <w:r>
        <w:t xml:space="preserve">“</w:t>
      </w:r>
      <w:r>
        <w:t xml:space="preserve">the greatest net profit for the people of this state</w:t>
      </w:r>
      <w:r>
        <w:t xml:space="preserve">”</w:t>
      </w:r>
      <w:r>
        <w:t xml:space="preserve"> </w:t>
      </w:r>
      <w:r>
        <w:t xml:space="preserve">— the Oregon Supreme Court’s construction of its constitution’s management mandate;</w:t>
      </w:r>
      <w:r>
        <w:rPr>
          <w:rStyle w:val="FootnoteReference"/>
        </w:rPr>
        <w:footnoteReference w:id="275"/>
      </w:r>
    </w:p>
    <w:p>
      <w:pPr>
        <w:numPr>
          <w:ilvl w:val="0"/>
          <w:numId w:val="1005"/>
        </w:numPr>
        <w:pStyle w:val="Compact"/>
      </w:pPr>
      <w:r>
        <w:t xml:space="preserve">“</w:t>
      </w:r>
      <w:r>
        <w:t xml:space="preserve">the maximum financial benefit over time to the fund</w:t>
      </w:r>
      <w:r>
        <w:t xml:space="preserve">”</w:t>
      </w:r>
      <w:r>
        <w:t xml:space="preserve"> </w:t>
      </w:r>
      <w:r>
        <w:t xml:space="preserve">— the Oregon Attorney General’s investment-standard formulation;</w:t>
      </w:r>
      <w:r>
        <w:rPr>
          <w:rStyle w:val="FootnoteReference"/>
        </w:rPr>
        <w:footnoteReference w:id="276"/>
      </w:r>
    </w:p>
    <w:p>
      <w:pPr>
        <w:numPr>
          <w:ilvl w:val="0"/>
          <w:numId w:val="1005"/>
        </w:numPr>
        <w:pStyle w:val="Compact"/>
      </w:pPr>
      <w:r>
        <w:t xml:space="preserve">“</w:t>
      </w:r>
      <w:r>
        <w:t xml:space="preserve">the maximum long term financial return to the institution to which granted</w:t>
      </w:r>
      <w:r>
        <w:t xml:space="preserve">”</w:t>
      </w:r>
      <w:r>
        <w:t xml:space="preserve"> </w:t>
      </w:r>
      <w:r>
        <w:t xml:space="preserve">— the Idaho constitutional text;</w:t>
      </w:r>
      <w:r>
        <w:rPr>
          <w:rStyle w:val="FootnoteReference"/>
        </w:rPr>
        <w:footnoteReference w:id="277"/>
      </w:r>
    </w:p>
    <w:p>
      <w:pPr>
        <w:numPr>
          <w:ilvl w:val="0"/>
          <w:numId w:val="1005"/>
        </w:numPr>
        <w:pStyle w:val="Compact"/>
      </w:pPr>
      <w:r>
        <w:t xml:space="preserve">administration</w:t>
      </w:r>
      <w:r>
        <w:t xml:space="preserve"> </w:t>
      </w:r>
      <w:r>
        <w:t xml:space="preserve">“</w:t>
      </w:r>
      <w:r>
        <w:t xml:space="preserve">in a manner most beneficial to the trust estate and in a manner which obtains the maximum benefit in return from the use of trust property or loan of trust funds</w:t>
      </w:r>
      <w:r>
        <w:t xml:space="preserve">”</w:t>
      </w:r>
      <w:r>
        <w:t xml:space="preserve"> </w:t>
      </w:r>
      <w:r>
        <w:t xml:space="preserve">— the Oklahoma rule;</w:t>
      </w:r>
      <w:r>
        <w:rPr>
          <w:rStyle w:val="FootnoteReference"/>
        </w:rPr>
        <w:footnoteReference w:id="278"/>
      </w:r>
    </w:p>
    <w:p>
      <w:pPr>
        <w:numPr>
          <w:ilvl w:val="0"/>
          <w:numId w:val="1005"/>
        </w:numPr>
        <w:pStyle w:val="Compact"/>
      </w:pPr>
      <w:r>
        <w:t xml:space="preserve">income maximization as</w:t>
      </w:r>
      <w:r>
        <w:t xml:space="preserve"> </w:t>
      </w:r>
      <w:r>
        <w:t xml:space="preserve">“</w:t>
      </w:r>
      <w:r>
        <w:t xml:space="preserve">the controlling duty,</w:t>
      </w:r>
      <w:r>
        <w:t xml:space="preserve">”</w:t>
      </w:r>
      <w:r>
        <w:t xml:space="preserve"> </w:t>
      </w:r>
      <w:r>
        <w:t xml:space="preserve">with deviation permitted only on compensation to the trust — the Utah rule.</w:t>
      </w:r>
      <w:r>
        <w:rPr>
          <w:rStyle w:val="FootnoteReference"/>
        </w:rPr>
        <w:footnoteReference w:id="279"/>
      </w:r>
    </w:p>
    <w:p>
      <w:pPr>
        <w:pStyle w:val="FirstParagraph"/>
      </w:pPr>
      <w:r>
        <w:t xml:space="preserve">The common structure beneath the vocabulary: an affirmative duty (not merely a prohibition) to obtain the greatest return the asset can prudently yield, measured</w:t>
      </w:r>
      <w:r>
        <w:t xml:space="preserve"> </w:t>
      </w:r>
      <w:r>
        <w:rPr>
          <w:i/>
        </w:rPr>
        <w:t xml:space="preserve">net</w:t>
      </w:r>
      <w:r>
        <w:t xml:space="preserve"> </w:t>
      </w:r>
      <w:r>
        <w:t xml:space="preserve">of costs, over the</w:t>
      </w:r>
      <w:r>
        <w:t xml:space="preserve"> </w:t>
      </w:r>
      <w:r>
        <w:rPr>
          <w:i/>
        </w:rPr>
        <w:t xml:space="preserve">long term</w:t>
      </w:r>
      <w:r>
        <w:t xml:space="preserve">, for the</w:t>
      </w:r>
      <w:r>
        <w:t xml:space="preserve"> </w:t>
      </w:r>
      <w:r>
        <w:rPr>
          <w:i/>
        </w:rPr>
        <w:t xml:space="preserve">named beneficiaries</w:t>
      </w:r>
      <w:r>
        <w:t xml:space="preserve">. Each element does work in the cases: the affirmative character condemns passive underperformance, not just active diversion; the net measure makes cost-side waste a violation as much as revenue-side neglect (§ 7.4); the long-term horizon reconciles productivity with conservation (§ 7.3) and connects this duty to intergenerational impartiality (Chapter 8); and the beneficiary limitation is the duty of loyalty restated as an output requirement.</w:t>
      </w:r>
    </w:p>
    <w:p>
      <w:pPr>
        <w:pStyle w:val="Heading3"/>
      </w:pPr>
      <w:bookmarkStart w:id="280" w:name="the-lead-cases"/>
      <w:r>
        <w:t xml:space="preserve">§ 7.2 The lead cases</w:t>
      </w:r>
      <w:bookmarkEnd w:id="280"/>
    </w:p>
    <w:p>
      <w:pPr>
        <w:pStyle w:val="FirstParagraph"/>
      </w:pPr>
      <w:r>
        <w:rPr>
          <w:b/>
        </w:rPr>
        <w:t xml:space="preserve">Utah: income maximization as the controlling duty.</w:t>
      </w:r>
      <w:r>
        <w:t xml:space="preserve"> </w:t>
      </w:r>
      <w:r>
        <w:t xml:space="preserve">In</w:t>
      </w:r>
      <w:r>
        <w:t xml:space="preserve"> </w:t>
      </w:r>
      <w:r>
        <w:rPr>
          <w:i/>
        </w:rPr>
        <w:t xml:space="preserve">National Parks &amp; Conservation Association v. Board of State Lands</w:t>
      </w:r>
      <w:r>
        <w:t xml:space="preserve">, the land agency had approved an exchange of a school-trust section lying within Capitol Reef National Park. The Utah Supreme Court reversed the agency’s key rulings and tightened the duty at three points: the trust is</w:t>
      </w:r>
      <w:r>
        <w:t xml:space="preserve"> </w:t>
      </w:r>
      <w:r>
        <w:t xml:space="preserve">“</w:t>
      </w:r>
      <w:r>
        <w:t xml:space="preserve">not only imposed on the disposition of proceeds from school trust lands, but also on the use of the land itself</w:t>
      </w:r>
      <w:r>
        <w:t xml:space="preserve">”</w:t>
      </w:r>
      <w:r>
        <w:t xml:space="preserve">; an appraisal submitted by a prospective purchaser is</w:t>
      </w:r>
      <w:r>
        <w:t xml:space="preserve"> </w:t>
      </w:r>
      <w:r>
        <w:t xml:space="preserve">“</w:t>
      </w:r>
      <w:r>
        <w:t xml:space="preserve">suspect on its face</w:t>
      </w:r>
      <w:r>
        <w:t xml:space="preserve">”</w:t>
      </w:r>
      <w:r>
        <w:t xml:space="preserve"> </w:t>
      </w:r>
      <w:r>
        <w:t xml:space="preserve">and cannot satisfy the trustee’s duty of independent valuation; and the question whether</w:t>
      </w:r>
      <w:r>
        <w:t xml:space="preserve"> </w:t>
      </w:r>
      <w:r>
        <w:t xml:space="preserve">“</w:t>
      </w:r>
      <w:r>
        <w:t xml:space="preserve">scenic, aesthetic, and recreational values</w:t>
      </w:r>
      <w:r>
        <w:t xml:space="preserve">”</w:t>
      </w:r>
      <w:r>
        <w:t xml:space="preserve"> </w:t>
      </w:r>
      <w:r>
        <w:t xml:space="preserve">should be preferred over income is resolved in favor of income maximization unless the trust is compensated for any deviation.</w:t>
      </w:r>
      <w:r>
        <w:rPr>
          <w:rStyle w:val="FootnoteReference"/>
        </w:rPr>
        <w:footnoteReference w:id="281"/>
      </w:r>
      <w:r>
        <w:rPr>
          <w:rStyle w:val="FootnoteReference"/>
        </w:rPr>
        <w:footnoteReference w:id="282"/>
      </w:r>
    </w:p>
    <w:p>
      <w:pPr>
        <w:pStyle w:val="BodyText"/>
      </w:pPr>
      <w:r>
        <w:rPr>
          <w:b/>
        </w:rPr>
        <w:t xml:space="preserve">Oklahoma: the maximum-benefit rule as a limit on the legislature.</w:t>
      </w:r>
      <w:r>
        <w:t xml:space="preserve"> </w:t>
      </w:r>
      <w:r>
        <w:rPr>
          <w:i/>
        </w:rPr>
        <w:t xml:space="preserve">Nigh</w:t>
      </w:r>
      <w:r>
        <w:t xml:space="preserve"> </w:t>
      </w:r>
      <w:r>
        <w:t xml:space="preserve">states the productivity duty in the same breath as the legislative-power rule:</w:t>
      </w:r>
      <w:r>
        <w:t xml:space="preserve"> </w:t>
      </w:r>
      <w:r>
        <w:t xml:space="preserve">“</w:t>
      </w:r>
      <w:r>
        <w:t xml:space="preserve">No Act of the Legislature can validly alter, modify or diminish the State’s duty as Trustee of the school land trust to administer it in a manner most beneficial to the trust estate and in a manner which obtains the maximum benefit in return from the use of trust property or loan of trust funds.</w:t>
      </w:r>
      <w:r>
        <w:t xml:space="preserve">”</w:t>
      </w:r>
      <w:r>
        <w:rPr>
          <w:rStyle w:val="FootnoteReference"/>
        </w:rPr>
        <w:footnoteReference w:id="283"/>
      </w:r>
      <w:r>
        <w:t xml:space="preserve"> </w:t>
      </w:r>
      <w:r>
        <w:t xml:space="preserve">The duty’s content (maximum benefit) and its rank (above statute) arrive together.</w:t>
      </w:r>
    </w:p>
    <w:p>
      <w:pPr>
        <w:pStyle w:val="BodyText"/>
      </w:pPr>
      <w:r>
        <w:rPr>
          <w:b/>
        </w:rPr>
        <w:t xml:space="preserve">Idaho: the constitutional text enforced against the trustee’s own rules.</w:t>
      </w:r>
      <w:r>
        <w:t xml:space="preserve"> </w:t>
      </w:r>
      <w:r>
        <w:t xml:space="preserve">Idaho’s constitution directs that the granted lands be managed</w:t>
      </w:r>
      <w:r>
        <w:t xml:space="preserve"> </w:t>
      </w:r>
      <w:r>
        <w:t xml:space="preserve">“</w:t>
      </w:r>
      <w:r>
        <w:t xml:space="preserve">in such manner as will secure the maximum long term financial return to the institution to which granted.</w:t>
      </w:r>
      <w:r>
        <w:t xml:space="preserve">”</w:t>
      </w:r>
      <w:r>
        <w:t xml:space="preserve"> </w:t>
      </w:r>
      <w:r>
        <w:t xml:space="preserve">In</w:t>
      </w:r>
      <w:r>
        <w:t xml:space="preserve"> </w:t>
      </w:r>
      <w:r>
        <w:rPr>
          <w:i/>
        </w:rPr>
        <w:t xml:space="preserve">Idaho Watersheds Project</w:t>
      </w:r>
      <w:r>
        <w:t xml:space="preserve">, the land board’s grazing-lease conflict rules preferred existing lessees over higher competitive bids; the Idaho Supreme Court held the constitutional mandate required true competitive auction when conflicting applications were submitted.</w:t>
      </w:r>
      <w:r>
        <w:rPr>
          <w:rStyle w:val="FootnoteReference"/>
        </w:rPr>
        <w:footnoteReference w:id="284"/>
      </w:r>
      <w:r>
        <w:t xml:space="preserve"> </w:t>
      </w:r>
      <w:r>
        <w:t xml:space="preserve">The case demonstrates the duty operating as hard law against administrative convenience: the board’s settled practice, not a rogue transaction, was what fell.</w:t>
      </w:r>
    </w:p>
    <w:p>
      <w:pPr>
        <w:pStyle w:val="BodyText"/>
      </w:pPr>
      <w:r>
        <w:rPr>
          <w:b/>
        </w:rPr>
        <w:t xml:space="preserve">Oregon: the net-profit construction.</w:t>
      </w:r>
      <w:r>
        <w:t xml:space="preserve"> </w:t>
      </w:r>
      <w:r>
        <w:rPr>
          <w:i/>
        </w:rPr>
        <w:t xml:space="preserve">Johnson v. Department of Revenue</w:t>
      </w:r>
      <w:r>
        <w:t xml:space="preserve"> </w:t>
      </w:r>
      <w:r>
        <w:t xml:space="preserve">construed the post-1968 management mandate of Article VIII, section 5(2). The State’s litigating position in pending Oregon proceedings quotes the opinion’s legislative-determination sentence; the passage in full carries both halves of the doctrine:</w:t>
      </w:r>
    </w:p>
    <w:p>
      <w:pPr>
        <w:pStyle w:val="BlockText"/>
      </w:pPr>
      <w:r>
        <w:t xml:space="preserve">“</w:t>
      </w:r>
      <w:r>
        <w:t xml:space="preserve">Section 5(2) contains the requirement that such lands be managed with the object of obtaining the greatest benefit for the people of Oregon. Reading this provision according to its most plain and practical meaning, and consistently with the legislative history, the determination of the proper use of common school funds is a legislative one, subject to the overall requirement that the use have as its goal the greater public benefit. All investments have inherent transaction costs, for example, the costs necessary to leasing include attorney’s fees for drafting of lease agreements. The goal imposed by section 5(2), amended to take into account such costs, requires the State Land Board, and the legislature as supervisor, to use lands dedicated to the common school fund in such a way as to derive the greatest net profit for the people of this state.</w:t>
      </w:r>
      <w:r>
        <w:t xml:space="preserve">”</w:t>
      </w:r>
      <w:r>
        <w:rPr>
          <w:rStyle w:val="FootnoteReference"/>
        </w:rPr>
        <w:footnoteReference w:id="285"/>
      </w:r>
    </w:p>
    <w:p>
      <w:pPr>
        <w:pStyle w:val="FirstParagraph"/>
      </w:pPr>
      <w:r>
        <w:t xml:space="preserve">The sentence that matters for this chapter is the last: the legislature exercises its design authority</w:t>
      </w:r>
      <w:r>
        <w:t xml:space="preserve"> </w:t>
      </w:r>
      <w:r>
        <w:rPr>
          <w:i/>
        </w:rPr>
        <w:t xml:space="preserve">as supervisor</w:t>
      </w:r>
      <w:r>
        <w:t xml:space="preserve"> </w:t>
      </w:r>
      <w:r>
        <w:t xml:space="preserve">of a mandate</w:t>
      </w:r>
      <w:r>
        <w:t xml:space="preserve"> </w:t>
      </w:r>
      <w:r>
        <w:t xml:space="preserve">“</w:t>
      </w:r>
      <w:r>
        <w:t xml:space="preserve">to derive the greatest net profit.</w:t>
      </w:r>
      <w:r>
        <w:t xml:space="preserve">”</w:t>
      </w:r>
      <w:r>
        <w:t xml:space="preserve"> </w:t>
      </w:r>
      <w:r>
        <w:t xml:space="preserve">And the modern Oregon Supreme Court has preserved the duty’s operative bite in the asset-management setting:</w:t>
      </w:r>
      <w:r>
        <w:t xml:space="preserve"> </w:t>
      </w:r>
      <w:r>
        <w:t xml:space="preserve">“</w:t>
      </w:r>
      <w:r>
        <w:t xml:space="preserve">In some circumstances, the</w:t>
      </w:r>
      <w:r>
        <w:t xml:space="preserve"> </w:t>
      </w:r>
      <w:r>
        <w:t xml:space="preserve">‘</w:t>
      </w:r>
      <w:r>
        <w:t xml:space="preserve">greatest benefit</w:t>
      </w:r>
      <w:r>
        <w:t xml:space="preserve">’</w:t>
      </w:r>
      <w:r>
        <w:t xml:space="preserve"> </w:t>
      </w:r>
      <w:r>
        <w:t xml:space="preserve">mandate may require the State Land Board to maximize net profit, for example, by obtaining the best price for the authorized sale of timber on common school lands.</w:t>
      </w:r>
      <w:r>
        <w:t xml:space="preserve">”</w:t>
      </w:r>
      <w:r>
        <w:rPr>
          <w:rStyle w:val="FootnoteReference"/>
        </w:rPr>
        <w:footnoteReference w:id="286"/>
      </w:r>
    </w:p>
    <w:p>
      <w:pPr>
        <w:pStyle w:val="Heading3"/>
      </w:pPr>
      <w:bookmarkStart w:id="287" w:name="Xa74f1a28ddfb5ed4a4c921be97f70546bc7a70f"/>
      <w:r>
        <w:t xml:space="preserve">§ 7.3 Prudence over time: sustained yield as consistent with the duty</w:t>
      </w:r>
      <w:bookmarkEnd w:id="287"/>
    </w:p>
    <w:p>
      <w:pPr>
        <w:pStyle w:val="FirstParagraph"/>
      </w:pPr>
      <w:r>
        <w:t xml:space="preserve">The productivity duty is sometimes attacked as a mandate for liquidation — cut every tree, lease every acre, this year. The authorities say the opposite: the duty’s measure is long-term, and prudence in the preservation of the producing asset is part of the duty, not an exception to it.</w:t>
      </w:r>
    </w:p>
    <w:p>
      <w:pPr>
        <w:pStyle w:val="BodyText"/>
      </w:pPr>
      <w:r>
        <w:t xml:space="preserve">Montana’s</w:t>
      </w:r>
      <w:r>
        <w:t xml:space="preserve"> </w:t>
      </w:r>
      <w:r>
        <w:rPr>
          <w:i/>
        </w:rPr>
        <w:t xml:space="preserve">Burlingame</w:t>
      </w:r>
      <w:r>
        <w:t xml:space="preserve"> </w:t>
      </w:r>
      <w:r>
        <w:t xml:space="preserve">states the sustained-yield doctrine for trust forest and range lands: the long-term productivity of trust land takes priority over short-term income, and an arrangement that does not further sustained yield cannot be given effect on that ground.</w:t>
      </w:r>
      <w:r>
        <w:rPr>
          <w:rStyle w:val="FootnoteReference"/>
        </w:rPr>
        <w:footnoteReference w:id="288"/>
      </w:r>
      <w:r>
        <w:t xml:space="preserve"> </w:t>
      </w:r>
      <w:r>
        <w:t xml:space="preserve">The constitutional and opinion formulations embed the same horizon in their text — Idaho’s</w:t>
      </w:r>
      <w:r>
        <w:t xml:space="preserve"> </w:t>
      </w:r>
      <w:r>
        <w:t xml:space="preserve">“</w:t>
      </w:r>
      <w:r>
        <w:t xml:space="preserve">maximum</w:t>
      </w:r>
      <w:r>
        <w:t xml:space="preserve"> </w:t>
      </w:r>
      <w:r>
        <w:rPr>
          <w:i/>
        </w:rPr>
        <w:t xml:space="preserve">long term</w:t>
      </w:r>
      <w:r>
        <w:t xml:space="preserve"> </w:t>
      </w:r>
      <w:r>
        <w:t xml:space="preserve">financial return,</w:t>
      </w:r>
      <w:r>
        <w:t xml:space="preserve">”</w:t>
      </w:r>
      <w:r>
        <w:t xml:space="preserve"> </w:t>
      </w:r>
      <w:r>
        <w:t xml:space="preserve">the Oregon Attorney General’s</w:t>
      </w:r>
      <w:r>
        <w:t xml:space="preserve"> </w:t>
      </w:r>
      <w:r>
        <w:t xml:space="preserve">“</w:t>
      </w:r>
      <w:r>
        <w:t xml:space="preserve">maximum financial benefit</w:t>
      </w:r>
      <w:r>
        <w:t xml:space="preserve"> </w:t>
      </w:r>
      <w:r>
        <w:rPr>
          <w:i/>
        </w:rPr>
        <w:t xml:space="preserve">over time</w:t>
      </w:r>
      <w:r>
        <w:t xml:space="preserve">,</w:t>
      </w:r>
      <w:r>
        <w:t xml:space="preserve">”</w:t>
      </w:r>
      <w:r>
        <w:t xml:space="preserve"> </w:t>
      </w:r>
      <w:r>
        <w:t xml:space="preserve">and the same office’s reading of the management mandate as obtaining the greatest benefit</w:t>
      </w:r>
      <w:r>
        <w:t xml:space="preserve"> </w:t>
      </w:r>
      <w:r>
        <w:t xml:space="preserve">“</w:t>
      </w:r>
      <w:r>
        <w:t xml:space="preserve">consistent with the conservation of the resource under sound techniques of land management.</w:t>
      </w:r>
      <w:r>
        <w:t xml:space="preserve">”</w:t>
      </w:r>
      <w:r>
        <w:rPr>
          <w:rStyle w:val="FootnoteReference"/>
        </w:rPr>
        <w:footnoteReference w:id="289"/>
      </w:r>
      <w:r>
        <w:t xml:space="preserve"> </w:t>
      </w:r>
      <w:r>
        <w:t xml:space="preserve">The 1992 Oregon opinion completes the synthesis from the trustee’s own law office: the duty is to manage for the long-term benefit of the schools, conserving the corpus and maximizing revenue over the long term consistent with prudent-investor principles.</w:t>
      </w:r>
      <w:r>
        <w:rPr>
          <w:rStyle w:val="FootnoteReference"/>
        </w:rPr>
        <w:footnoteReference w:id="290"/>
      </w:r>
    </w:p>
    <w:p>
      <w:pPr>
        <w:pStyle w:val="BodyText"/>
      </w:pPr>
      <w:r>
        <w:t xml:space="preserve">The doctrinal point for the practitioner: sustained yield and productivity are not in tension, and a trustee cannot justify</w:t>
      </w:r>
      <w:r>
        <w:t xml:space="preserve"> </w:t>
      </w:r>
      <w:r>
        <w:rPr>
          <w:i/>
        </w:rPr>
        <w:t xml:space="preserve">either</w:t>
      </w:r>
      <w:r>
        <w:t xml:space="preserve"> </w:t>
      </w:r>
      <w:r>
        <w:t xml:space="preserve">liquidation</w:t>
      </w:r>
      <w:r>
        <w:t xml:space="preserve"> </w:t>
      </w:r>
      <w:r>
        <w:rPr>
          <w:i/>
        </w:rPr>
        <w:t xml:space="preserve">or</w:t>
      </w:r>
      <w:r>
        <w:t xml:space="preserve"> </w:t>
      </w:r>
      <w:r>
        <w:t xml:space="preserve">idleness by pointing at the other. The long-term standard condemns both the strip-cut that maximizes this biennium and the management regime that produces nothing in any biennium. Where the genuine tradeoff arises — present income against future corpus — the governing doctrine is impartiality, treated in Chapter 8.</w:t>
      </w:r>
    </w:p>
    <w:p>
      <w:pPr>
        <w:pStyle w:val="Heading3"/>
      </w:pPr>
      <w:bookmarkStart w:id="291" w:name="below-cost-management-of-revenue-assets"/>
      <w:r>
        <w:t xml:space="preserve">§ 7.4 Below-cost management of revenue assets</w:t>
      </w:r>
      <w:bookmarkEnd w:id="291"/>
    </w:p>
    <w:p>
      <w:pPr>
        <w:pStyle w:val="FirstParagraph"/>
      </w:pPr>
      <w:r>
        <w:t xml:space="preserve">Because the duty’s measure is</w:t>
      </w:r>
      <w:r>
        <w:t xml:space="preserve"> </w:t>
      </w:r>
      <w:r>
        <w:rPr>
          <w:i/>
        </w:rPr>
        <w:t xml:space="preserve">net</w:t>
      </w:r>
      <w:r>
        <w:t xml:space="preserve">, the cost side of trust administration is doctrinally load-bearing.</w:t>
      </w:r>
      <w:r>
        <w:t xml:space="preserve"> </w:t>
      </w:r>
      <w:r>
        <w:rPr>
          <w:i/>
        </w:rPr>
        <w:t xml:space="preserve">Johnson</w:t>
      </w:r>
      <w:r>
        <w:t xml:space="preserve"> </w:t>
      </w:r>
      <w:r>
        <w:t xml:space="preserve">built transaction costs into the constitutional standard expressly — the goal,</w:t>
      </w:r>
      <w:r>
        <w:t xml:space="preserve"> </w:t>
      </w:r>
      <w:r>
        <w:t xml:space="preserve">“</w:t>
      </w:r>
      <w:r>
        <w:t xml:space="preserve">amended to take into account such costs,</w:t>
      </w:r>
      <w:r>
        <w:t xml:space="preserve">”</w:t>
      </w:r>
      <w:r>
        <w:t xml:space="preserve"> </w:t>
      </w:r>
      <w:r>
        <w:t xml:space="preserve">is the greatest</w:t>
      </w:r>
      <w:r>
        <w:t xml:space="preserve"> </w:t>
      </w:r>
      <w:r>
        <w:rPr>
          <w:i/>
        </w:rPr>
        <w:t xml:space="preserve">net</w:t>
      </w:r>
      <w:r>
        <w:t xml:space="preserve"> </w:t>
      </w:r>
      <w:r>
        <w:t xml:space="preserve">profit.</w:t>
      </w:r>
      <w:r>
        <w:rPr>
          <w:rStyle w:val="FootnoteReference"/>
        </w:rPr>
        <w:footnoteReference w:id="292"/>
      </w:r>
      <w:r>
        <w:t xml:space="preserve"> </w:t>
      </w:r>
      <w:r>
        <w:t xml:space="preserve">The Oregon Attorney General’s opinions carry the implication to its working conclusions: the fiduciary duty to obtain full market value for trust resources cannot be subordinated to other policy goals, and even non-commercial designations are permissible only where they do not diminish the trust’s financial contribution.</w:t>
      </w:r>
      <w:r>
        <w:rPr>
          <w:rStyle w:val="FootnoteReference"/>
        </w:rPr>
        <w:footnoteReference w:id="293"/>
      </w:r>
    </w:p>
    <w:p>
      <w:pPr>
        <w:pStyle w:val="BodyText"/>
      </w:pPr>
      <w:r>
        <w:t xml:space="preserve">The frontier application is the revenue asset managed at a sustained loss: timberland whose management budget exceeds its projected revenue, range whose administration costs more than its grazing receipts. The verified corpus contains no appellate holding squarely adjudicating below-cost management as a breach, and this section flags the thinness honestly: the proposition that sustained below-cost management of a revenue asset violates the productivity duty is an</w:t>
      </w:r>
      <w:r>
        <w:t xml:space="preserve"> </w:t>
      </w:r>
      <w:r>
        <w:rPr>
          <w:i/>
        </w:rPr>
        <w:t xml:space="preserve">argued application</w:t>
      </w:r>
      <w:r>
        <w:t xml:space="preserve"> </w:t>
      </w:r>
      <w:r>
        <w:t xml:space="preserve">of the net-profit and no-diminution authorities, not yet a holding.</w:t>
      </w:r>
      <w:r>
        <w:rPr>
          <w:rStyle w:val="FootnoteReference"/>
        </w:rPr>
        <w:footnoteReference w:id="294"/>
      </w:r>
      <w:r>
        <w:t xml:space="preserve"> </w:t>
      </w:r>
      <w:r>
        <w:t xml:space="preserve">The question is presented in litigation pending as this volume is written: the plaintiffs in Oregon’s 24CV38372 allege that the State Land Board’s June 2024 approval of a Common School Forest Lands timber-management budget projecting a net loss breached the Board’s fiduciary duties; the State contests both the duty’s existence and the budget’s characterization, and has argued the question is committed to legislative and administrative discretion. The dispute is unadjudicated. [COUNSEL REVIEW — this paragraph characterizes the parties’ positions in 24CV38372 from public filings.]</w:t>
      </w:r>
      <w:r>
        <w:rPr>
          <w:rStyle w:val="FootnoteReference"/>
        </w:rPr>
        <w:footnoteReference w:id="295"/>
      </w:r>
    </w:p>
    <w:p>
      <w:pPr>
        <w:pStyle w:val="BodyText"/>
      </w:pPr>
      <w:r>
        <w:t xml:space="preserve">The analytic frame the existing authorities supply: a deliberate net-loss budget for a revenue asset must find its justification somewhere — as an investment in long-term yield (§ 7.3, lawful), as a compensated deviation (§ 6.5, lawful if paid for), or as service to non-beneficiary objectives (Chapter 6, breach). The defense of professional managerial judgment, treated at § 7.6, contests who decides which description fits.</w:t>
      </w:r>
    </w:p>
    <w:p>
      <w:pPr>
        <w:pStyle w:val="Heading3"/>
      </w:pPr>
      <w:bookmarkStart w:id="296" w:name="Xa82863ba0ecc742530745ca49cf156da4c92c16"/>
      <w:r>
        <w:t xml:space="preserve">§ 7.5 Preference rights versus competitive return</w:t>
      </w:r>
      <w:bookmarkEnd w:id="296"/>
    </w:p>
    <w:p>
      <w:pPr>
        <w:pStyle w:val="FirstParagraph"/>
      </w:pPr>
      <w:r>
        <w:t xml:space="preserve">The recurring statutory temptation in trust-land administration is the preference right: the sitting lessee’s statutory option to renew, or to match, rather than face the auction. The full leasing doctrine is Chapter 11’s subject; the productivity principle that drives it belongs here, because the cases condemn preference regimes in productivity terms — the market, not the incumbent, is the measure of the asset’s value.</w:t>
      </w:r>
    </w:p>
    <w:p>
      <w:pPr>
        <w:pStyle w:val="BodyText"/>
      </w:pPr>
      <w:r>
        <w:t xml:space="preserve">Nebraska’s</w:t>
      </w:r>
      <w:r>
        <w:t xml:space="preserve"> </w:t>
      </w:r>
      <w:r>
        <w:rPr>
          <w:i/>
        </w:rPr>
        <w:t xml:space="preserve">Ebke</w:t>
      </w:r>
      <w:r>
        <w:t xml:space="preserve"> </w:t>
      </w:r>
      <w:r>
        <w:t xml:space="preserve">struck the statute that abandoned public bidding in favor of renewals to existing holders at valuations below fair market value.</w:t>
      </w:r>
      <w:r>
        <w:rPr>
          <w:rStyle w:val="FootnoteReference"/>
        </w:rPr>
        <w:footnoteReference w:id="297"/>
      </w:r>
      <w:r>
        <w:t xml:space="preserve"> </w:t>
      </w:r>
      <w:r>
        <w:t xml:space="preserve">Montana’s</w:t>
      </w:r>
      <w:r>
        <w:t xml:space="preserve"> </w:t>
      </w:r>
      <w:r>
        <w:rPr>
          <w:i/>
        </w:rPr>
        <w:t xml:space="preserve">Jerke</w:t>
      </w:r>
      <w:r>
        <w:t xml:space="preserve"> </w:t>
      </w:r>
      <w:r>
        <w:t xml:space="preserve">held the statutory grazing preference unconstitutional as applied where the preferred holder did not itself use the land: only competitive bidding could secure full market value in that situation.</w:t>
      </w:r>
      <w:r>
        <w:rPr>
          <w:rStyle w:val="FootnoteReference"/>
        </w:rPr>
        <w:footnoteReference w:id="298"/>
      </w:r>
      <w:r>
        <w:t xml:space="preserve"> </w:t>
      </w:r>
      <w:r>
        <w:t xml:space="preserve">Idaho’s</w:t>
      </w:r>
      <w:r>
        <w:t xml:space="preserve"> </w:t>
      </w:r>
      <w:r>
        <w:rPr>
          <w:i/>
        </w:rPr>
        <w:t xml:space="preserve">Idaho Watersheds Project</w:t>
      </w:r>
      <w:r>
        <w:t xml:space="preserve"> </w:t>
      </w:r>
      <w:r>
        <w:t xml:space="preserve">required true competitive auction over the board’s own lessee-preference conflict rules, on the strength of the constitutional maximum-return mandate.</w:t>
      </w:r>
      <w:r>
        <w:rPr>
          <w:rStyle w:val="FootnoteReference"/>
        </w:rPr>
        <w:footnoteReference w:id="299"/>
      </w:r>
      <w:r>
        <w:t xml:space="preserve"> </w:t>
      </w:r>
      <w:r>
        <w:t xml:space="preserve">The unifying rule: a trustee bound to obtain the asset’s full value cannot adopt, and a legislature cannot impose, a disposition method that systematically forecloses the price discovery from which full value is known.</w:t>
      </w:r>
    </w:p>
    <w:p>
      <w:pPr>
        <w:pStyle w:val="Heading3"/>
      </w:pPr>
      <w:bookmarkStart w:id="300" w:name="the-states-best-counter-arguments-1"/>
      <w:r>
        <w:t xml:space="preserve">§ 7.6 The states’ best counter-arguments</w:t>
      </w:r>
      <w:bookmarkEnd w:id="300"/>
    </w:p>
    <w:p>
      <w:pPr>
        <w:pStyle w:val="FirstParagraph"/>
      </w:pPr>
      <w:r>
        <w:rPr>
          <w:b/>
        </w:rPr>
        <w:t xml:space="preserve">(1) No core function of revenue maximization.</w:t>
      </w:r>
      <w:r>
        <w:t xml:space="preserve"> </w:t>
      </w:r>
      <w:r>
        <w:t xml:space="preserve">The strongest modern authority for the defense is Oregon’s</w:t>
      </w:r>
      <w:r>
        <w:t xml:space="preserve"> </w:t>
      </w:r>
      <w:r>
        <w:rPr>
          <w:i/>
        </w:rPr>
        <w:t xml:space="preserve">Cascadia Wildlands</w:t>
      </w:r>
      <w:r>
        <w:t xml:space="preserve">: the court rejected the argument that the Admission Act gives the land board a</w:t>
      </w:r>
      <w:r>
        <w:t xml:space="preserve"> </w:t>
      </w:r>
      <w:r>
        <w:t xml:space="preserve">“</w:t>
      </w:r>
      <w:r>
        <w:t xml:space="preserve">core function</w:t>
      </w:r>
      <w:r>
        <w:t xml:space="preserve">”</w:t>
      </w:r>
      <w:r>
        <w:t xml:space="preserve"> </w:t>
      </w:r>
      <w:r>
        <w:t xml:space="preserve">of net-revenue maximization that would invalidate a statute withdrawing certain lands from sale.</w:t>
      </w:r>
      <w:r>
        <w:rPr>
          <w:rStyle w:val="FootnoteReference"/>
        </w:rPr>
        <w:footnoteReference w:id="301"/>
      </w:r>
      <w:r>
        <w:t xml:space="preserve"> </w:t>
      </w:r>
      <w:r>
        <w:t xml:space="preserve">The defense reading — that productivity is at most a soft objective the legislature may trade away — overreads the holding, which the same opinion cabins with its timber-price reservation;</w:t>
      </w:r>
      <w:r>
        <w:rPr>
          <w:rStyle w:val="FootnoteReference"/>
        </w:rPr>
        <w:footnoteReference w:id="302"/>
      </w:r>
      <w:r>
        <w:t xml:space="preserve"> </w:t>
      </w:r>
      <w:r>
        <w:t xml:space="preserve">but the case stands squarely for the proposition that the duty does not convert every legislative resource-policy choice into a breach, and the practitioner should concede as much.</w:t>
      </w:r>
    </w:p>
    <w:p>
      <w:pPr>
        <w:pStyle w:val="BodyText"/>
      </w:pPr>
      <w:r>
        <w:rPr>
          <w:b/>
        </w:rPr>
        <w:t xml:space="preserve">(2) Legislative and professional judgment.</w:t>
      </w:r>
      <w:r>
        <w:t xml:space="preserve"> </w:t>
      </w:r>
      <w:r>
        <w:rPr>
          <w:i/>
        </w:rPr>
        <w:t xml:space="preserve">Johnson</w:t>
      </w:r>
      <w:r>
        <w:t xml:space="preserve">’s legislative-determination sentence allocates the choice among proper uses to the legislature, and land agencies will argue that budget levels, harvest calendars, and silvicultural method are professional judgments within the trustee’s discretion. The honest answer is that discretion in</w:t>
      </w:r>
      <w:r>
        <w:t xml:space="preserve"> </w:t>
      </w:r>
      <w:r>
        <w:rPr>
          <w:i/>
        </w:rPr>
        <w:t xml:space="preserve">method</w:t>
      </w:r>
      <w:r>
        <w:t xml:space="preserve"> </w:t>
      </w:r>
      <w:r>
        <w:t xml:space="preserve">is real, and the duty polices</w:t>
      </w:r>
      <w:r>
        <w:t xml:space="preserve"> </w:t>
      </w:r>
      <w:r>
        <w:rPr>
          <w:i/>
        </w:rPr>
        <w:t xml:space="preserve">outcome and allegiance</w:t>
      </w:r>
      <w:r>
        <w:t xml:space="preserve">: the Oregon Attorney General’s own opinions hold that the board’s final authority over trust forest lands cannot be ceded to another agency’s policy preferences, and that whatever the method, the trust’s financial contribution may not be diminished without compensation.</w:t>
      </w:r>
      <w:r>
        <w:rPr>
          <w:rStyle w:val="FootnoteReference"/>
        </w:rPr>
        <w:footnoteReference w:id="303"/>
      </w:r>
    </w:p>
    <w:p>
      <w:pPr>
        <w:pStyle w:val="BodyText"/>
      </w:pPr>
      <w:r>
        <w:rPr>
          <w:b/>
        </w:rPr>
        <w:t xml:space="preserve">(3) Deviation with compensation, and the two-tier estate.</w:t>
      </w:r>
      <w:r>
        <w:t xml:space="preserve"> </w:t>
      </w:r>
      <w:r>
        <w:rPr>
          <w:i/>
        </w:rPr>
        <w:t xml:space="preserve">NPCA</w:t>
      </w:r>
      <w:r>
        <w:t xml:space="preserve">’s own rule permits preferring non-economic values where the trust is compensated, and Justice Durham’s concurrence would give the trustee modestly more room.</w:t>
      </w:r>
      <w:r>
        <w:rPr>
          <w:rStyle w:val="FootnoteReference"/>
        </w:rPr>
        <w:footnoteReference w:id="304"/>
      </w:r>
      <w:r>
        <w:t xml:space="preserve"> </w:t>
      </w:r>
      <w:r>
        <w:t xml:space="preserve">The Oregon two-tier opinion permits</w:t>
      </w:r>
      <w:r>
        <w:t xml:space="preserve"> </w:t>
      </w:r>
      <w:r>
        <w:t xml:space="preserve">“</w:t>
      </w:r>
      <w:r>
        <w:t xml:space="preserve">wide latitude</w:t>
      </w:r>
      <w:r>
        <w:t xml:space="preserve">”</w:t>
      </w:r>
      <w:r>
        <w:t xml:space="preserve"> </w:t>
      </w:r>
      <w:r>
        <w:t xml:space="preserve">on sovereign-title assets that are not part of the constitutional trust corpus.</w:t>
      </w:r>
      <w:r>
        <w:rPr>
          <w:rStyle w:val="FootnoteReference"/>
        </w:rPr>
        <w:footnoteReference w:id="305"/>
      </w:r>
      <w:r>
        <w:t xml:space="preserve"> </w:t>
      </w:r>
      <w:r>
        <w:t xml:space="preserve">Both are genuine limits on the duty’s reach; neither permits uncompensated underperformance on trust assets.</w:t>
      </w:r>
    </w:p>
    <w:p>
      <w:pPr>
        <w:pStyle w:val="Heading3"/>
      </w:pPr>
      <w:bookmarkStart w:id="306" w:name="synthesis-4"/>
      <w:r>
        <w:t xml:space="preserve">§ 7.7 Synthesis</w:t>
      </w:r>
      <w:bookmarkEnd w:id="306"/>
    </w:p>
    <w:p>
      <w:pPr>
        <w:numPr>
          <w:ilvl w:val="0"/>
          <w:numId w:val="1006"/>
        </w:numPr>
        <w:pStyle w:val="Compact"/>
      </w:pPr>
      <w:r>
        <w:rPr>
          <w:b/>
        </w:rPr>
        <w:t xml:space="preserve">The duty is affirmative.</w:t>
      </w:r>
      <w:r>
        <w:t xml:space="preserve"> </w:t>
      </w:r>
      <w:r>
        <w:t xml:space="preserve">The trustee must use reasonable care and skill to make the trust estate productive; passive underperformance violates the duty as surely as active diversion.</w:t>
      </w:r>
      <w:r>
        <w:rPr>
          <w:rStyle w:val="FootnoteReference"/>
        </w:rPr>
        <w:footnoteReference w:id="307"/>
      </w:r>
    </w:p>
    <w:p>
      <w:pPr>
        <w:numPr>
          <w:ilvl w:val="0"/>
          <w:numId w:val="1006"/>
        </w:numPr>
        <w:pStyle w:val="Compact"/>
      </w:pPr>
      <w:r>
        <w:rPr>
          <w:b/>
        </w:rPr>
        <w:t xml:space="preserve">The measure is net, long-term, and market-tested.</w:t>
      </w:r>
      <w:r>
        <w:t xml:space="preserve"> </w:t>
      </w:r>
      <w:r>
        <w:t xml:space="preserve">“</w:t>
      </w:r>
      <w:r>
        <w:t xml:space="preserve">Greatest net profit,</w:t>
      </w:r>
      <w:r>
        <w:t xml:space="preserve">”</w:t>
      </w:r>
      <w:r>
        <w:t xml:space="preserve"> </w:t>
      </w:r>
      <w:r>
        <w:t xml:space="preserve">“</w:t>
      </w:r>
      <w:r>
        <w:t xml:space="preserve">maximum financial benefit over time,</w:t>
      </w:r>
      <w:r>
        <w:t xml:space="preserve">”</w:t>
      </w:r>
      <w:r>
        <w:t xml:space="preserve"> </w:t>
      </w:r>
      <w:r>
        <w:t xml:space="preserve">“</w:t>
      </w:r>
      <w:r>
        <w:t xml:space="preserve">maximum long term financial return,</w:t>
      </w:r>
      <w:r>
        <w:t xml:space="preserve">”</w:t>
      </w:r>
      <w:r>
        <w:t xml:space="preserve"> </w:t>
      </w:r>
      <w:r>
        <w:t xml:space="preserve">“</w:t>
      </w:r>
      <w:r>
        <w:t xml:space="preserve">maximum benefit in return</w:t>
      </w:r>
      <w:r>
        <w:t xml:space="preserve">”</w:t>
      </w:r>
      <w:r>
        <w:t xml:space="preserve"> </w:t>
      </w:r>
      <w:r>
        <w:t xml:space="preserve">— one duty in four vocabularies, with costs counted, the horizon long, and competitive exposure as the evidence of value.</w:t>
      </w:r>
      <w:r>
        <w:rPr>
          <w:rStyle w:val="FootnoteReference"/>
        </w:rPr>
        <w:footnoteReference w:id="308"/>
      </w:r>
    </w:p>
    <w:p>
      <w:pPr>
        <w:numPr>
          <w:ilvl w:val="0"/>
          <w:numId w:val="1006"/>
        </w:numPr>
        <w:pStyle w:val="Compact"/>
      </w:pPr>
      <w:r>
        <w:rPr>
          <w:b/>
        </w:rPr>
        <w:t xml:space="preserve">Sustained yield is the duty’s own time-discipline,</w:t>
      </w:r>
      <w:r>
        <w:t xml:space="preserve"> </w:t>
      </w:r>
      <w:r>
        <w:t xml:space="preserve">not an exception to it; liquidation and idleness both fail the long-term measure.</w:t>
      </w:r>
      <w:r>
        <w:rPr>
          <w:rStyle w:val="FootnoteReference"/>
        </w:rPr>
        <w:footnoteReference w:id="309"/>
      </w:r>
    </w:p>
    <w:p>
      <w:pPr>
        <w:numPr>
          <w:ilvl w:val="0"/>
          <w:numId w:val="1006"/>
        </w:numPr>
        <w:pStyle w:val="Compact"/>
      </w:pPr>
      <w:r>
        <w:rPr>
          <w:b/>
        </w:rPr>
        <w:t xml:space="preserve">Deviation is purchasable; subordination is not.</w:t>
      </w:r>
      <w:r>
        <w:t xml:space="preserve"> </w:t>
      </w:r>
      <w:r>
        <w:t xml:space="preserve">Non-economic values may be served where the trust loses nothing or is compensated at full value; preference regimes and uncompensated underperformance are condemned in productivity terms.</w:t>
      </w:r>
      <w:r>
        <w:rPr>
          <w:rStyle w:val="FootnoteReference"/>
        </w:rPr>
        <w:footnoteReference w:id="310"/>
      </w:r>
    </w:p>
    <w:p>
      <w:pPr>
        <w:numPr>
          <w:ilvl w:val="0"/>
          <w:numId w:val="1006"/>
        </w:numPr>
        <w:pStyle w:val="Compact"/>
      </w:pPr>
      <w:r>
        <w:rPr>
          <w:b/>
        </w:rPr>
        <w:t xml:space="preserve">The duty does not displace resource policy.</w:t>
      </w:r>
      <w:r>
        <w:t xml:space="preserve"> </w:t>
      </w:r>
      <w:r>
        <w:t xml:space="preserve">The legislature retains genuine design authority over method and program — the</w:t>
      </w:r>
      <w:r>
        <w:t xml:space="preserve"> </w:t>
      </w:r>
      <w:r>
        <w:rPr>
          <w:i/>
        </w:rPr>
        <w:t xml:space="preserve">Cascadia</w:t>
      </w:r>
      <w:r>
        <w:t xml:space="preserve"> </w:t>
      </w:r>
      <w:r>
        <w:t xml:space="preserve">boundary — and the live disputes, including the below-cost-management question now in Oregon litigation, are fought at that boundary.</w:t>
      </w:r>
      <w:r>
        <w:rPr>
          <w:rStyle w:val="FootnoteReference"/>
        </w:rPr>
        <w:footnoteReference w:id="311"/>
      </w:r>
    </w:p>
    <w:p>
      <w:r>
        <w:pict>
          <v:rect style="width:0;height:1.5pt" o:hralign="center" o:hrstd="t" o:hr="t"/>
        </w:pict>
      </w:r>
    </w:p>
    <w:p>
      <w:pPr>
        <w:pStyle w:val="FirstParagraph"/>
      </w:pPr>
      <w:r>
        <w:rPr>
          <w:i/>
        </w:rPr>
        <w:t xml:space="preserve">End of Chapter 7 v1. Verification queue for this chapter: Nigh pin cites — RESOLVED 2026-06-09 (642 P.2d at 236, L0-verified); Op 8223 signatory attribution (Register G-9); accord-case hunts for sustained yield and below-cost management (verification wave 2); status of 24CV38372 at publication. Resolved 2026-06-07: the relationship of the two 1999 Idaho Watersheds opinions (133 Idaho 55, 982 P.2d 358 = the H.J.R. 6 single-subject writ proceeding; 133 Idaho 64, 982 P.2d 367 = the § 58-310B invalidation cited herein); the</w:t>
      </w:r>
      <w:r>
        <w:rPr>
          <w:i/>
        </w:rPr>
        <w:t xml:space="preserve"> </w:t>
      </w:r>
      <w:r>
        <w:t xml:space="preserve">NPCA*</w:t>
      </w:r>
      <w:r>
        <w:t xml:space="preserve"> </w:t>
      </w:r>
      <w:r>
        <w:t xml:space="preserve">“</w:t>
      </w:r>
      <w:r>
        <w:t xml:space="preserve">suspect on its face</w:t>
      </w:r>
      <w:r>
        <w:t xml:space="preserve">”</w:t>
      </w:r>
      <w:r>
        <w:t xml:space="preserve"> </w:t>
      </w:r>
      <w:r>
        <w:t xml:space="preserve">quotation verified at 869 P.2d 909, 922, and the</w:t>
      </w:r>
      <w:r>
        <w:t xml:space="preserve"> </w:t>
      </w:r>
      <w:r>
        <w:t xml:space="preserve">“</w:t>
      </w:r>
      <w:r>
        <w:t xml:space="preserve">NPCA (Utah 2010)</w:t>
      </w:r>
      <w:r>
        <w:t xml:space="preserve">”</w:t>
      </w:r>
      <w:r>
        <w:t xml:space="preserve"> </w:t>
      </w:r>
      <w:r>
        <w:t xml:space="preserve">discrepancy resolved —</w:t>
      </w:r>
      <w:r>
        <w:t xml:space="preserve"> </w:t>
      </w:r>
      <w:r>
        <w:rPr>
          <w:i/>
        </w:rPr>
        <w:t xml:space="preserve">National Parks Conservation Ass’n v. Board of Trustees of the School &amp; Institutional Trust Lands Administration</w:t>
      </w:r>
      <w:r>
        <w:t xml:space="preserve">, 2010 UT 13, is a distinct later decision affirming the redone exchange and must not be substituted for the 1993 appraisal-duty holding (Register G-4). Cross-references renumbered to the unified Ch1–Ch20 scheme in this v1 pass; any future renumbering triggers the Appendix A sweep per quality gate G4.*</w:t>
      </w:r>
    </w:p>
    <w:p>
      <w:r>
        <w:br w:type="page"/>
      </w:r>
    </w:p>
    <w:p>
      <w:pPr>
        <w:pStyle w:val="Heading1"/>
      </w:pPr>
      <w:bookmarkStart w:id="312" w:name="X14efa7b1123f33849535143609846969ce2e2b6"/>
      <w:r>
        <w:t xml:space="preserve">Chapter 8 — Impartiality Between Present and Future Beneficiaries (v1)</w:t>
      </w:r>
      <w:bookmarkEnd w:id="312"/>
    </w:p>
    <w:p>
      <w:pPr>
        <w:pStyle w:val="FirstParagraph"/>
      </w:pPr>
      <w:r>
        <w:rPr>
          <w:i/>
        </w:rPr>
        <w:t xml:space="preserve">Status: v1, corpus-bounded draft. Every authority herein is carried in the project’s verified research files; [VERIFY] flags mark items awaiting primary-source confirmation under quality gate G3. Passages touching the pending Oregon litigation are drawn from the public record only and carry [COUNSEL REVIEW] flags. The v1 pass (2026-06-07) renumbered this chapter from Chapter 7 to Chapter 8 under the unified Ch1–Ch20 scheme, converted numeric footnotes to named keys per the project citation standard, and applied the resolutions of the 2026-06-07 verification pass.</w:t>
      </w:r>
    </w:p>
    <w:p>
      <w:r>
        <w:pict>
          <v:rect style="width:0;height:1.5pt" o:hralign="center" o:hrstd="t" o:hr="t"/>
        </w:pict>
      </w:r>
    </w:p>
    <w:p>
      <w:pPr>
        <w:pStyle w:val="Heading3"/>
      </w:pPr>
      <w:bookmarkStart w:id="313" w:name="Xf70d74193df220dbd8a39a284a027c41dcb2ef1"/>
      <w:r>
        <w:t xml:space="preserve">§ 8.1 The intergenerational structure of the trust</w:t>
      </w:r>
      <w:bookmarkEnd w:id="313"/>
    </w:p>
    <w:p>
      <w:pPr>
        <w:pStyle w:val="FirstParagraph"/>
      </w:pPr>
      <w:r>
        <w:t xml:space="preserve">The school trusts have a feature most trusts lack: their beneficiary class has no closing date. The grants run to the support of public schools in perpetuity, which means the class includes children not yet born — and will include them for as long as the state endures. Justice Powell’s formulation, the one later courts have most often quoted, captures the design: the grants were</w:t>
      </w:r>
      <w:r>
        <w:t xml:space="preserve"> </w:t>
      </w:r>
      <w:r>
        <w:t xml:space="preserve">“</w:t>
      </w:r>
      <w:r>
        <w:t xml:space="preserve">solemn bilateral compacts between each State and the Federal Government</w:t>
      </w:r>
      <w:r>
        <w:t xml:space="preserve">”</w:t>
      </w:r>
      <w:r>
        <w:t xml:space="preserve"> </w:t>
      </w:r>
      <w:r>
        <w:t xml:space="preserve">imposing</w:t>
      </w:r>
      <w:r>
        <w:t xml:space="preserve"> </w:t>
      </w:r>
      <w:r>
        <w:t xml:space="preserve">“</w:t>
      </w:r>
      <w:r>
        <w:t xml:space="preserve">upon the State a binding and perpetual obligation to use the granted lands for the support of public education.</w:t>
      </w:r>
      <w:r>
        <w:t xml:space="preserve">”</w:t>
      </w:r>
      <w:r>
        <w:rPr>
          <w:rStyle w:val="FootnoteReference"/>
        </w:rPr>
        <w:footnoteReference w:id="314"/>
      </w:r>
      <w:r>
        <w:rPr>
          <w:rStyle w:val="FootnoteReference"/>
        </w:rPr>
        <w:footnoteReference w:id="315"/>
      </w:r>
      <w:r>
        <w:t xml:space="preserve"> </w:t>
      </w:r>
      <w:r>
        <w:t xml:space="preserve">The South Dakota Supreme Court’s version is the plainest in the state reports: the constitutional provisions</w:t>
      </w:r>
      <w:r>
        <w:t xml:space="preserve"> </w:t>
      </w:r>
      <w:r>
        <w:t xml:space="preserve">“</w:t>
      </w:r>
      <w:r>
        <w:t xml:space="preserve">create a special, permanent and perpetual trust … and that the state is the trustee is beyond question.</w:t>
      </w:r>
      <w:r>
        <w:t xml:space="preserve">”</w:t>
      </w:r>
      <w:r>
        <w:rPr>
          <w:rStyle w:val="FootnoteReference"/>
        </w:rPr>
        <w:footnoteReference w:id="316"/>
      </w:r>
    </w:p>
    <w:p>
      <w:pPr>
        <w:pStyle w:val="BodyText"/>
      </w:pPr>
      <w:r>
        <w:t xml:space="preserve">Perpetuity generates a duty the loyalty and productivity chapters presuppose but do not state: impartiality between the generations of the class. A trustee perfectly loyal to</w:t>
      </w:r>
      <w:r>
        <w:t xml:space="preserve"> </w:t>
      </w:r>
      <w:r>
        <w:rPr>
          <w:i/>
        </w:rPr>
        <w:t xml:space="preserve">today’s</w:t>
      </w:r>
      <w:r>
        <w:t xml:space="preserve"> </w:t>
      </w:r>
      <w:r>
        <w:t xml:space="preserve">schoolchildren could still breach the trust — by consuming corpus for present distributions, by deferring maintenance the future will pay for, by structuring transactions whose benefits are immediate and whose costs are perpetual. The future beneficiaries cannot vote, cannot lobby, and cannot sue; every political incentive bearing on the trustee runs toward the living. The impartiality doctrine is trust law’s answer to that asymmetry, and in the school-trust setting it has constitutional hardware: the permanent funds, the inviolability clauses, and the corpus/income architecture this chapter describes.</w:t>
      </w:r>
    </w:p>
    <w:p>
      <w:pPr>
        <w:pStyle w:val="Heading3"/>
      </w:pPr>
      <w:bookmarkStart w:id="317" w:name="inviolability-of-corpus"/>
      <w:r>
        <w:t xml:space="preserve">§ 8.2 Inviolability of corpus</w:t>
      </w:r>
      <w:bookmarkEnd w:id="317"/>
    </w:p>
    <w:p>
      <w:pPr>
        <w:pStyle w:val="FirstParagraph"/>
      </w:pPr>
      <w:r>
        <w:t xml:space="preserve">The granting instruments and receiving constitutions implement intergenerational impartiality through a single device: the permanent fund, into which the proceeds of disposed lands flow, and out of which only income may be spent. The instruments of the Omnibus generation required the permanent fund expressly, alongside appraisal and minimum-price protections;</w:t>
      </w:r>
      <w:r>
        <w:rPr>
          <w:rStyle w:val="FootnoteReference"/>
        </w:rPr>
        <w:footnoteReference w:id="318"/>
      </w:r>
      <w:r>
        <w:t xml:space="preserve"> </w:t>
      </w:r>
      <w:r>
        <w:t xml:space="preserve">the receiving constitutions state the corpus rule in their own words, and the words are absolute. Montana: the fund shall</w:t>
      </w:r>
      <w:r>
        <w:t xml:space="preserve"> </w:t>
      </w:r>
      <w:r>
        <w:t xml:space="preserve">“</w:t>
      </w:r>
      <w:r>
        <w:t xml:space="preserve">forever remain inviolate, guaranteed by the state against loss or diversion.</w:t>
      </w:r>
      <w:r>
        <w:t xml:space="preserve">”</w:t>
      </w:r>
      <w:r>
        <w:rPr>
          <w:rStyle w:val="FootnoteReference"/>
        </w:rPr>
        <w:footnoteReference w:id="319"/>
      </w:r>
      <w:r>
        <w:t xml:space="preserve"> </w:t>
      </w:r>
      <w:r>
        <w:t xml:space="preserve">Oregon: the Common School Fund is</w:t>
      </w:r>
      <w:r>
        <w:t xml:space="preserve"> </w:t>
      </w:r>
      <w:r>
        <w:t xml:space="preserve">“</w:t>
      </w:r>
      <w:r>
        <w:t xml:space="preserve">separate and irreducible.</w:t>
      </w:r>
      <w:r>
        <w:t xml:space="preserve">”</w:t>
      </w:r>
      <w:r>
        <w:rPr>
          <w:rStyle w:val="FootnoteReference"/>
        </w:rPr>
        <w:footnoteReference w:id="320"/>
      </w:r>
      <w:r>
        <w:t xml:space="preserve"> </w:t>
      </w:r>
      <w:r>
        <w:t xml:space="preserve">Idaho: the permanent endowment fund is inviolate, with only earnings available for distribution.</w:t>
      </w:r>
      <w:r>
        <w:rPr>
          <w:rStyle w:val="FootnoteReference"/>
        </w:rPr>
        <w:footnoteReference w:id="321"/>
      </w:r>
      <w:r>
        <w:t xml:space="preserve"> </w:t>
      </w:r>
      <w:r>
        <w:t xml:space="preserve">Nebraska maintains the perpetual school fund whose constitutional designation grounded the</w:t>
      </w:r>
      <w:r>
        <w:t xml:space="preserve"> </w:t>
      </w:r>
      <w:r>
        <w:rPr>
          <w:i/>
        </w:rPr>
        <w:t xml:space="preserve">Ebke</w:t>
      </w:r>
      <w:r>
        <w:t xml:space="preserve"> </w:t>
      </w:r>
      <w:r>
        <w:t xml:space="preserve">incorporation rule.</w:t>
      </w:r>
      <w:r>
        <w:rPr>
          <w:rStyle w:val="FootnoteReference"/>
        </w:rPr>
        <w:footnoteReference w:id="322"/>
      </w:r>
    </w:p>
    <w:p>
      <w:pPr>
        <w:pStyle w:val="BodyText"/>
      </w:pPr>
      <w:r>
        <w:t xml:space="preserve">Two corollaries follow from the corpus rule, both developed elsewhere in this volume and anchored here. First,</w:t>
      </w:r>
      <w:r>
        <w:t xml:space="preserve"> </w:t>
      </w:r>
      <w:r>
        <w:rPr>
          <w:i/>
        </w:rPr>
        <w:t xml:space="preserve">the trust follows the asset through conversion</w:t>
      </w:r>
      <w:r>
        <w:t xml:space="preserve">: land becomes money, money becomes investments, and the proceeds</w:t>
      </w:r>
      <w:r>
        <w:t xml:space="preserve"> </w:t>
      </w:r>
      <w:r>
        <w:t xml:space="preserve">“</w:t>
      </w:r>
      <w:r>
        <w:t xml:space="preserve">remain subject to the same trust as the lands producing the same</w:t>
      </w:r>
      <w:r>
        <w:t xml:space="preserve">”</w:t>
      </w:r>
      <w:r>
        <w:t xml:space="preserve"> </w:t>
      </w:r>
      <w:r>
        <w:t xml:space="preserve">— so the corpus rule cannot be escaped by changing the asset’s form.</w:t>
      </w:r>
      <w:r>
        <w:rPr>
          <w:rStyle w:val="FootnoteReference"/>
        </w:rPr>
        <w:footnoteReference w:id="323"/>
      </w:r>
      <w:r>
        <w:t xml:space="preserve"> </w:t>
      </w:r>
      <w:r>
        <w:t xml:space="preserve">Second,</w:t>
      </w:r>
      <w:r>
        <w:t xml:space="preserve"> </w:t>
      </w:r>
      <w:r>
        <w:rPr>
          <w:i/>
        </w:rPr>
        <w:t xml:space="preserve">legislative leasing and disposition authority is bounded by preservation</w:t>
      </w:r>
      <w:r>
        <w:t xml:space="preserve">: Nebraska’s court held the legislature’s power over leasing</w:t>
      </w:r>
      <w:r>
        <w:t xml:space="preserve"> </w:t>
      </w:r>
      <w:r>
        <w:t xml:space="preserve">“</w:t>
      </w:r>
      <w:r>
        <w:t xml:space="preserve">subject to and limited by the obligation to preserve the trust property inviolate.</w:t>
      </w:r>
      <w:r>
        <w:t xml:space="preserve">”</w:t>
      </w:r>
      <w:r>
        <w:rPr>
          <w:rStyle w:val="FootnoteReference"/>
        </w:rPr>
        <w:footnoteReference w:id="324"/>
      </w:r>
    </w:p>
    <w:p>
      <w:pPr>
        <w:pStyle w:val="BodyText"/>
      </w:pPr>
      <w:r>
        <w:t xml:space="preserve">The corpus/income line generates genuine accounting questions at its boundary — which expenses are chargeable to principal, which to income — and the verified corpus documents the trustee’s own law office working them: a 2003 Oregon opinion addresses the payment of forest-management expenses from constitutionally dedicated principal as against income.</w:t>
      </w:r>
      <w:r>
        <w:rPr>
          <w:rStyle w:val="FootnoteReference"/>
        </w:rPr>
        <w:footnoteReference w:id="325"/>
      </w:r>
      <w:r>
        <w:t xml:space="preserve"> </w:t>
      </w:r>
      <w:r>
        <w:t xml:space="preserve">The classification matters precisely because of impartiality: every cost shifted onto principal is paid by the future, and every cost loaded onto income is paid by the present.</w:t>
      </w:r>
    </w:p>
    <w:p>
      <w:pPr>
        <w:pStyle w:val="Heading3"/>
      </w:pPr>
      <w:bookmarkStart w:id="326" w:name="X1838d43cfbc72481c3f4a8350177accaba025d8"/>
      <w:r>
        <w:t xml:space="preserve">§ 8.3 Commingling and dissipation: the Montana counter-precedent</w:t>
      </w:r>
      <w:bookmarkEnd w:id="326"/>
    </w:p>
    <w:p>
      <w:pPr>
        <w:pStyle w:val="FirstParagraph"/>
      </w:pPr>
      <w:r>
        <w:t xml:space="preserve">The leading modern test of the corpus rule — and the field’s leading counter-precedent — is Montana’s</w:t>
      </w:r>
      <w:r>
        <w:t xml:space="preserve"> </w:t>
      </w:r>
      <w:r>
        <w:rPr>
          <w:i/>
        </w:rPr>
        <w:t xml:space="preserve">Darkenwald</w:t>
      </w:r>
      <w:r>
        <w:t xml:space="preserve">. The 2003 legislation at issue authorized commingling school-trust distributable revenues with the state’s general fund, subject to a reconciliation mechanism intended to make the trust whole. The Montana Supreme Court sustained the statute. Justice Nelson, joined by Justice Cotter, dissented in terms that state the impartiality objection exactly: the scheme</w:t>
      </w:r>
      <w:r>
        <w:t xml:space="preserve"> </w:t>
      </w:r>
      <w:r>
        <w:t xml:space="preserve">“</w:t>
      </w:r>
      <w:r>
        <w:t xml:space="preserve">robs Peter (future generations of school children) to pay Paul (present day school children),</w:t>
      </w:r>
      <w:r>
        <w:t xml:space="preserve">”</w:t>
      </w:r>
      <w:r>
        <w:t xml:space="preserve"> </w:t>
      </w:r>
      <w:r>
        <w:t xml:space="preserve">and on the dissent’s accounting authorized dissipation exceeding $94.6 million across thirty years in violation of the inviolability clause.</w:t>
      </w:r>
      <w:r>
        <w:rPr>
          <w:rStyle w:val="FootnoteReference"/>
        </w:rPr>
        <w:footnoteReference w:id="327"/>
      </w:r>
      <w:r>
        <w:rPr>
          <w:rStyle w:val="FootnoteReference"/>
        </w:rPr>
        <w:footnoteReference w:id="328"/>
      </w:r>
    </w:p>
    <w:p>
      <w:pPr>
        <w:pStyle w:val="BodyText"/>
      </w:pPr>
      <w:r>
        <w:rPr>
          <w:i/>
        </w:rPr>
        <w:t xml:space="preserve">Darkenwald</w:t>
      </w:r>
      <w:r>
        <w:t xml:space="preserve"> </w:t>
      </w:r>
      <w:r>
        <w:t xml:space="preserve">deserves an honest statement in both directions. For the states, it stands for the proposition that a commingling arrangement with a credible reconciliation mechanism can survive even a</w:t>
      </w:r>
      <w:r>
        <w:t xml:space="preserve"> </w:t>
      </w:r>
      <w:r>
        <w:t xml:space="preserve">“</w:t>
      </w:r>
      <w:r>
        <w:t xml:space="preserve">forever inviolate</w:t>
      </w:r>
      <w:r>
        <w:t xml:space="preserve">”</w:t>
      </w:r>
      <w:r>
        <w:t xml:space="preserve"> </w:t>
      </w:r>
      <w:r>
        <w:t xml:space="preserve">clause — that the constitution polices outcomes (loss or diversion), not cash-management mechanics. For the beneficiaries, the dissent supplies the enduring critique: a reconciliation promise is a debt the future must collect from the very legislature that spent the money, enforced by no one the future can instruct; and a constitution that says</w:t>
      </w:r>
      <w:r>
        <w:t xml:space="preserve"> </w:t>
      </w:r>
      <w:r>
        <w:t xml:space="preserve">“</w:t>
      </w:r>
      <w:r>
        <w:t xml:space="preserve">inviolate</w:t>
      </w:r>
      <w:r>
        <w:t xml:space="preserve">”</w:t>
      </w:r>
      <w:r>
        <w:t xml:space="preserve"> </w:t>
      </w:r>
      <w:r>
        <w:t xml:space="preserve">was arguably written precisely to forbid arrangements whose safety depends on later legislatures’ good faith. The same court’s broader line should be read alongside it: four years earlier, Montana struck four statutes and a Department rental policy diverting school-trust assets in</w:t>
      </w:r>
      <w:r>
        <w:t xml:space="preserve"> </w:t>
      </w:r>
      <w:r>
        <w:rPr>
          <w:i/>
        </w:rPr>
        <w:t xml:space="preserve">Montrust I</w:t>
      </w:r>
      <w:r>
        <w:t xml:space="preserve">,</w:t>
      </w:r>
      <w:r>
        <w:rPr>
          <w:rStyle w:val="FootnoteReference"/>
        </w:rPr>
        <w:footnoteReference w:id="329"/>
      </w:r>
      <w:r>
        <w:t xml:space="preserve"> </w:t>
      </w:r>
      <w:r>
        <w:t xml:space="preserve">and the</w:t>
      </w:r>
      <w:r>
        <w:t xml:space="preserve"> </w:t>
      </w:r>
      <w:r>
        <w:rPr>
          <w:i/>
        </w:rPr>
        <w:t xml:space="preserve">Darkenwald</w:t>
      </w:r>
      <w:r>
        <w:t xml:space="preserve"> </w:t>
      </w:r>
      <w:r>
        <w:t xml:space="preserve">holding is best understood as marking where that court located the line — diversion void, commingling-with-reconciliation tolerated — rather than as a retreat from the trust framework. No other state’s verified corpus contains a comparable sustained-commingling holding; accord cases are not yet collected.</w:t>
      </w:r>
      <w:r>
        <w:rPr>
          <w:rStyle w:val="FootnoteReference"/>
        </w:rPr>
        <w:footnoteReference w:id="330"/>
      </w:r>
    </w:p>
    <w:p>
      <w:pPr>
        <w:pStyle w:val="Heading3"/>
      </w:pPr>
      <w:bookmarkStart w:id="331" w:name="Xb2c58f83c960aa13003a94a3bbf3e3ed52b00f5"/>
      <w:r>
        <w:t xml:space="preserve">§ 8.4 Termination by absorption: the breach against the unborn</w:t>
      </w:r>
      <w:bookmarkEnd w:id="331"/>
    </w:p>
    <w:p>
      <w:pPr>
        <w:pStyle w:val="FirstParagraph"/>
      </w:pPr>
      <w:r>
        <w:t xml:space="preserve">The ultimate intergenerational violation is not a raid on the fund but the quiet termination of the trust itself — the state absorbing the trust’s function into general government on the assurance that government will serve the purpose anyway. Alaska’s</w:t>
      </w:r>
      <w:r>
        <w:t xml:space="preserve"> </w:t>
      </w:r>
      <w:r>
        <w:rPr>
          <w:i/>
        </w:rPr>
        <w:t xml:space="preserve">Weiss</w:t>
      </w:r>
      <w:r>
        <w:t xml:space="preserve"> </w:t>
      </w:r>
      <w:r>
        <w:t xml:space="preserve">is the lead case. The state had attempted to extinguish the Alaska Mental Health Trust by folding its assets and function into ordinary state administration. The Alaska Supreme Court refused:</w:t>
      </w:r>
      <w:r>
        <w:t xml:space="preserve"> </w:t>
      </w:r>
      <w:r>
        <w:t xml:space="preserve">“</w:t>
      </w:r>
      <w:r>
        <w:t xml:space="preserve">It is a commonplace of the law that without trust property there can be no trust,</w:t>
      </w:r>
      <w:r>
        <w:t xml:space="preserve">”</w:t>
      </w:r>
      <w:r>
        <w:t xml:space="preserve"> </w:t>
      </w:r>
      <w:r>
        <w:t xml:space="preserve">and</w:t>
      </w:r>
      <w:r>
        <w:t xml:space="preserve"> </w:t>
      </w:r>
      <w:r>
        <w:t xml:space="preserve">“</w:t>
      </w:r>
      <w:r>
        <w:t xml:space="preserve">[t]he fact that the state has provided mental health care in the past and will most likely do so in the future is no justification for termination of the trust.</w:t>
      </w:r>
      <w:r>
        <w:t xml:space="preserve">”</w:t>
      </w:r>
      <w:r>
        <w:rPr>
          <w:rStyle w:val="FootnoteReference"/>
        </w:rPr>
        <w:footnoteReference w:id="332"/>
      </w:r>
      <w:r>
        <w:rPr>
          <w:rStyle w:val="FootnoteReference"/>
        </w:rPr>
        <w:footnoteReference w:id="333"/>
      </w:r>
    </w:p>
    <w:p>
      <w:pPr>
        <w:pStyle w:val="BodyText"/>
      </w:pPr>
      <w:r>
        <w:t xml:space="preserve">The holding’s intergenerational logic bears drawing out. The state’s assurance —</w:t>
      </w:r>
      <w:r>
        <w:t xml:space="preserve"> </w:t>
      </w:r>
      <w:r>
        <w:rPr>
          <w:i/>
        </w:rPr>
        <w:t xml:space="preserve">we will fund the purpose from general revenues</w:t>
      </w:r>
      <w:r>
        <w:t xml:space="preserve"> </w:t>
      </w:r>
      <w:r>
        <w:t xml:space="preserve">— is, for the present generation, very nearly true; legislatures do fund schools and care. What the assurance cannot bind is the future: a general-revenue commitment lasts exactly as long as each legislature’s politics, while the trust was constructed to outlast politics. Absorption therefore takes nothing from the living and everything from the unborn, which is why it is the impartiality chapter’s terminal case.</w:t>
      </w:r>
      <w:r>
        <w:t xml:space="preserve"> </w:t>
      </w:r>
      <w:r>
        <w:rPr>
          <w:i/>
        </w:rPr>
        <w:t xml:space="preserve">Weiss</w:t>
      </w:r>
      <w:r>
        <w:t xml:space="preserve"> </w:t>
      </w:r>
      <w:r>
        <w:t xml:space="preserve">led to a multi-decade reconstitution of the absorbed trust, and stands nationally for the rule that a state cannot legislate a federal land trust out of existence by promising to be good.</w:t>
      </w:r>
      <w:r>
        <w:rPr>
          <w:rStyle w:val="FootnoteReference"/>
        </w:rPr>
        <w:footnoteReference w:id="334"/>
      </w:r>
    </w:p>
    <w:p>
      <w:pPr>
        <w:pStyle w:val="Heading3"/>
      </w:pPr>
      <w:bookmarkStart w:id="335" w:name="X31f183ab71852cd0615adc3322c4e420f55229e"/>
      <w:r>
        <w:t xml:space="preserve">§ 8.5 Sustained yield and the</w:t>
      </w:r>
      <w:r>
        <w:t xml:space="preserve"> </w:t>
      </w:r>
      <w:r>
        <w:t xml:space="preserve">“</w:t>
      </w:r>
      <w:r>
        <w:t xml:space="preserve">over time</w:t>
      </w:r>
      <w:r>
        <w:t xml:space="preserve">”</w:t>
      </w:r>
      <w:r>
        <w:t xml:space="preserve"> </w:t>
      </w:r>
      <w:r>
        <w:t xml:space="preserve">standards as impartiality machinery</w:t>
      </w:r>
      <w:bookmarkEnd w:id="335"/>
    </w:p>
    <w:p>
      <w:pPr>
        <w:pStyle w:val="FirstParagraph"/>
      </w:pPr>
      <w:r>
        <w:t xml:space="preserve">The management standards surveyed in Chapter 7 carry the impartiality duty inside their text. Idaho’s constitution commands the</w:t>
      </w:r>
      <w:r>
        <w:t xml:space="preserve"> </w:t>
      </w:r>
      <w:r>
        <w:t xml:space="preserve">“</w:t>
      </w:r>
      <w:r>
        <w:t xml:space="preserve">maximum</w:t>
      </w:r>
      <w:r>
        <w:t xml:space="preserve"> </w:t>
      </w:r>
      <w:r>
        <w:rPr>
          <w:i/>
        </w:rPr>
        <w:t xml:space="preserve">long term</w:t>
      </w:r>
      <w:r>
        <w:t xml:space="preserve"> </w:t>
      </w:r>
      <w:r>
        <w:t xml:space="preserve">financial return</w:t>
      </w:r>
      <w:r>
        <w:t xml:space="preserve">”</w:t>
      </w:r>
      <w:r>
        <w:t xml:space="preserve">;</w:t>
      </w:r>
      <w:r>
        <w:rPr>
          <w:rStyle w:val="FootnoteReference"/>
        </w:rPr>
        <w:footnoteReference w:id="336"/>
      </w:r>
      <w:r>
        <w:t xml:space="preserve"> </w:t>
      </w:r>
      <w:r>
        <w:t xml:space="preserve">the Oregon Attorney General’s investment standard is the</w:t>
      </w:r>
      <w:r>
        <w:t xml:space="preserve"> </w:t>
      </w:r>
      <w:r>
        <w:t xml:space="preserve">“</w:t>
      </w:r>
      <w:r>
        <w:t xml:space="preserve">maximum financial benefit</w:t>
      </w:r>
      <w:r>
        <w:t xml:space="preserve"> </w:t>
      </w:r>
      <w:r>
        <w:rPr>
          <w:i/>
        </w:rPr>
        <w:t xml:space="preserve">over time</w:t>
      </w:r>
      <w:r>
        <w:t xml:space="preserve">”</w:t>
      </w:r>
      <w:r>
        <w:t xml:space="preserve">;</w:t>
      </w:r>
      <w:r>
        <w:rPr>
          <w:rStyle w:val="FootnoteReference"/>
        </w:rPr>
        <w:footnoteReference w:id="337"/>
      </w:r>
      <w:r>
        <w:t xml:space="preserve"> </w:t>
      </w:r>
      <w:r>
        <w:t xml:space="preserve">the 1992 Oregon opinion states the duty as managing for the long-term benefit of the schools, conserving the corpus consistent with prudent-investor principles.</w:t>
      </w:r>
      <w:r>
        <w:rPr>
          <w:rStyle w:val="FootnoteReference"/>
        </w:rPr>
        <w:footnoteReference w:id="338"/>
      </w:r>
      <w:r>
        <w:t xml:space="preserve"> </w:t>
      </w:r>
      <w:r>
        <w:t xml:space="preserve">Montana’s sustained-yield doctrine — long-term productivity over short-term income — is the same rule applied to the standing asset: the forest is managed so that the harvest of this generation does not come out of the harvests of the next.</w:t>
      </w:r>
      <w:r>
        <w:rPr>
          <w:rStyle w:val="FootnoteReference"/>
        </w:rPr>
        <w:footnoteReference w:id="339"/>
      </w:r>
    </w:p>
    <w:p>
      <w:pPr>
        <w:pStyle w:val="BodyText"/>
      </w:pPr>
      <w:r>
        <w:t xml:space="preserve">Read as impartiality machinery, the</w:t>
      </w:r>
      <w:r>
        <w:t xml:space="preserve"> </w:t>
      </w:r>
      <w:r>
        <w:t xml:space="preserve">“</w:t>
      </w:r>
      <w:r>
        <w:t xml:space="preserve">over time</w:t>
      </w:r>
      <w:r>
        <w:t xml:space="preserve">”</w:t>
      </w:r>
      <w:r>
        <w:t xml:space="preserve"> </w:t>
      </w:r>
      <w:r>
        <w:t xml:space="preserve">standards do two jobs. They forbid the trustee from tilting toward the present (maximizing this biennium’s distribution by liquidating future capacity), and they equally forbid the inverse tilt sometimes urged in the present’s name — deferring all return to an indefinite future is no more impartial than consuming the corpus now, because the trust exists to support schools in every generation, including this one. The point matters in litigation posture: impartiality is a two-edged duty, and the practitioner representing present beneficiaries should not concede that corpus-protection arguments always trump distribution arguments. The duty’s content is balance, enforced through the corpus/income line (§ 8.2) and the long-term measure.</w:t>
      </w:r>
    </w:p>
    <w:p>
      <w:pPr>
        <w:pStyle w:val="Heading3"/>
      </w:pPr>
      <w:bookmarkStart w:id="340" w:name="accumulation-versus-distribution"/>
      <w:r>
        <w:t xml:space="preserve">§ 8.6 Accumulation versus distribution</w:t>
      </w:r>
      <w:bookmarkEnd w:id="340"/>
    </w:p>
    <w:p>
      <w:pPr>
        <w:pStyle w:val="FirstParagraph"/>
      </w:pPr>
      <w:r>
        <w:t xml:space="preserve">The reciprocal of corpus protection is the question the field has litigated least: when does</w:t>
      </w:r>
      <w:r>
        <w:t xml:space="preserve"> </w:t>
      </w:r>
      <w:r>
        <w:rPr>
          <w:i/>
        </w:rPr>
        <w:t xml:space="preserve">under</w:t>
      </w:r>
      <w:r>
        <w:t xml:space="preserve">-distribution — accumulation beyond what impartiality requires — itself shortchange the present generation? The verified corpus contains no appellate holding adjudicating an accumulation challenge to a school trust, and this section accordingly states structure rather than holdings.</w:t>
      </w:r>
      <w:r>
        <w:rPr>
          <w:rStyle w:val="FootnoteReference"/>
        </w:rPr>
        <w:footnoteReference w:id="341"/>
      </w:r>
    </w:p>
    <w:p>
      <w:pPr>
        <w:pStyle w:val="BodyText"/>
      </w:pPr>
      <w:r>
        <w:t xml:space="preserve">The structural observations the corpus supports: (1) The constitutional architecture allocates the question, not the answer — corpus is locked, income is distributable, and the distribution rate from a modern diversified permanent fund is set by constitutional formula or legislative policy within the trust. (2) Changes to the distribution architecture in a compact state may require federal consent: New Mexico’s 2022 amendment increasing permanent-fund distributions for early-childhood education proceeded with congressional consent under its Enabling Act, the field’s clearest modern acknowledgment that the accumulation/distribution balance is itself compact-bound.</w:t>
      </w:r>
      <w:r>
        <w:rPr>
          <w:rStyle w:val="FootnoteReference"/>
        </w:rPr>
        <w:footnoteReference w:id="342"/>
      </w:r>
      <w:r>
        <w:t xml:space="preserve"> </w:t>
      </w:r>
      <w:r>
        <w:t xml:space="preserve">(3) The accounting allocation of expenses between principal and income (§ 8.2) is where accumulation disputes will surface first in practice, because expense-loading on income suppresses distributions as surely as a low payout formula.</w:t>
      </w:r>
    </w:p>
    <w:p>
      <w:pPr>
        <w:pStyle w:val="BodyText"/>
      </w:pPr>
      <w:r>
        <w:t xml:space="preserve">The honest summary: intergenerational impartiality has a mature jurisprudence on its corpus-protection side and an immature one on its distribution side. A practitioner pressing either argument should expect to reason from the trust’s structure and the general law of trusts rather than from school-trust holdings.</w:t>
      </w:r>
    </w:p>
    <w:p>
      <w:pPr>
        <w:pStyle w:val="Heading3"/>
      </w:pPr>
      <w:bookmarkStart w:id="343" w:name="synthesis-5"/>
      <w:r>
        <w:t xml:space="preserve">§ 8.7 Synthesis</w:t>
      </w:r>
      <w:bookmarkEnd w:id="343"/>
    </w:p>
    <w:p>
      <w:pPr>
        <w:numPr>
          <w:ilvl w:val="0"/>
          <w:numId w:val="1007"/>
        </w:numPr>
        <w:pStyle w:val="Compact"/>
      </w:pPr>
      <w:r>
        <w:rPr>
          <w:b/>
        </w:rPr>
        <w:t xml:space="preserve">The beneficiary class is perpetual,</w:t>
      </w:r>
      <w:r>
        <w:t xml:space="preserve"> </w:t>
      </w:r>
      <w:r>
        <w:t xml:space="preserve">including children not yet born; the trustee owes impartiality between the generations, and the future’s structural voicelessness is the reason the duty is enforced as law rather than left to politics.</w:t>
      </w:r>
      <w:r>
        <w:rPr>
          <w:rStyle w:val="FootnoteReference"/>
        </w:rPr>
        <w:footnoteReference w:id="344"/>
      </w:r>
    </w:p>
    <w:p>
      <w:pPr>
        <w:numPr>
          <w:ilvl w:val="0"/>
          <w:numId w:val="1007"/>
        </w:numPr>
        <w:pStyle w:val="Compact"/>
      </w:pPr>
      <w:r>
        <w:rPr>
          <w:b/>
        </w:rPr>
        <w:t xml:space="preserve">Corpus is inviolable.</w:t>
      </w:r>
      <w:r>
        <w:t xml:space="preserve"> </w:t>
      </w:r>
      <w:r>
        <w:t xml:space="preserve">The permanent-fund and inviolability clauses implement impartiality as constitutional text; the trust follows the asset through every conversion, and disposition authority is bounded by preservation.</w:t>
      </w:r>
      <w:r>
        <w:rPr>
          <w:rStyle w:val="FootnoteReference"/>
        </w:rPr>
        <w:footnoteReference w:id="345"/>
      </w:r>
    </w:p>
    <w:p>
      <w:pPr>
        <w:numPr>
          <w:ilvl w:val="0"/>
          <w:numId w:val="1007"/>
        </w:numPr>
        <w:pStyle w:val="Compact"/>
      </w:pPr>
      <w:r>
        <w:rPr>
          <w:b/>
        </w:rPr>
        <w:t xml:space="preserve">Commingling is contested ground.</w:t>
      </w:r>
      <w:r>
        <w:t xml:space="preserve"> </w:t>
      </w:r>
      <w:r>
        <w:t xml:space="preserve">The field’s leading counter-precedent sustains commingling-with-reconciliation; its dissent states the enduring objection — a reconciliation promise is the future’s debt, collectible from no one the future can instruct.</w:t>
      </w:r>
      <w:r>
        <w:rPr>
          <w:rStyle w:val="FootnoteReference"/>
        </w:rPr>
        <w:footnoteReference w:id="346"/>
      </w:r>
    </w:p>
    <w:p>
      <w:pPr>
        <w:numPr>
          <w:ilvl w:val="0"/>
          <w:numId w:val="1007"/>
        </w:numPr>
        <w:pStyle w:val="Compact"/>
      </w:pPr>
      <w:r>
        <w:rPr>
          <w:b/>
        </w:rPr>
        <w:t xml:space="preserve">Termination by absorption is the terminal breach,</w:t>
      </w:r>
      <w:r>
        <w:t xml:space="preserve"> </w:t>
      </w:r>
      <w:r>
        <w:t xml:space="preserve">taking nothing from the living and everything from the unborn; the state’s promise to serve the purpose from general revenues is</w:t>
      </w:r>
      <w:r>
        <w:t xml:space="preserve"> </w:t>
      </w:r>
      <w:r>
        <w:t xml:space="preserve">“</w:t>
      </w:r>
      <w:r>
        <w:t xml:space="preserve">no justification for termination of the trust.</w:t>
      </w:r>
      <w:r>
        <w:t xml:space="preserve">”</w:t>
      </w:r>
      <w:r>
        <w:rPr>
          <w:rStyle w:val="FootnoteReference"/>
        </w:rPr>
        <w:footnoteReference w:id="347"/>
      </w:r>
    </w:p>
    <w:p>
      <w:pPr>
        <w:numPr>
          <w:ilvl w:val="0"/>
          <w:numId w:val="1007"/>
        </w:numPr>
        <w:pStyle w:val="Compact"/>
      </w:pPr>
      <w:r>
        <w:rPr>
          <w:b/>
        </w:rPr>
        <w:t xml:space="preserve">Impartiality cuts both ways.</w:t>
      </w:r>
      <w:r>
        <w:t xml:space="preserve"> </w:t>
      </w:r>
      <w:r>
        <w:t xml:space="preserve">The long-term standards forbid consuming the future and equally forbid starving the present; the distribution side of the duty remains the field’s least-developed doctrine.</w:t>
      </w:r>
      <w:r>
        <w:rPr>
          <w:rStyle w:val="FootnoteReference"/>
        </w:rPr>
        <w:footnoteReference w:id="348"/>
      </w:r>
    </w:p>
    <w:p>
      <w:r>
        <w:pict>
          <v:rect style="width:0;height:1.5pt" o:hralign="center" o:hrstd="t" o:hr="t"/>
        </w:pict>
      </w:r>
    </w:p>
    <w:p>
      <w:pPr>
        <w:pStyle w:val="FirstParagraph"/>
      </w:pPr>
      <w:r>
        <w:rPr>
          <w:i/>
        </w:rPr>
        <w:t xml:space="preserve">End of Chapter 8 v1. Verification queue for this chapter: the 1989 Oregon opinion on investment income/operating expenses (46 Op Atty Gen 306, not yet pulled); the New Mexico 2022 amendment’s congressional-consent enactment citation; Darkenwald pin cites for the dissent passages (including the $94.6 million figure); the Alaska Mental Health Trust reconstitution’s session-law and settlement citations; accord-case hunts for commingling, termination-by-absorption, and accumulation/distribution (verification wave 2). Resolved 2026-06-07: the second Kanaly opinion is</w:t>
      </w:r>
      <w:r>
        <w:rPr>
          <w:i/>
        </w:rPr>
        <w:t xml:space="preserve"> </w:t>
      </w:r>
      <w:r>
        <w:t xml:space="preserve">Kanaly v. State ex rel. Janklow</w:t>
      </w:r>
      <w:r>
        <w:rPr>
          <w:i/>
        </w:rPr>
        <w:t xml:space="preserve">, 401 N.W.2d 551 (S.D. 1987); the 397 N.W.2d 374 citation formerly carried in the queue was erroneous. Cross-references renumbered to the unified Ch1–Ch20 scheme in this v1 pass; any future renumbering triggers the Appendix A sweep per quality gate G4.</w:t>
      </w:r>
    </w:p>
    <w:p>
      <w:r>
        <w:br w:type="page"/>
      </w:r>
    </w:p>
    <w:p>
      <w:pPr>
        <w:pStyle w:val="Heading1"/>
      </w:pPr>
      <w:bookmarkStart w:id="349" w:name="X0d7a92ea5e836170b9435bea107e65c442932f3"/>
      <w:r>
        <w:t xml:space="preserve">Chapter 9 — The Full-Value Rule and the Competitive-Disposition Default (v1)</w:t>
      </w:r>
      <w:bookmarkEnd w:id="349"/>
    </w:p>
    <w:p>
      <w:pPr>
        <w:pStyle w:val="FirstParagraph"/>
      </w:pPr>
      <w:r>
        <w:rPr>
          <w:i/>
        </w:rPr>
        <w:t xml:space="preserve">Status: v1, corpus-bounded draft per the Chapter Drafting Brief. Every authority herein is carried in the project’s verified research files; [VERIFY] flags mark items awaiting primary-source confirmation under quality gate G3. The v1 pass (2026-06-07) renumbered this chapter from Chapter 8 to Chapter 9 under the unified Ch1–Ch20 scheme, converted numeric footnotes to named keys per the project citation standard, and applied the resolutions of the 2026-06-07 verification pass (including the</w:t>
      </w:r>
      <w:r>
        <w:rPr>
          <w:i/>
        </w:rPr>
        <w:t xml:space="preserve"> </w:t>
      </w:r>
      <w:r>
        <w:t xml:space="preserve">National Parks* pin cite).*</w:t>
      </w:r>
    </w:p>
    <w:p>
      <w:r>
        <w:pict>
          <v:rect style="width:0;height:1.5pt" o:hralign="center" o:hrstd="t" o:hr="t"/>
        </w:pict>
      </w:r>
    </w:p>
    <w:p>
      <w:pPr>
        <w:pStyle w:val="Heading3"/>
      </w:pPr>
      <w:bookmarkStart w:id="350" w:name="the-rule-stated"/>
      <w:r>
        <w:t xml:space="preserve">§ 9.1 The rule stated</w:t>
      </w:r>
      <w:bookmarkEnd w:id="350"/>
    </w:p>
    <w:p>
      <w:pPr>
        <w:pStyle w:val="FirstParagraph"/>
      </w:pPr>
      <w:r>
        <w:t xml:space="preserve">When a state disposes of a school-trust asset — land, timber, minerals, water rights, contract rights, or any interest carved from them — it must obtain full value for the trust. The rule has two independent sources, and the practitioner should plead both. In most states it is written into the granting instrument itself, as an appraisal requirement, a minimum-price floor, a public-auction command, or all three (§ 9.2). Everywhere, it follows from the trust character of the grant established in Chapter 4: a trustee who alienates trust property for less than its worth has, to the extent of the difference, given trust property away, and a trustee has no power to give trust property away. The United States Supreme Court fixed the federal rule in</w:t>
      </w:r>
      <w:r>
        <w:t xml:space="preserve"> </w:t>
      </w:r>
      <w:r>
        <w:rPr>
          <w:i/>
        </w:rPr>
        <w:t xml:space="preserve">Lassen</w:t>
      </w:r>
      <w:r>
        <w:t xml:space="preserve">: the trust must be compensated at full appraised value even when the acquiring party is another arm of the same state.</w:t>
      </w:r>
      <w:r>
        <w:rPr>
          <w:rStyle w:val="FootnoteReference"/>
        </w:rPr>
        <w:footnoteReference w:id="351"/>
      </w:r>
      <w:r>
        <w:rPr>
          <w:rStyle w:val="FootnoteReference"/>
        </w:rPr>
        <w:footnoteReference w:id="352"/>
      </w:r>
    </w:p>
    <w:p>
      <w:pPr>
        <w:pStyle w:val="BodyText"/>
      </w:pPr>
      <w:r>
        <w:t xml:space="preserve">The rule’s working parts are three, and this chapter takes them in turn: the instrument floors (§ 9.2); the appraisal — its function as a floor rather than a ceiling, and the trustee’s non-delegable duty of independent valuation (§ 9.3); and the competitive-disposition default — the public auction as the mechanism by which full value is demonstrated rather than asserted (§ 9.4). Section 9.5 states the rule that these safeguards cannot be evaded by recharacterizing the transaction’s form. Section 9.6 notes the benefit-to-schools floor in the township-trust states, whose early instruments carry none of the later protective vocabulary. Section 9.7 states the defense-side arguments at full strength.</w:t>
      </w:r>
    </w:p>
    <w:p>
      <w:pPr>
        <w:pStyle w:val="Heading3"/>
      </w:pPr>
      <w:bookmarkStart w:id="353" w:name="the-instrument-floors"/>
      <w:r>
        <w:t xml:space="preserve">§ 9.2 The instrument floors</w:t>
      </w:r>
      <w:bookmarkEnd w:id="353"/>
    </w:p>
    <w:p>
      <w:pPr>
        <w:pStyle w:val="FirstParagraph"/>
      </w:pPr>
      <w:r>
        <w:t xml:space="preserve">The disposition safeguards grew more explicit with each generation of granting instruments (see §§ 2.3–2.5). The Omnibus Enabling Act of 1889, under which Montana, Washington, and the Dakotas were admitted, required that the granted lands be appraised before sale or lease and forbade disposition at less than appraised value, with proceeds held in a permanent fund.</w:t>
      </w:r>
      <w:r>
        <w:rPr>
          <w:rStyle w:val="FootnoteReference"/>
        </w:rPr>
        <w:footnoteReference w:id="354"/>
      </w:r>
      <w:r>
        <w:t xml:space="preserve"> </w:t>
      </w:r>
      <w:r>
        <w:t xml:space="preserve">The Utah Enabling Act of 1894 prohibited disposition at less than appraised value and carried the same perpetual-fund structure.</w:t>
      </w:r>
      <w:r>
        <w:rPr>
          <w:rStyle w:val="FootnoteReference"/>
        </w:rPr>
        <w:footnoteReference w:id="355"/>
      </w:r>
      <w:r>
        <w:t xml:space="preserve"> </w:t>
      </w:r>
      <w:r>
        <w:t xml:space="preserve">The New Mexico–Arizona Enabling Act of 1910 is the high-water mark: it states the trust expressly, commands appraisal and public auction, declares that any disposition</w:t>
      </w:r>
      <w:r>
        <w:t xml:space="preserve"> </w:t>
      </w:r>
      <w:r>
        <w:t xml:space="preserve">“</w:t>
      </w:r>
      <w:r>
        <w:t xml:space="preserve">not made in substantial conformity with the provisions of this Act shall be null and void,</w:t>
      </w:r>
      <w:r>
        <w:t xml:space="preserve">”</w:t>
      </w:r>
      <w:r>
        <w:t xml:space="preserve"> </w:t>
      </w:r>
      <w:r>
        <w:t xml:space="preserve">denominates a non-conforming disposition a</w:t>
      </w:r>
      <w:r>
        <w:t xml:space="preserve"> </w:t>
      </w:r>
      <w:r>
        <w:t xml:space="preserve">“</w:t>
      </w:r>
      <w:r>
        <w:t xml:space="preserve">breach of trust,</w:t>
      </w:r>
      <w:r>
        <w:t xml:space="preserve">”</w:t>
      </w:r>
      <w:r>
        <w:t xml:space="preserve"> </w:t>
      </w:r>
      <w:r>
        <w:t xml:space="preserve">and authorizes the Attorney General of the United States to sue the state to enforce it.</w:t>
      </w:r>
      <w:r>
        <w:rPr>
          <w:rStyle w:val="FootnoteReference"/>
        </w:rPr>
        <w:footnoteReference w:id="356"/>
      </w:r>
    </w:p>
    <w:p>
      <w:pPr>
        <w:pStyle w:val="BodyText"/>
      </w:pPr>
      <w:r>
        <w:t xml:space="preserve">Where the instrument speaks, the floor is enforceable against the state’s own legislation. In</w:t>
      </w:r>
      <w:r>
        <w:t xml:space="preserve"> </w:t>
      </w:r>
      <w:r>
        <w:rPr>
          <w:i/>
        </w:rPr>
        <w:t xml:space="preserve">ASARCO Inc. v. Kadish</w:t>
      </w:r>
      <w:r>
        <w:t xml:space="preserve"> </w:t>
      </w:r>
      <w:r>
        <w:t xml:space="preserve">the Arizona Supreme Court invalidated A.R.S. § 27-234, the state’s mineral-leasing statute for trust lands, because it permitted dispositions without the appraisal and public-auction protections of § 28 of the 1910 Act, and the United States Supreme Court affirmed: Congress</w:t>
      </w:r>
      <w:r>
        <w:t xml:space="preserve"> </w:t>
      </w:r>
      <w:r>
        <w:t xml:space="preserve">“</w:t>
      </w:r>
      <w:r>
        <w:t xml:space="preserve">provided . . . that the new State would hold those granted lands in trust and subject to the specific conditions set out in § 28 of the Act,</w:t>
      </w:r>
      <w:r>
        <w:t xml:space="preserve">”</w:t>
      </w:r>
      <w:r>
        <w:t xml:space="preserve"> </w:t>
      </w:r>
      <w:r>
        <w:t xml:space="preserve">and a non-conforming state statute could not stand.</w:t>
      </w:r>
      <w:r>
        <w:rPr>
          <w:rStyle w:val="FootnoteReference"/>
        </w:rPr>
        <w:footnoteReference w:id="357"/>
      </w:r>
      <w:r>
        <w:rPr>
          <w:rStyle w:val="FootnoteReference"/>
        </w:rPr>
        <w:footnoteReference w:id="358"/>
      </w:r>
    </w:p>
    <w:p>
      <w:pPr>
        <w:pStyle w:val="BodyText"/>
      </w:pPr>
      <w:r>
        <w:t xml:space="preserve">Where the instrument is silent — the early grants, Oregon’s 1859 act among them, carry no appraisal or auction clause — the courts have derived the same floor from trust character. Nebraska’s instrument of 1864 says nothing of appraisals; the Nebraska Supreme Court nonetheless held that the state holds the lands</w:t>
      </w:r>
      <w:r>
        <w:t xml:space="preserve"> </w:t>
      </w:r>
      <w:r>
        <w:t xml:space="preserve">“</w:t>
      </w:r>
      <w:r>
        <w:t xml:space="preserve">under a contractual and constitutional obligation to refrain from disposition or alienation of the use of this property, except as allowed by the Enabling Act and the Constitution,</w:t>
      </w:r>
      <w:r>
        <w:t xml:space="preserve">”</w:t>
      </w:r>
      <w:r>
        <w:t xml:space="preserve"> </w:t>
      </w:r>
      <w:r>
        <w:t xml:space="preserve">and may not alienate the lands or their use without receiving full value.</w:t>
      </w:r>
      <w:r>
        <w:rPr>
          <w:rStyle w:val="FootnoteReference"/>
        </w:rPr>
        <w:footnoteReference w:id="359"/>
      </w:r>
      <w:r>
        <w:rPr>
          <w:rStyle w:val="FootnoteReference"/>
        </w:rPr>
        <w:footnoteReference w:id="360"/>
      </w:r>
    </w:p>
    <w:p>
      <w:pPr>
        <w:pStyle w:val="Heading3"/>
      </w:pPr>
      <w:bookmarkStart w:id="361" w:name="X84eadd44a9760a06655f96756e5187754468023"/>
      <w:r>
        <w:t xml:space="preserve">§ 9.3 The appraisal: a floor, not a ceiling — and the duty of independent valuation</w:t>
      </w:r>
      <w:bookmarkEnd w:id="361"/>
    </w:p>
    <w:p>
      <w:pPr>
        <w:pStyle w:val="FirstParagraph"/>
      </w:pPr>
      <w:r>
        <w:t xml:space="preserve">The appraisal clauses set the price below which the trustee may not go. They do not establish that a sale</w:t>
      </w:r>
      <w:r>
        <w:t xml:space="preserve"> </w:t>
      </w:r>
      <w:r>
        <w:rPr>
          <w:i/>
        </w:rPr>
        <w:t xml:space="preserve">at</w:t>
      </w:r>
      <w:r>
        <w:t xml:space="preserve"> </w:t>
      </w:r>
      <w:r>
        <w:t xml:space="preserve">appraised value captured full value, and the cases refuse to let them be used that way. The point is structural: an appraisal is one professional’s opinion of value, while the instruments’ auction commands exist to discover what the market will actually pay, which may be more. The Arizona Supreme Court made the logic explicit in barring condemnation of trust land even at appraised value: condemnation by a state actor would deprive the trust of the opportunity to obtain prices above appraised value at public auction.</w:t>
      </w:r>
      <w:r>
        <w:rPr>
          <w:rStyle w:val="FootnoteReference"/>
        </w:rPr>
        <w:footnoteReference w:id="362"/>
      </w:r>
      <w:r>
        <w:rPr>
          <w:rStyle w:val="FootnoteReference"/>
        </w:rPr>
        <w:footnoteReference w:id="363"/>
      </w:r>
    </w:p>
    <w:p>
      <w:pPr>
        <w:pStyle w:val="BodyText"/>
      </w:pPr>
      <w:r>
        <w:t xml:space="preserve">The valuation itself is a fiduciary act, and it cannot be delegated to the party with the opposite interest. The leading authority is Utah’s</w:t>
      </w:r>
      <w:r>
        <w:t xml:space="preserve"> </w:t>
      </w:r>
      <w:r>
        <w:rPr>
          <w:i/>
        </w:rPr>
        <w:t xml:space="preserve">National Parks</w:t>
      </w:r>
      <w:r>
        <w:t xml:space="preserve"> </w:t>
      </w:r>
      <w:r>
        <w:t xml:space="preserve">decision: an appraisal submitted by a prospective purchaser is</w:t>
      </w:r>
      <w:r>
        <w:t xml:space="preserve"> </w:t>
      </w:r>
      <w:r>
        <w:t xml:space="preserve">“</w:t>
      </w:r>
      <w:r>
        <w:t xml:space="preserve">suspect on its face</w:t>
      </w:r>
      <w:r>
        <w:t xml:space="preserve">”</w:t>
      </w:r>
      <w:r>
        <w:t xml:space="preserve"> </w:t>
      </w:r>
      <w:r>
        <w:t xml:space="preserve">and cannot satisfy the trustee’s duty of independent valuation, a duty the court treated as non-delegable.</w:t>
      </w:r>
      <w:r>
        <w:rPr>
          <w:rStyle w:val="FootnoteReference"/>
        </w:rPr>
        <w:footnoteReference w:id="364"/>
      </w:r>
      <w:r>
        <w:rPr>
          <w:rStyle w:val="FootnoteReference"/>
        </w:rPr>
        <w:footnoteReference w:id="365"/>
      </w:r>
      <w:r>
        <w:t xml:space="preserve"> </w:t>
      </w:r>
      <w:r>
        <w:t xml:space="preserve">The principle is the disposition-side application of the loyalty duty (Chapter 6): the buyer’s appraiser answers to the buyer; the trustee’s duty runs to beneficiaries who are not at the table.</w:t>
      </w:r>
    </w:p>
    <w:p>
      <w:pPr>
        <w:pStyle w:val="Heading3"/>
      </w:pPr>
      <w:bookmarkStart w:id="366" w:name="the-competitive-disposition-default"/>
      <w:r>
        <w:t xml:space="preserve">§ 9.4 The competitive-disposition default</w:t>
      </w:r>
      <w:bookmarkEnd w:id="366"/>
    </w:p>
    <w:p>
      <w:pPr>
        <w:pStyle w:val="FirstParagraph"/>
      </w:pPr>
      <w:r>
        <w:t xml:space="preserve">Public, competitive disposition is the default rule of the field — expressly commanded in the 1910 generation, statutorily standard elsewhere, and constitutionally compelled in several states whenever a non-competitive alternative would yield the trust less. The auction is not a procedural nicety. It is the only disposition mechanism that</w:t>
      </w:r>
      <w:r>
        <w:t xml:space="preserve"> </w:t>
      </w:r>
      <w:r>
        <w:rPr>
          <w:i/>
        </w:rPr>
        <w:t xml:space="preserve">proves</w:t>
      </w:r>
      <w:r>
        <w:t xml:space="preserve"> </w:t>
      </w:r>
      <w:r>
        <w:t xml:space="preserve">full value rather than estimating it: when strangers bid against each other, the price is evidence; when the buyer is chosen first and the price negotiated, the trustee has only opinion to stand on.</w:t>
      </w:r>
    </w:p>
    <w:p>
      <w:pPr>
        <w:pStyle w:val="BodyText"/>
      </w:pPr>
      <w:r>
        <w:t xml:space="preserve">The cases enforcing the default are uniform in result. Nebraska’s</w:t>
      </w:r>
      <w:r>
        <w:t xml:space="preserve"> </w:t>
      </w:r>
      <w:r>
        <w:rPr>
          <w:i/>
        </w:rPr>
        <w:t xml:space="preserve">Ebke</w:t>
      </w:r>
      <w:r>
        <w:t xml:space="preserve"> </w:t>
      </w:r>
      <w:r>
        <w:t xml:space="preserve">struck the 1947 statute that abandoned public bidding in favor of lease renewals to existing holders at valuations substantially below fair market value.</w:t>
      </w:r>
      <w:r>
        <w:rPr>
          <w:rStyle w:val="FootnoteReference"/>
        </w:rPr>
        <w:footnoteReference w:id="367"/>
      </w:r>
      <w:r>
        <w:t xml:space="preserve"> </w:t>
      </w:r>
      <w:r>
        <w:t xml:space="preserve">Montana’s</w:t>
      </w:r>
      <w:r>
        <w:t xml:space="preserve"> </w:t>
      </w:r>
      <w:r>
        <w:rPr>
          <w:i/>
        </w:rPr>
        <w:t xml:space="preserve">Jerke</w:t>
      </w:r>
      <w:r>
        <w:t xml:space="preserve"> </w:t>
      </w:r>
      <w:r>
        <w:t xml:space="preserve">held the statutory grazing-lessee preference unconstitutional as applied, because only pure competitive bidding could secure full market value in that situation.</w:t>
      </w:r>
      <w:r>
        <w:rPr>
          <w:rStyle w:val="FootnoteReference"/>
        </w:rPr>
        <w:footnoteReference w:id="368"/>
      </w:r>
      <w:r>
        <w:t xml:space="preserve"> </w:t>
      </w:r>
      <w:r>
        <w:t xml:space="preserve">Idaho’s</w:t>
      </w:r>
      <w:r>
        <w:t xml:space="preserve"> </w:t>
      </w:r>
      <w:r>
        <w:rPr>
          <w:i/>
        </w:rPr>
        <w:t xml:space="preserve">Idaho Watersheds Project</w:t>
      </w:r>
      <w:r>
        <w:t xml:space="preserve"> </w:t>
      </w:r>
      <w:r>
        <w:t xml:space="preserve">held that the constitutional</w:t>
      </w:r>
      <w:r>
        <w:t xml:space="preserve"> </w:t>
      </w:r>
      <w:r>
        <w:t xml:space="preserve">“</w:t>
      </w:r>
      <w:r>
        <w:t xml:space="preserve">maximum long term financial return</w:t>
      </w:r>
      <w:r>
        <w:t xml:space="preserve">”</w:t>
      </w:r>
      <w:r>
        <w:t xml:space="preserve"> </w:t>
      </w:r>
      <w:r>
        <w:t xml:space="preserve">mandate requires true competitive auction when conflicting lease applications are submitted, and that preference rules cannot override it.</w:t>
      </w:r>
      <w:r>
        <w:rPr>
          <w:rStyle w:val="FootnoteReference"/>
        </w:rPr>
        <w:footnoteReference w:id="369"/>
      </w:r>
      <w:r>
        <w:rPr>
          <w:rStyle w:val="FootnoteReference"/>
        </w:rPr>
        <w:footnoteReference w:id="370"/>
      </w:r>
      <w:r>
        <w:t xml:space="preserve"> </w:t>
      </w:r>
      <w:r>
        <w:t xml:space="preserve">The leasing-specific line is developed in Chapter 11; it is cited here because its principle is general: where a market test was available and the trustee declined it in favor of a preferred counterparty, the courts have not sustained the choice.</w:t>
      </w:r>
    </w:p>
    <w:p>
      <w:pPr>
        <w:pStyle w:val="Heading3"/>
      </w:pPr>
      <w:bookmarkStart w:id="371" w:name="X83bf330c71ab070a287455b931fc3e4175e6742"/>
      <w:r>
        <w:t xml:space="preserve">§ 9.5 Form does not defeat substance: the recharacterization rule</w:t>
      </w:r>
      <w:bookmarkEnd w:id="371"/>
    </w:p>
    <w:p>
      <w:pPr>
        <w:pStyle w:val="FirstParagraph"/>
      </w:pPr>
      <w:r>
        <w:t xml:space="preserve">A trustee bound to appraise, expose to the market, and accept the highest bid cannot escape those duties by restyling the transaction. The leading modern authority is New Mexico’s</w:t>
      </w:r>
      <w:r>
        <w:t xml:space="preserve"> </w:t>
      </w:r>
      <w:r>
        <w:rPr>
          <w:i/>
        </w:rPr>
        <w:t xml:space="preserve">Lyons</w:t>
      </w:r>
      <w:r>
        <w:t xml:space="preserve">: the Commissioner of Public Lands structured four dispositions as private land</w:t>
      </w:r>
      <w:r>
        <w:t xml:space="preserve"> </w:t>
      </w:r>
      <w:r>
        <w:rPr>
          <w:i/>
        </w:rPr>
        <w:t xml:space="preserve">exchanges</w:t>
      </w:r>
      <w:r>
        <w:t xml:space="preserve">, and the New Mexico Supreme Court held the exchanges void under § 10 of the Enabling Act, because the Commissioner could not bypass the public-auction and highest-best-bidder requirements by recharacterizing the disposition’s form, and ordered the transactions unwound by mandamus.</w:t>
      </w:r>
      <w:r>
        <w:rPr>
          <w:rStyle w:val="FootnoteReference"/>
        </w:rPr>
        <w:footnoteReference w:id="372"/>
      </w:r>
      <w:r>
        <w:rPr>
          <w:rStyle w:val="FootnoteReference"/>
        </w:rPr>
        <w:footnoteReference w:id="373"/>
      </w:r>
    </w:p>
    <w:p>
      <w:pPr>
        <w:pStyle w:val="BodyText"/>
      </w:pPr>
      <w:r>
        <w:t xml:space="preserve">The same rule answers each of the common recharacterizations. An intra-governmental</w:t>
      </w:r>
      <w:r>
        <w:t xml:space="preserve"> </w:t>
      </w:r>
      <w:r>
        <w:rPr>
          <w:i/>
        </w:rPr>
        <w:t xml:space="preserve">transfer</w:t>
      </w:r>
      <w:r>
        <w:t xml:space="preserve"> </w:t>
      </w:r>
      <w:r>
        <w:t xml:space="preserve">is a disposition:</w:t>
      </w:r>
      <w:r>
        <w:t xml:space="preserve"> </w:t>
      </w:r>
      <w:r>
        <w:rPr>
          <w:i/>
        </w:rPr>
        <w:t xml:space="preserve">Lassen</w:t>
      </w:r>
      <w:r>
        <w:t xml:space="preserve"> </w:t>
      </w:r>
      <w:r>
        <w:t xml:space="preserve">(the subject of Chapter 10). A legislative</w:t>
      </w:r>
      <w:r>
        <w:t xml:space="preserve"> </w:t>
      </w:r>
      <w:r>
        <w:rPr>
          <w:i/>
        </w:rPr>
        <w:t xml:space="preserve">release</w:t>
      </w:r>
      <w:r>
        <w:t xml:space="preserve"> </w:t>
      </w:r>
      <w:r>
        <w:t xml:space="preserve">of contract rights is a disposition:</w:t>
      </w:r>
      <w:r>
        <w:t xml:space="preserve"> </w:t>
      </w:r>
      <w:r>
        <w:rPr>
          <w:i/>
        </w:rPr>
        <w:t xml:space="preserve">Skamania</w:t>
      </w:r>
      <w:r>
        <w:t xml:space="preserve">, where Washington legislation excusing timber purchasers from their contracts on trust lands was held a transfer of trust assets requiring full value. A</w:t>
      </w:r>
      <w:r>
        <w:t xml:space="preserve"> </w:t>
      </w:r>
      <w:r>
        <w:rPr>
          <w:i/>
        </w:rPr>
        <w:t xml:space="preserve">condemnation</w:t>
      </w:r>
      <w:r>
        <w:t xml:space="preserve"> </w:t>
      </w:r>
      <w:r>
        <w:t xml:space="preserve">is a disposition:</w:t>
      </w:r>
      <w:r>
        <w:t xml:space="preserve"> </w:t>
      </w:r>
      <w:r>
        <w:rPr>
          <w:i/>
        </w:rPr>
        <w:t xml:space="preserve">Deer Valley</w:t>
      </w:r>
      <w:r>
        <w:t xml:space="preserve">, where it was barred outright. And a conveyance executed in violation of the prescribed procedure is no conveyance at all: Oregon’s</w:t>
      </w:r>
      <w:r>
        <w:t xml:space="preserve"> </w:t>
      </w:r>
      <w:r>
        <w:rPr>
          <w:i/>
        </w:rPr>
        <w:t xml:space="preserve">Warner Valley</w:t>
      </w:r>
      <w:r>
        <w:t xml:space="preserve"> </w:t>
      </w:r>
      <w:r>
        <w:t xml:space="preserve">held such deeds void. The unifying principle is that the disposition safeguards attach to the substance of what leaves the trust, not to the label on the instrument of transfer.</w:t>
      </w:r>
    </w:p>
    <w:p>
      <w:pPr>
        <w:pStyle w:val="Heading3"/>
      </w:pPr>
      <w:bookmarkStart w:id="374" w:name="X0283edab1219ddab23099f927e4a9e79c299872"/>
      <w:r>
        <w:t xml:space="preserve">§ 9.6 The township-trust floor: benefit to the schools</w:t>
      </w:r>
      <w:bookmarkEnd w:id="374"/>
    </w:p>
    <w:p>
      <w:pPr>
        <w:pStyle w:val="FirstParagraph"/>
      </w:pPr>
      <w:r>
        <w:t xml:space="preserve">The earliest instruments — Louisiana’s of 1811–12, Mississippi’s of 1817 — carry no appraisal, auction, or minimum-price clause. The courts of those states nonetheless police dispositions against a substantive floor derived from the dedication itself. Louisiana’s formulation: school trust lands</w:t>
      </w:r>
      <w:r>
        <w:t xml:space="preserve"> </w:t>
      </w:r>
      <w:r>
        <w:t xml:space="preserve">“</w:t>
      </w:r>
      <w:r>
        <w:t xml:space="preserve">can be alienated only where it is of benefit to school in some manner such as payment of the sale or lease price to the school fund or school board.</w:t>
      </w:r>
      <w:r>
        <w:t xml:space="preserve">”</w:t>
      </w:r>
      <w:r>
        <w:rPr>
          <w:rStyle w:val="FootnoteReference"/>
        </w:rPr>
        <w:footnoteReference w:id="375"/>
      </w:r>
      <w:r>
        <w:rPr>
          <w:rStyle w:val="FootnoteReference"/>
        </w:rPr>
        <w:footnoteReference w:id="376"/>
      </w:r>
      <w:r>
        <w:t xml:space="preserve"> </w:t>
      </w:r>
      <w:r>
        <w:t xml:space="preserve">Mississippi benchmarks Sixteenth Section lease consideration to</w:t>
      </w:r>
      <w:r>
        <w:t xml:space="preserve"> </w:t>
      </w:r>
      <w:r>
        <w:t xml:space="preserve">“</w:t>
      </w:r>
      <w:r>
        <w:t xml:space="preserve">the reasonable market value of the leased land.</w:t>
      </w:r>
      <w:r>
        <w:t xml:space="preserve">”</w:t>
      </w:r>
      <w:r>
        <w:rPr>
          <w:rStyle w:val="FootnoteReference"/>
        </w:rPr>
        <w:footnoteReference w:id="377"/>
      </w:r>
      <w:r>
        <w:t xml:space="preserve"> </w:t>
      </w:r>
      <w:r>
        <w:t xml:space="preserve">For the practitioner in an early-instrument state, these cases are the bridge authorities: they show the full-value rule operating where the only text is the purpose restriction.</w:t>
      </w:r>
    </w:p>
    <w:p>
      <w:pPr>
        <w:pStyle w:val="Heading3"/>
      </w:pPr>
      <w:bookmarkStart w:id="378" w:name="the-defense-position-at-full-strength"/>
      <w:r>
        <w:t xml:space="preserve">§ 9.7 The defense position at full strength</w:t>
      </w:r>
      <w:bookmarkEnd w:id="378"/>
    </w:p>
    <w:p>
      <w:pPr>
        <w:pStyle w:val="FirstParagraph"/>
      </w:pPr>
      <w:r>
        <w:t xml:space="preserve">Three arguments recur on the state side of disposition litigation, and each has genuine footing.</w:t>
      </w:r>
    </w:p>
    <w:p>
      <w:pPr>
        <w:pStyle w:val="BodyText"/>
      </w:pPr>
      <w:r>
        <w:rPr>
          <w:b/>
        </w:rPr>
        <w:t xml:space="preserve">(1) Whether to dispose is a legislative question.</w:t>
      </w:r>
      <w:r>
        <w:t xml:space="preserve"> </w:t>
      </w:r>
      <w:r>
        <w:t xml:space="preserve">The full-value rule governs the terms of an authorized disposition; it does not tell the state</w:t>
      </w:r>
      <w:r>
        <w:t xml:space="preserve"> </w:t>
      </w:r>
      <w:r>
        <w:rPr>
          <w:i/>
        </w:rPr>
        <w:t xml:space="preserve">whether</w:t>
      </w:r>
      <w:r>
        <w:t xml:space="preserve"> </w:t>
      </w:r>
      <w:r>
        <w:t xml:space="preserve">to sell, lease, or hold. The Oregon Supreme Court sustained a statute withdrawing certain school lands from sale against the argument that an asserted</w:t>
      </w:r>
      <w:r>
        <w:t xml:space="preserve"> </w:t>
      </w:r>
      <w:r>
        <w:t xml:space="preserve">“</w:t>
      </w:r>
      <w:r>
        <w:t xml:space="preserve">core function</w:t>
      </w:r>
      <w:r>
        <w:t xml:space="preserve">”</w:t>
      </w:r>
      <w:r>
        <w:t xml:space="preserve"> </w:t>
      </w:r>
      <w:r>
        <w:t xml:space="preserve">of revenue maximization invalidated it, and has said that</w:t>
      </w:r>
      <w:r>
        <w:t xml:space="preserve"> </w:t>
      </w:r>
      <w:r>
        <w:t xml:space="preserve">“</w:t>
      </w:r>
      <w:r>
        <w:t xml:space="preserve">the determination of the proper use of common school funds is a legislative one.</w:t>
      </w:r>
      <w:r>
        <w:t xml:space="preserve">”</w:t>
      </w:r>
      <w:r>
        <w:rPr>
          <w:rStyle w:val="FootnoteReference"/>
        </w:rPr>
        <w:footnoteReference w:id="379"/>
      </w:r>
      <w:r>
        <w:rPr>
          <w:rStyle w:val="FootnoteReference"/>
        </w:rPr>
        <w:footnoteReference w:id="380"/>
      </w:r>
      <w:r>
        <w:t xml:space="preserve"> </w:t>
      </w:r>
      <w:r>
        <w:t xml:space="preserve">A state defending a disposition program will press this line hard, and within its proper scope it is correct: no case in the verified corpus invalidates a decision</w:t>
      </w:r>
      <w:r>
        <w:t xml:space="preserve"> </w:t>
      </w:r>
      <w:r>
        <w:rPr>
          <w:i/>
        </w:rPr>
        <w:t xml:space="preserve">not</w:t>
      </w:r>
      <w:r>
        <w:t xml:space="preserve"> </w:t>
      </w:r>
      <w:r>
        <w:t xml:space="preserve">to sell, or a choice among authorized disposition methods that each capture full value.</w:t>
      </w:r>
    </w:p>
    <w:p>
      <w:pPr>
        <w:pStyle w:val="BodyText"/>
      </w:pPr>
      <w:r>
        <w:rPr>
          <w:b/>
        </w:rPr>
        <w:t xml:space="preserve">(2) The appraisal floor was honored.</w:t>
      </w:r>
      <w:r>
        <w:t xml:space="preserve"> </w:t>
      </w:r>
      <w:r>
        <w:t xml:space="preserve">Where the instrument requires only that disposition not fall below appraised value, the state will argue that a sale at or above a professional appraisal satisfies the compact’s express term, and that nothing in the instrument commands more. The doctrinal reply — that the auction exists because appraisal is opinion (§ 9.3), and that buyer-procured appraisals cannot discharge the valuation duty (</w:t>
      </w:r>
      <w:r>
        <w:rPr>
          <w:i/>
        </w:rPr>
        <w:t xml:space="preserve">NPCA</w:t>
      </w:r>
      <w:r>
        <w:t xml:space="preserve">) — has prevailed where squarely presented, but the textual argument is not frivolous in states whose instruments lack an auction clause, and the practitioner should expect it.</w:t>
      </w:r>
    </w:p>
    <w:p>
      <w:pPr>
        <w:pStyle w:val="BodyText"/>
      </w:pPr>
      <w:r>
        <w:rPr>
          <w:b/>
        </w:rPr>
        <w:t xml:space="preserve">(3) Modern direct-sale statutes as legitimate design.</w:t>
      </w:r>
      <w:r>
        <w:t xml:space="preserve"> </w:t>
      </w:r>
      <w:r>
        <w:t xml:space="preserve">Contemporary legislation in several states authorizes direct sales of trust land to state agencies at appraised value without public auction; Utah Code § 53C-4-104 (2024) is the current example, authorizing direct sales of contiguous blocks over 5,000 acres to the Department of Natural Resources.</w:t>
      </w:r>
      <w:r>
        <w:rPr>
          <w:rStyle w:val="FootnoteReference"/>
        </w:rPr>
        <w:footnoteReference w:id="381"/>
      </w:r>
      <w:r>
        <w:t xml:space="preserve"> </w:t>
      </w:r>
      <w:r>
        <w:t xml:space="preserve">Defenders of such statutes invoke the legislative-design latitude described in contention (1) and the satisfaction of the appraisal floor described in contention (2). Critics answer from</w:t>
      </w:r>
      <w:r>
        <w:t xml:space="preserve"> </w:t>
      </w:r>
      <w:r>
        <w:rPr>
          <w:i/>
        </w:rPr>
        <w:t xml:space="preserve">ASARCO</w:t>
      </w:r>
      <w:r>
        <w:t xml:space="preserve">,</w:t>
      </w:r>
      <w:r>
        <w:t xml:space="preserve"> </w:t>
      </w:r>
      <w:r>
        <w:rPr>
          <w:i/>
        </w:rPr>
        <w:t xml:space="preserve">Lyons</w:t>
      </w:r>
      <w:r>
        <w:t xml:space="preserve">, and</w:t>
      </w:r>
      <w:r>
        <w:t xml:space="preserve"> </w:t>
      </w:r>
      <w:r>
        <w:rPr>
          <w:i/>
        </w:rPr>
        <w:t xml:space="preserve">Ebke</w:t>
      </w:r>
      <w:r>
        <w:t xml:space="preserve"> </w:t>
      </w:r>
      <w:r>
        <w:t xml:space="preserve">that an auction-bypass installed by statute is precisely what those cases struck down. The question is contested and, as to the current statutes, unadjudicated; it is treated with the self-dealing problem in Chapter 10 and the reform landscape in Chapter 19.</w:t>
      </w:r>
    </w:p>
    <w:p>
      <w:pPr>
        <w:pStyle w:val="Heading3"/>
      </w:pPr>
      <w:bookmarkStart w:id="382" w:name="synthesis-6"/>
      <w:r>
        <w:t xml:space="preserve">§ 9.8 Synthesis</w:t>
      </w:r>
      <w:bookmarkEnd w:id="382"/>
    </w:p>
    <w:p>
      <w:pPr>
        <w:pStyle w:val="FirstParagraph"/>
      </w:pPr>
      <w:r>
        <w:t xml:space="preserve">The black-letter propositions:</w:t>
      </w:r>
    </w:p>
    <w:p>
      <w:pPr>
        <w:numPr>
          <w:ilvl w:val="0"/>
          <w:numId w:val="1008"/>
        </w:numPr>
        <w:pStyle w:val="Compact"/>
      </w:pPr>
      <w:r>
        <w:rPr>
          <w:b/>
        </w:rPr>
        <w:t xml:space="preserve">Full value is owed on any disposition of any trust asset</w:t>
      </w:r>
      <w:r>
        <w:t xml:space="preserve">, in cash or in verified kind, whoever the acquirer.</w:t>
      </w:r>
      <w:r>
        <w:rPr>
          <w:rStyle w:val="FootnoteReference"/>
        </w:rPr>
        <w:footnoteReference w:id="383"/>
      </w:r>
    </w:p>
    <w:p>
      <w:pPr>
        <w:numPr>
          <w:ilvl w:val="0"/>
          <w:numId w:val="1008"/>
        </w:numPr>
        <w:pStyle w:val="Compact"/>
      </w:pPr>
      <w:r>
        <w:rPr>
          <w:b/>
        </w:rPr>
        <w:t xml:space="preserve">The instrument floors are enforceable against the state’s own statutes</w:t>
      </w:r>
      <w:r>
        <w:t xml:space="preserve">; a statute or transaction non-conforming with the appraisal and auction safeguards is void, not merely voidable.</w:t>
      </w:r>
      <w:r>
        <w:rPr>
          <w:rStyle w:val="FootnoteReference"/>
        </w:rPr>
        <w:footnoteReference w:id="384"/>
      </w:r>
    </w:p>
    <w:p>
      <w:pPr>
        <w:numPr>
          <w:ilvl w:val="0"/>
          <w:numId w:val="1008"/>
        </w:numPr>
        <w:pStyle w:val="Compact"/>
      </w:pPr>
      <w:r>
        <w:rPr>
          <w:b/>
        </w:rPr>
        <w:t xml:space="preserve">Appraised value is a floor, not a ceiling, and not self-proving</w:t>
      </w:r>
      <w:r>
        <w:t xml:space="preserve">; the valuation duty is the trustee’s own and cannot rest on the buyer’s appraisal.</w:t>
      </w:r>
    </w:p>
    <w:p>
      <w:pPr>
        <w:numPr>
          <w:ilvl w:val="0"/>
          <w:numId w:val="1008"/>
        </w:numPr>
        <w:pStyle w:val="Compact"/>
      </w:pPr>
      <w:r>
        <w:rPr>
          <w:b/>
        </w:rPr>
        <w:t xml:space="preserve">Competitive public disposition is the default</w:t>
      </w:r>
      <w:r>
        <w:t xml:space="preserve">, and departures from it have not survived review where a market test was available and would have yielded more.</w:t>
      </w:r>
    </w:p>
    <w:p>
      <w:pPr>
        <w:numPr>
          <w:ilvl w:val="0"/>
          <w:numId w:val="1008"/>
        </w:numPr>
        <w:pStyle w:val="Compact"/>
      </w:pPr>
      <w:r>
        <w:rPr>
          <w:b/>
        </w:rPr>
        <w:t xml:space="preserve">Recharacterizing the form — exchange, transfer, release, condemnation — does not shed the safeguards.</w:t>
      </w:r>
    </w:p>
    <w:p>
      <w:pPr>
        <w:numPr>
          <w:ilvl w:val="0"/>
          <w:numId w:val="1008"/>
        </w:numPr>
        <w:pStyle w:val="Compact"/>
      </w:pPr>
      <w:r>
        <w:rPr>
          <w:b/>
        </w:rPr>
        <w:t xml:space="preserve">The boundary</w:t>
      </w:r>
      <w:r>
        <w:t xml:space="preserve">: choosing whether and what to dispose of is legislative; the terms of an authorized disposition are fiduciary. The live disputes in this chapter’s field — direct-sale statutes, agency-to-agency conveyances, appraisal-only sales — are all fought on that boundary. See Chapters 10 and 19.</w:t>
      </w:r>
    </w:p>
    <w:p>
      <w:r>
        <w:pict>
          <v:rect style="width:0;height:1.5pt" o:hralign="center" o:hrstd="t" o:hr="t"/>
        </w:pict>
      </w:r>
    </w:p>
    <w:p>
      <w:pPr>
        <w:pStyle w:val="FirstParagraph"/>
      </w:pPr>
      <w:r>
        <w:rPr>
          <w:i/>
        </w:rPr>
        <w:t xml:space="preserve">End of Chapter 9 v1. Verification queue: Plaquemines Parish caption/year (the citekey year is provisional from the reporter volume); Merbanco holding; floor-not-ceiling and buyer-appraisal accord-case hunts (verification wave 2). Resolved 2026-06-07: the relationship of the two 1999 Idaho Watersheds opinions (133 Idaho 55, 982 P.2d 358 = the H.J.R. 6 single-subject writ proceeding; 133 Idaho 64, 982 P.2d 367 = the § 58-310B invalidation cited herein); the</w:t>
      </w:r>
      <w:r>
        <w:rPr>
          <w:i/>
        </w:rPr>
        <w:t xml:space="preserve"> </w:t>
      </w:r>
      <w:r>
        <w:t xml:space="preserve">NPCA*</w:t>
      </w:r>
      <w:r>
        <w:t xml:space="preserve"> </w:t>
      </w:r>
      <w:r>
        <w:t xml:space="preserve">“</w:t>
      </w:r>
      <w:r>
        <w:t xml:space="preserve">suspect on its face</w:t>
      </w:r>
      <w:r>
        <w:t xml:space="preserve">”</w:t>
      </w:r>
      <w:r>
        <w:t xml:space="preserve"> </w:t>
      </w:r>
      <w:r>
        <w:t xml:space="preserve">quotation verified at 869 P.2d 909, 922. Cross-references renumbered to the unified Ch1–Ch20 scheme in this v1 pass.*</w:t>
      </w:r>
    </w:p>
    <w:p>
      <w:r>
        <w:br w:type="page"/>
      </w:r>
    </w:p>
    <w:p>
      <w:pPr>
        <w:pStyle w:val="Heading1"/>
      </w:pPr>
      <w:bookmarkStart w:id="385" w:name="X3817bfb6036040fe561635629301b47e890ead3"/>
      <w:r>
        <w:t xml:space="preserve">Chapter 10 — Intra-Governmental Transfers, Exchanges, and Self-Dealing (v1)</w:t>
      </w:r>
      <w:bookmarkEnd w:id="385"/>
    </w:p>
    <w:p>
      <w:pPr>
        <w:pStyle w:val="FirstParagraph"/>
      </w:pPr>
      <w:r>
        <w:rPr>
          <w:i/>
        </w:rPr>
        <w:t xml:space="preserve">Status: v1, corpus-bounded draft per the Chapter Drafting Brief. Every authority herein is carried in the project’s verified research files; [VERIFY] flags mark items awaiting primary-source confirmation under quality gate G3. Section 10.6 touches transactions connected to pending Oregon litigation and is drafted from the public record only; it carries [COUNSEL REVIEW] flags. The v1 pass (2026-06-07) renumbered this chapter from Chapter 9 to Chapter 10 under the unified Ch1–Ch20 scheme, converted numeric footnotes to named keys per the project citation standard, and applied the resolutions of the 2026-06-07 verification pass (the</w:t>
      </w:r>
      <w:r>
        <w:rPr>
          <w:i/>
        </w:rPr>
        <w:t xml:space="preserve"> </w:t>
      </w:r>
      <w:r>
        <w:t xml:space="preserve">National Parks* pin cites, the 1993/2010 NPCA question, and the second Kanaly citation).*</w:t>
      </w:r>
    </w:p>
    <w:p>
      <w:r>
        <w:pict>
          <v:rect style="width:0;height:1.5pt" o:hralign="center" o:hrstd="t" o:hr="t"/>
        </w:pict>
      </w:r>
    </w:p>
    <w:p>
      <w:pPr>
        <w:pStyle w:val="Heading3"/>
      </w:pPr>
      <w:bookmarkStart w:id="386" w:name="the-problem-stated"/>
      <w:r>
        <w:t xml:space="preserve">§ 10.1 The problem stated</w:t>
      </w:r>
      <w:bookmarkEnd w:id="386"/>
    </w:p>
    <w:p>
      <w:pPr>
        <w:pStyle w:val="FirstParagraph"/>
      </w:pPr>
      <w:r>
        <w:t xml:space="preserve">The hardest disposition cases are not sales to strangers. They are the transactions in which the state appears on both sides: a highway department taking trust land for rights-of-way, a legislature handing trust property to another agency, a park system absorbing trust acreage, a department of natural resources buying trust land from the trust-lands agency with money the legislature appropriated for the purpose. In each, the state-as-sovereign acquires what the state-as-trustee holds — the structural situation Chapter 5 analyzed. The temptation in such transactions is obvious and recurring: since the land</w:t>
      </w:r>
      <w:r>
        <w:t xml:space="preserve"> </w:t>
      </w:r>
      <w:r>
        <w:t xml:space="preserve">“</w:t>
      </w:r>
      <w:r>
        <w:t xml:space="preserve">stays in state hands</w:t>
      </w:r>
      <w:r>
        <w:t xml:space="preserve">”</w:t>
      </w:r>
      <w:r>
        <w:t xml:space="preserve"> </w:t>
      </w:r>
      <w:r>
        <w:t xml:space="preserve">and the public at large benefits, the state reasons that no real disposition has occurred and no real price need be paid.</w:t>
      </w:r>
    </w:p>
    <w:p>
      <w:pPr>
        <w:pStyle w:val="BodyText"/>
      </w:pPr>
      <w:r>
        <w:t xml:space="preserve">The case law rejects that reasoning wherever it has been squarely presented. The trust’s beneficiaries are the schools and their students, not</w:t>
      </w:r>
      <w:r>
        <w:t xml:space="preserve"> </w:t>
      </w:r>
      <w:r>
        <w:t xml:space="preserve">“</w:t>
      </w:r>
      <w:r>
        <w:t xml:space="preserve">the people generally</w:t>
      </w:r>
      <w:r>
        <w:t xml:space="preserve">”</w:t>
      </w:r>
      <w:r>
        <w:t xml:space="preserve"> </w:t>
      </w:r>
      <w:r>
        <w:t xml:space="preserve">(§ 5.2); a transfer that benefits the general public at the trust’s expense is not a wash — it is the very transaction trust law exists to police. Because the sovereign cannot bargain with itself at arm’s length, the law substitutes structural safeguards for the missing adversity: full compensation measured independently, valuation not controlled by the acquiring arm, and in some states a flat bar on the state condemning what it holds in trust.</w:t>
      </w:r>
      <w:r>
        <w:rPr>
          <w:rStyle w:val="FootnoteReference"/>
        </w:rPr>
        <w:footnoteReference w:id="387"/>
      </w:r>
      <w:r>
        <w:rPr>
          <w:rStyle w:val="FootnoteReference"/>
        </w:rPr>
        <w:footnoteReference w:id="388"/>
      </w:r>
    </w:p>
    <w:p>
      <w:pPr>
        <w:pStyle w:val="Heading3"/>
      </w:pPr>
      <w:bookmarkStart w:id="389" w:name="the-federal-rule-lassen"/>
      <w:r>
        <w:t xml:space="preserve">§ 10.2 The federal rule:</w:t>
      </w:r>
      <w:r>
        <w:t xml:space="preserve"> </w:t>
      </w:r>
      <w:r>
        <w:rPr>
          <w:i/>
        </w:rPr>
        <w:t xml:space="preserve">Lassen</w:t>
      </w:r>
      <w:bookmarkEnd w:id="389"/>
    </w:p>
    <w:p>
      <w:pPr>
        <w:pStyle w:val="FirstParagraph"/>
      </w:pPr>
      <w:r>
        <w:rPr>
          <w:i/>
        </w:rPr>
        <w:t xml:space="preserve">Lassen v. Arizona ex rel. Arizona Highway Department</w:t>
      </w:r>
      <w:r>
        <w:t xml:space="preserve"> </w:t>
      </w:r>
      <w:r>
        <w:t xml:space="preserve">is the controlling federal authority. The Arizona Highway Department took school trust lands for highway rights-of-way and contended that, as an internal matter between arms of the same state, the taking carried no obligation to the trust — particularly since highways, it argued, enhance the value of remaining trust lands. The United States Supreme Court rejected both halves. The grants were designed so that</w:t>
      </w:r>
      <w:r>
        <w:t xml:space="preserve"> </w:t>
      </w:r>
      <w:r>
        <w:t xml:space="preserve">“</w:t>
      </w:r>
      <w:r>
        <w:t xml:space="preserve">the grants provide the most substantial support possible to the beneficiaries and that only those beneficiaries profit from the trust</w:t>
      </w:r>
      <w:r>
        <w:t xml:space="preserve">”</w:t>
      </w:r>
      <w:r>
        <w:t xml:space="preserve">; the trusts are</w:t>
      </w:r>
      <w:r>
        <w:t xml:space="preserve"> </w:t>
      </w:r>
      <w:r>
        <w:t xml:space="preserve">“</w:t>
      </w:r>
      <w:r>
        <w:t xml:space="preserve">definite and specific</w:t>
      </w:r>
      <w:r>
        <w:t xml:space="preserve">”</w:t>
      </w:r>
      <w:r>
        <w:t xml:space="preserve"> </w:t>
      </w:r>
      <w:r>
        <w:t xml:space="preserve">and</w:t>
      </w:r>
      <w:r>
        <w:t xml:space="preserve"> </w:t>
      </w:r>
      <w:r>
        <w:t xml:space="preserve">“</w:t>
      </w:r>
      <w:r>
        <w:t xml:space="preserve">in all respects separate and independent</w:t>
      </w:r>
      <w:r>
        <w:t xml:space="preserve">”</w:t>
      </w:r>
      <w:r>
        <w:t xml:space="preserve">; and the state must compensate the trust at full appraised value when its own agency takes trust land.</w:t>
      </w:r>
      <w:r>
        <w:rPr>
          <w:rStyle w:val="FootnoteReference"/>
        </w:rPr>
        <w:footnoteReference w:id="390"/>
      </w:r>
      <w:r>
        <w:t xml:space="preserve"> </w:t>
      </w:r>
      <w:r>
        <w:t xml:space="preserve">The decision reaffirms</w:t>
      </w:r>
      <w:r>
        <w:t xml:space="preserve"> </w:t>
      </w:r>
      <w:r>
        <w:rPr>
          <w:i/>
        </w:rPr>
        <w:t xml:space="preserve">Ervien</w:t>
      </w:r>
      <w:r>
        <w:t xml:space="preserve">’s exclusivity rule — enumeration of purposes</w:t>
      </w:r>
      <w:r>
        <w:t xml:space="preserve"> </w:t>
      </w:r>
      <w:r>
        <w:t xml:space="preserve">“</w:t>
      </w:r>
      <w:r>
        <w:t xml:space="preserve">necessarily exclusive of any other purpose</w:t>
      </w:r>
      <w:r>
        <w:t xml:space="preserve">”</w:t>
      </w:r>
      <w:r>
        <w:t xml:space="preserve"> </w:t>
      </w:r>
      <w:r>
        <w:t xml:space="preserve">— and applies it where it bites hardest: against the state’s own internal accounting, where generalized public benefit is always available as a rationalization.</w:t>
      </w:r>
      <w:r>
        <w:rPr>
          <w:rStyle w:val="FootnoteReference"/>
        </w:rPr>
        <w:footnoteReference w:id="391"/>
      </w:r>
    </w:p>
    <w:p>
      <w:pPr>
        <w:pStyle w:val="Heading3"/>
      </w:pPr>
      <w:bookmarkStart w:id="392" w:name="X3d29edc717737882077a60db6dd8af4f7393d3a"/>
      <w:r>
        <w:t xml:space="preserve">§ 10.3 The state analogues: takings, transfers, and absorptions</w:t>
      </w:r>
      <w:bookmarkEnd w:id="392"/>
    </w:p>
    <w:p>
      <w:pPr>
        <w:pStyle w:val="FirstParagraph"/>
      </w:pPr>
      <w:r>
        <w:t xml:space="preserve">The state courts have applied the</w:t>
      </w:r>
      <w:r>
        <w:t xml:space="preserve"> </w:t>
      </w:r>
      <w:r>
        <w:rPr>
          <w:i/>
        </w:rPr>
        <w:t xml:space="preserve">Lassen</w:t>
      </w:r>
      <w:r>
        <w:t xml:space="preserve"> </w:t>
      </w:r>
      <w:r>
        <w:t xml:space="preserve">principle across the full range of intra-governmental forms.</w:t>
      </w:r>
    </w:p>
    <w:p>
      <w:pPr>
        <w:pStyle w:val="BodyText"/>
      </w:pPr>
      <w:r>
        <w:rPr>
          <w:b/>
        </w:rPr>
        <w:t xml:space="preserve">Legislative transfer.</w:t>
      </w:r>
      <w:r>
        <w:t xml:space="preserve"> </w:t>
      </w:r>
      <w:r>
        <w:t xml:space="preserve">South Dakota’s</w:t>
      </w:r>
      <w:r>
        <w:t xml:space="preserve"> </w:t>
      </w:r>
      <w:r>
        <w:rPr>
          <w:i/>
        </w:rPr>
        <w:t xml:space="preserve">Kanaly</w:t>
      </w:r>
      <w:r>
        <w:t xml:space="preserve"> </w:t>
      </w:r>
      <w:r>
        <w:t xml:space="preserve">is the lead case on the legislature simply reassigning trust property to another agency: the transfer without compensation was held unconstitutional and in violation of the Enabling Act, in an opinion declaring it</w:t>
      </w:r>
      <w:r>
        <w:t xml:space="preserve"> </w:t>
      </w:r>
      <w:r>
        <w:t xml:space="preserve">“</w:t>
      </w:r>
      <w:r>
        <w:t xml:space="preserve">beyond question</w:t>
      </w:r>
      <w:r>
        <w:t xml:space="preserve">”</w:t>
      </w:r>
      <w:r>
        <w:t xml:space="preserve"> </w:t>
      </w:r>
      <w:r>
        <w:t xml:space="preserve">that the grants create</w:t>
      </w:r>
      <w:r>
        <w:t xml:space="preserve"> </w:t>
      </w:r>
      <w:r>
        <w:t xml:space="preserve">“</w:t>
      </w:r>
      <w:r>
        <w:t xml:space="preserve">a special, permanent and perpetual trust</w:t>
      </w:r>
      <w:r>
        <w:t xml:space="preserve">”</w:t>
      </w:r>
      <w:r>
        <w:t xml:space="preserve"> </w:t>
      </w:r>
      <w:r>
        <w:t xml:space="preserve">with the state as trustee.</w:t>
      </w:r>
      <w:r>
        <w:rPr>
          <w:rStyle w:val="FootnoteReference"/>
        </w:rPr>
        <w:footnoteReference w:id="393"/>
      </w:r>
    </w:p>
    <w:p>
      <w:pPr>
        <w:pStyle w:val="BodyText"/>
      </w:pPr>
      <w:r>
        <w:rPr>
          <w:b/>
        </w:rPr>
        <w:t xml:space="preserve">Internal taking for public works.</w:t>
      </w:r>
      <w:r>
        <w:t xml:space="preserve"> </w:t>
      </w:r>
      <w:r>
        <w:t xml:space="preserve">New Mexico’s</w:t>
      </w:r>
      <w:r>
        <w:t xml:space="preserve"> </w:t>
      </w:r>
      <w:r>
        <w:rPr>
          <w:i/>
        </w:rPr>
        <w:t xml:space="preserve">Walker</w:t>
      </w:r>
      <w:r>
        <w:t xml:space="preserve"> </w:t>
      </w:r>
      <w:r>
        <w:t xml:space="preserve">required the State Highway Commission to compensate the trust for rights-of-way over trust lands, disapproving two Attorneys General opinions that had treated state-to-state uses as exempt — the field’s clearest documented instance of the state’s own law office siding with the sovereign against the trust, corrected by the court (see Chapter 14).</w:t>
      </w:r>
      <w:r>
        <w:rPr>
          <w:rStyle w:val="FootnoteReference"/>
        </w:rPr>
        <w:footnoteReference w:id="394"/>
      </w:r>
      <w:r>
        <w:t xml:space="preserve"> </w:t>
      </w:r>
      <w:r>
        <w:t xml:space="preserve">Nebraska’s</w:t>
      </w:r>
      <w:r>
        <w:t xml:space="preserve"> </w:t>
      </w:r>
      <w:r>
        <w:rPr>
          <w:i/>
        </w:rPr>
        <w:t xml:space="preserve">Platte Valley</w:t>
      </w:r>
      <w:r>
        <w:t xml:space="preserve"> </w:t>
      </w:r>
      <w:r>
        <w:t xml:space="preserve">reached the same result a decade earlier for a quasi-public condemnor.</w:t>
      </w:r>
    </w:p>
    <w:p>
      <w:pPr>
        <w:pStyle w:val="BodyText"/>
      </w:pPr>
      <w:r>
        <w:rPr>
          <w:b/>
        </w:rPr>
        <w:t xml:space="preserve">Absorption into another public use.</w:t>
      </w:r>
      <w:r>
        <w:t xml:space="preserve"> </w:t>
      </w:r>
      <w:r>
        <w:t xml:space="preserve">Alaska’s</w:t>
      </w:r>
      <w:r>
        <w:t xml:space="preserve"> </w:t>
      </w:r>
      <w:r>
        <w:rPr>
          <w:i/>
        </w:rPr>
        <w:t xml:space="preserve">University of Alaska</w:t>
      </w:r>
      <w:r>
        <w:t xml:space="preserve"> </w:t>
      </w:r>
      <w:r>
        <w:t xml:space="preserve">held that including university trust land in a state park without compensation was</w:t>
      </w:r>
      <w:r>
        <w:t xml:space="preserve"> </w:t>
      </w:r>
      <w:r>
        <w:t xml:space="preserve">“</w:t>
      </w:r>
      <w:r>
        <w:t xml:space="preserve">a breach of a federal trust</w:t>
      </w:r>
      <w:r>
        <w:t xml:space="preserve">”</w:t>
      </w:r>
      <w:r>
        <w:t xml:space="preserve">: the conservation objective was</w:t>
      </w:r>
      <w:r>
        <w:t xml:space="preserve"> </w:t>
      </w:r>
      <w:r>
        <w:t xml:space="preserve">“</w:t>
      </w:r>
      <w:r>
        <w:t xml:space="preserve">incompatible with the objective of using university land for the</w:t>
      </w:r>
      <w:r>
        <w:t xml:space="preserve"> </w:t>
      </w:r>
      <w:r>
        <w:t xml:space="preserve">‘</w:t>
      </w:r>
      <w:r>
        <w:t xml:space="preserve">exclusive use and benefit</w:t>
      </w:r>
      <w:r>
        <w:t xml:space="preserve">’</w:t>
      </w:r>
      <w:r>
        <w:t xml:space="preserve"> </w:t>
      </w:r>
      <w:r>
        <w:t xml:space="preserve">of the university,</w:t>
      </w:r>
      <w:r>
        <w:t xml:space="preserve">”</w:t>
      </w:r>
      <w:r>
        <w:t xml:space="preserve"> </w:t>
      </w:r>
      <w:r>
        <w:t xml:space="preserve">whose implied purpose</w:t>
      </w:r>
      <w:r>
        <w:t xml:space="preserve"> </w:t>
      </w:r>
      <w:r>
        <w:t xml:space="preserve">“</w:t>
      </w:r>
      <w:r>
        <w:t xml:space="preserve">cannot be accomplished if the use of the land is restricted to any significant degree.</w:t>
      </w:r>
      <w:r>
        <w:t xml:space="preserve">”</w:t>
      </w:r>
      <w:r>
        <w:rPr>
          <w:rStyle w:val="FootnoteReference"/>
        </w:rPr>
        <w:footnoteReference w:id="395"/>
      </w:r>
      <w:r>
        <w:t xml:space="preserve"> </w:t>
      </w:r>
      <w:r>
        <w:t xml:space="preserve">The companion rule of</w:t>
      </w:r>
      <w:r>
        <w:t xml:space="preserve"> </w:t>
      </w:r>
      <w:r>
        <w:rPr>
          <w:i/>
        </w:rPr>
        <w:t xml:space="preserve">Weiss</w:t>
      </w:r>
      <w:r>
        <w:t xml:space="preserve"> </w:t>
      </w:r>
      <w:r>
        <w:t xml:space="preserve">— the state may not extinguish a trust by absorbing its function into general government — marks the outer limit of the same family (§ 4.6(e)).</w:t>
      </w:r>
    </w:p>
    <w:p>
      <w:pPr>
        <w:pStyle w:val="BodyText"/>
      </w:pPr>
      <w:r>
        <w:rPr>
          <w:b/>
        </w:rPr>
        <w:t xml:space="preserve">Appurtenant interests.</w:t>
      </w:r>
      <w:r>
        <w:t xml:space="preserve"> </w:t>
      </w:r>
      <w:r>
        <w:t xml:space="preserve">Montana’s</w:t>
      </w:r>
      <w:r>
        <w:t xml:space="preserve"> </w:t>
      </w:r>
      <w:r>
        <w:rPr>
          <w:i/>
        </w:rPr>
        <w:t xml:space="preserve">Pettibone</w:t>
      </w:r>
      <w:r>
        <w:t xml:space="preserve"> </w:t>
      </w:r>
      <w:r>
        <w:t xml:space="preserve">extends the compensation duty below the surface of the fee: water rights appurtenant to school lands are themselves trust interests for which the trust must be paid, because trust lands are</w:t>
      </w:r>
      <w:r>
        <w:t xml:space="preserve"> </w:t>
      </w:r>
      <w:r>
        <w:t xml:space="preserve">“</w:t>
      </w:r>
      <w:r>
        <w:t xml:space="preserve">subject to a different set of rules than other public lands.</w:t>
      </w:r>
      <w:r>
        <w:t xml:space="preserve">”</w:t>
      </w:r>
      <w:r>
        <w:rPr>
          <w:rStyle w:val="FootnoteReference"/>
        </w:rPr>
        <w:footnoteReference w:id="396"/>
      </w:r>
      <w:r>
        <w:rPr>
          <w:rStyle w:val="FootnoteReference"/>
        </w:rPr>
        <w:footnoteReference w:id="397"/>
      </w:r>
    </w:p>
    <w:p>
      <w:pPr>
        <w:pStyle w:val="Heading3"/>
      </w:pPr>
      <w:bookmarkStart w:id="398" w:name="the-condemnation-bar"/>
      <w:r>
        <w:t xml:space="preserve">§ 10.4 The condemnation bar</w:t>
      </w:r>
      <w:bookmarkEnd w:id="398"/>
    </w:p>
    <w:p>
      <w:pPr>
        <w:pStyle w:val="FirstParagraph"/>
      </w:pPr>
      <w:r>
        <w:t xml:space="preserve">Arizona answers the intra-governmental problem with a flat prohibition rather than a compensation rule. In</w:t>
      </w:r>
      <w:r>
        <w:t xml:space="preserve"> </w:t>
      </w:r>
      <w:r>
        <w:rPr>
          <w:i/>
        </w:rPr>
        <w:t xml:space="preserve">Deer Valley</w:t>
      </w:r>
      <w:r>
        <w:t xml:space="preserve">, a school district — itself within a beneficiary class — sought to condemn trust acreage; the Arizona Supreme Court barred the condemnation outright. Trust land</w:t>
      </w:r>
      <w:r>
        <w:t xml:space="preserve"> </w:t>
      </w:r>
      <w:r>
        <w:t xml:space="preserve">“</w:t>
      </w:r>
      <w:r>
        <w:t xml:space="preserve">is not state land</w:t>
      </w:r>
      <w:r>
        <w:t xml:space="preserve">”</w:t>
      </w:r>
      <w:r>
        <w:t xml:space="preserve">; it is held by the state as trustee for specified beneficiaries, and condemnation by any state actor would deprive the trust of the opportunity to obtain prices above appraised value at public auction.</w:t>
      </w:r>
      <w:r>
        <w:rPr>
          <w:rStyle w:val="FootnoteReference"/>
        </w:rPr>
        <w:footnoteReference w:id="399"/>
      </w:r>
      <w:r>
        <w:t xml:space="preserve"> </w:t>
      </w:r>
      <w:r>
        <w:t xml:space="preserve">The opinion’s force lies in its facts: even a</w:t>
      </w:r>
      <w:r>
        <w:t xml:space="preserve"> </w:t>
      </w:r>
      <w:r>
        <w:rPr>
          <w:i/>
        </w:rPr>
        <w:t xml:space="preserve">beneficiary</w:t>
      </w:r>
      <w:r>
        <w:t xml:space="preserve"> </w:t>
      </w:r>
      <w:r>
        <w:t xml:space="preserve">cannot shortcut the disposition safeguards, because the safeguards protect the whole beneficiary class — including districts and students elsewhere in the state, and the future beneficiaries of Chapter 8 — and not the convenience of any single member. Where the 1910 Act’s auction command does not govern, the milder rule is compensation at full value (</w:t>
      </w:r>
      <w:r>
        <w:rPr>
          <w:i/>
        </w:rPr>
        <w:t xml:space="preserve">Lassen</w:t>
      </w:r>
      <w:r>
        <w:t xml:space="preserve">;</w:t>
      </w:r>
      <w:r>
        <w:t xml:space="preserve"> </w:t>
      </w:r>
      <w:r>
        <w:rPr>
          <w:i/>
        </w:rPr>
        <w:t xml:space="preserve">Kanaly</w:t>
      </w:r>
      <w:r>
        <w:t xml:space="preserve">;</w:t>
      </w:r>
      <w:r>
        <w:t xml:space="preserve"> </w:t>
      </w:r>
      <w:r>
        <w:rPr>
          <w:i/>
        </w:rPr>
        <w:t xml:space="preserve">Walker</w:t>
      </w:r>
      <w:r>
        <w:t xml:space="preserve">); where it does,</w:t>
      </w:r>
      <w:r>
        <w:t xml:space="preserve"> </w:t>
      </w:r>
      <w:r>
        <w:rPr>
          <w:i/>
        </w:rPr>
        <w:t xml:space="preserve">Deer Valley</w:t>
      </w:r>
      <w:r>
        <w:t xml:space="preserve"> </w:t>
      </w:r>
      <w:r>
        <w:t xml:space="preserve">holds that the sovereign’s eminent-domain power simply does not reach the trust corpus.</w:t>
      </w:r>
      <w:r>
        <w:rPr>
          <w:rStyle w:val="FootnoteReference"/>
        </w:rPr>
        <w:footnoteReference w:id="400"/>
      </w:r>
    </w:p>
    <w:p>
      <w:pPr>
        <w:pStyle w:val="Heading3"/>
      </w:pPr>
      <w:bookmarkStart w:id="401" w:name="X31aacf08e5de202eeee49883d6511390b85e7d0"/>
      <w:r>
        <w:t xml:space="preserve">§ 10.5 Self-dealing valuation: who prices the deal</w:t>
      </w:r>
      <w:bookmarkEnd w:id="401"/>
    </w:p>
    <w:p>
      <w:pPr>
        <w:pStyle w:val="FirstParagraph"/>
      </w:pPr>
      <w:r>
        <w:t xml:space="preserve">When the acquirer is the state itself, the appraisal problem of § 9.3 sharpens into a self-dealing problem: the buyer who procures the appraisal and the trustee who accepts it answer, ultimately, to the same sovereign. The doctrine’s response is the independent-valuation rule. Utah’s</w:t>
      </w:r>
      <w:r>
        <w:t xml:space="preserve"> </w:t>
      </w:r>
      <w:r>
        <w:rPr>
          <w:i/>
        </w:rPr>
        <w:t xml:space="preserve">National Parks</w:t>
      </w:r>
      <w:r>
        <w:t xml:space="preserve"> </w:t>
      </w:r>
      <w:r>
        <w:t xml:space="preserve">holds that an appraisal submitted by a prospective purchaser is</w:t>
      </w:r>
      <w:r>
        <w:t xml:space="preserve"> </w:t>
      </w:r>
      <w:r>
        <w:t xml:space="preserve">“</w:t>
      </w:r>
      <w:r>
        <w:t xml:space="preserve">suspect on its face</w:t>
      </w:r>
      <w:r>
        <w:t xml:space="preserve">”</w:t>
      </w:r>
      <w:r>
        <w:t xml:space="preserve"> </w:t>
      </w:r>
      <w:r>
        <w:t xml:space="preserve">and cannot discharge the trustee’s non-delegable duty of independent valuation; the same decision holds that</w:t>
      </w:r>
      <w:r>
        <w:t xml:space="preserve"> </w:t>
      </w:r>
      <w:r>
        <w:t xml:space="preserve">“</w:t>
      </w:r>
      <w:r>
        <w:t xml:space="preserve">the school land trust is not only imposed on the disposition of proceeds from school trust lands, but also on the use of the land itself,</w:t>
      </w:r>
      <w:r>
        <w:t xml:space="preserve">”</w:t>
      </w:r>
      <w:r>
        <w:t xml:space="preserve"> </w:t>
      </w:r>
      <w:r>
        <w:t xml:space="preserve">so that an exchange or transfer cannot be defended solely by pointing to where the money went.</w:t>
      </w:r>
      <w:r>
        <w:rPr>
          <w:rStyle w:val="FootnoteReference"/>
        </w:rPr>
        <w:footnoteReference w:id="402"/>
      </w:r>
      <w:r>
        <w:t xml:space="preserve"> </w:t>
      </w:r>
      <w:r>
        <w:t xml:space="preserve">Nebraska’s</w:t>
      </w:r>
      <w:r>
        <w:t xml:space="preserve"> </w:t>
      </w:r>
      <w:r>
        <w:rPr>
          <w:i/>
        </w:rPr>
        <w:t xml:space="preserve">Propst</w:t>
      </w:r>
      <w:r>
        <w:t xml:space="preserve"> </w:t>
      </w:r>
      <w:r>
        <w:t xml:space="preserve">supplies the complementary rule of notice: anyone dealing with school lands — a state agency no less than a private buyer —</w:t>
      </w:r>
      <w:r>
        <w:t xml:space="preserve"> </w:t>
      </w:r>
      <w:r>
        <w:t xml:space="preserve">“</w:t>
      </w:r>
      <w:r>
        <w:t xml:space="preserve">must do so with knowledge of and subject to the trust obligation of the state,</w:t>
      </w:r>
      <w:r>
        <w:t xml:space="preserve">”</w:t>
      </w:r>
      <w:r>
        <w:t xml:space="preserve"> </w:t>
      </w:r>
      <w:r>
        <w:t xml:space="preserve">and acquires nothing from a transaction the trust framework voids.</w:t>
      </w:r>
      <w:r>
        <w:rPr>
          <w:rStyle w:val="FootnoteReference"/>
        </w:rPr>
        <w:footnoteReference w:id="403"/>
      </w:r>
    </w:p>
    <w:p>
      <w:pPr>
        <w:pStyle w:val="BodyText"/>
      </w:pPr>
      <w:r>
        <w:t xml:space="preserve">Private trust law would state the principle more bluntly: a trustee’s sale to itself or its affiliate is voidable without inquiry into price.</w:t>
      </w:r>
      <w:r>
        <w:rPr>
          <w:rStyle w:val="FootnoteReference"/>
        </w:rPr>
        <w:footnoteReference w:id="404"/>
      </w:r>
      <w:r>
        <w:t xml:space="preserve"> </w:t>
      </w:r>
      <w:r>
        <w:t xml:space="preserve">The school-trust cases have not needed the per se rule, because the constitutional and instrument safeguards — independent appraisal, market exposure, full value — do the same work when enforced. The practical test the cases support: in any transaction where the state or its agency is the acquirer, ask who selected the appraiser, who defined the appraisal’s assumptions, whether the asset was exposed to any competing bidder, and whether the consideration reached the trust’s books. A transaction that fails all four has no mechanism left by which the trustee could demonstrate full value.</w:t>
      </w:r>
      <w:r>
        <w:rPr>
          <w:rStyle w:val="FootnoteReference"/>
        </w:rPr>
        <w:footnoteReference w:id="405"/>
      </w:r>
    </w:p>
    <w:p>
      <w:pPr>
        <w:pStyle w:val="Heading3"/>
      </w:pPr>
      <w:bookmarkStart w:id="406" w:name="X722d3122a136e36e4f4bc25b29720e694c1f7f5"/>
      <w:r>
        <w:t xml:space="preserve">§ 10.6 Contemporary direct-sale statutes and the live record</w:t>
      </w:r>
      <w:bookmarkEnd w:id="406"/>
    </w:p>
    <w:p>
      <w:pPr>
        <w:pStyle w:val="FirstParagraph"/>
      </w:pPr>
      <w:r>
        <w:rPr>
          <w:i/>
        </w:rPr>
        <w:t xml:space="preserve">This section describes current public controversies from the public record only. None of the transactions described has been adjudicated; characterizations are attributed to their proponents; nothing here states a finding of breach. The Oregon material is connected to litigation pending as this volume is written. [COUNSEL REVIEW]</w:t>
      </w:r>
    </w:p>
    <w:p>
      <w:pPr>
        <w:pStyle w:val="BodyText"/>
      </w:pPr>
      <w:r>
        <w:rPr>
          <w:b/>
        </w:rPr>
        <w:t xml:space="preserve">Utah: the Book Cliffs transaction.</w:t>
      </w:r>
      <w:r>
        <w:t xml:space="preserve"> </w:t>
      </w:r>
      <w:r>
        <w:t xml:space="preserve">Under House Bill 262 (2024), codified at Utah Code § 53C-4-104, with implementing rule R850-80-630, the Utah Trust Lands Administration is authorized to sell contiguous blocks of more than 5,000 acres directly to the Utah Department of Natural Resources without public auction. The proposed transaction covers approximately 50,608 acres in the Book Cliffs region of Grand County, at a $50 million price drawn from a legislatively created restricted account.</w:t>
      </w:r>
      <w:r>
        <w:rPr>
          <w:rStyle w:val="FootnoteReference"/>
        </w:rPr>
        <w:footnoteReference w:id="407"/>
      </w:r>
      <w:r>
        <w:t xml:space="preserve"> </w:t>
      </w:r>
      <w:r>
        <w:t xml:space="preserve">Advocates for School Trust Lands has published a critical analysis contending the structure is self-dealing — the state as trustee, seller, and buyer at once — and an auction bypass; the State’s position has not been articulated in litigation, and as of this writing no challenge has been filed. The episode is doctrinally notable wherever it ends: it arises</w:t>
      </w:r>
      <w:r>
        <w:t xml:space="preserve"> </w:t>
      </w:r>
      <w:r>
        <w:rPr>
          <w:i/>
        </w:rPr>
        <w:t xml:space="preserve">within</w:t>
      </w:r>
      <w:r>
        <w:t xml:space="preserve"> </w:t>
      </w:r>
      <w:r>
        <w:t xml:space="preserve">the nation’s most-admired reformed trust architecture (Chapter 19), illustrating that structural reform does not by itself retire the intra-governmental temptation.</w:t>
      </w:r>
    </w:p>
    <w:p>
      <w:pPr>
        <w:pStyle w:val="BodyText"/>
      </w:pPr>
      <w:r>
        <w:rPr>
          <w:b/>
        </w:rPr>
        <w:t xml:space="preserve">Oregon: the State Land Board record, 2017–2026.</w:t>
      </w:r>
      <w:r>
        <w:t xml:space="preserve"> </w:t>
      </w:r>
      <w:r>
        <w:t xml:space="preserve">A series of Oregon dispositions, each documented in the State Land Board’s own public meeting materials, presents the questions this chapter has framed. They are described here from those records. [COUNSEL REVIEW — connected to</w:t>
      </w:r>
      <w:r>
        <w:t xml:space="preserve"> </w:t>
      </w:r>
      <w:r>
        <w:rPr>
          <w:i/>
        </w:rPr>
        <w:t xml:space="preserve">Siuslaw School District 97J v. State of Oregon</w:t>
      </w:r>
      <w:r>
        <w:t xml:space="preserve">, No. 24CV38372 (Coos County Circuit Court, pending); public-record facts only.]</w:t>
      </w:r>
    </w:p>
    <w:p>
      <w:pPr>
        <w:numPr>
          <w:ilvl w:val="0"/>
          <w:numId w:val="1009"/>
        </w:numPr>
        <w:pStyle w:val="Compact"/>
      </w:pPr>
      <w:r>
        <w:rPr>
          <w:b/>
        </w:rPr>
        <w:t xml:space="preserve">The Elliott State Forest</w:t>
      </w:r>
      <w:r>
        <w:rPr>
          <w:b/>
        </w:rPr>
        <w:t xml:space="preserve"> </w:t>
      </w:r>
      <w:r>
        <w:rPr>
          <w:b/>
        </w:rPr>
        <w:t xml:space="preserve">“</w:t>
      </w:r>
      <w:r>
        <w:rPr>
          <w:b/>
        </w:rPr>
        <w:t xml:space="preserve">decoupling</w:t>
      </w:r>
      <w:r>
        <w:rPr>
          <w:b/>
        </w:rPr>
        <w:t xml:space="preserve">”</w:t>
      </w:r>
      <w:r>
        <w:rPr>
          <w:b/>
        </w:rPr>
        <w:t xml:space="preserve"> </w:t>
      </w:r>
      <w:r>
        <w:rPr>
          <w:b/>
        </w:rPr>
        <w:t xml:space="preserve">(2017–2022).</w:t>
      </w:r>
      <w:r>
        <w:t xml:space="preserve"> </w:t>
      </w:r>
      <w:r>
        <w:t xml:space="preserve">The State separated the Elliott State Forest [VERIFY acreage against the decoupling packet before stating] from the Common School Fund through a two-stage transaction: $100 million in 2017 certificates of participation and a further $121 million approved in 2022, a total of $221 million paid to the Fund [VERIFY the payment figures against the L0 litigation record], against a 2016 appraisal of $220.8 million [VERIFY against the 2016 appraisal as carried in the L0 litigation record] and 2022 valuation figures of $99.6 million (</w:t>
      </w:r>
      <w:r>
        <w:t xml:space="preserve">“</w:t>
      </w:r>
      <w:r>
        <w:t xml:space="preserve">investment value</w:t>
      </w:r>
      <w:r>
        <w:t xml:space="preserve">”</w:t>
      </w:r>
      <w:r>
        <w:t xml:space="preserve">) and $180 million carried in the Board’s decoupling materials [VERIFY the 2022 figures against the December 2022 decoupling packet]. The forest was not offered competitively. Plaintiffs in the pending litigation contend the valuations understated market value and that the transaction was a directed transfer rather than a market disposition; the State treats the decoupling as a lawful, compensated transaction approved by the Board. The dispute is unadjudicated. [COUNSEL REVIEW]</w:t>
      </w:r>
      <w:r>
        <w:rPr>
          <w:rStyle w:val="FootnoteReference"/>
        </w:rPr>
        <w:footnoteReference w:id="408"/>
      </w:r>
    </w:p>
    <w:p>
      <w:pPr>
        <w:numPr>
          <w:ilvl w:val="0"/>
          <w:numId w:val="1009"/>
        </w:numPr>
        <w:pStyle w:val="Compact"/>
      </w:pPr>
      <w:r>
        <w:rPr>
          <w:b/>
        </w:rPr>
        <w:t xml:space="preserve">The 1000 Road parcel (2024–2026).</w:t>
      </w:r>
      <w:r>
        <w:t xml:space="preserve"> </w:t>
      </w:r>
      <w:r>
        <w:t xml:space="preserve">The Department of State Lands informed the Board in June 2024 that a road parcel omitted from the decoupling’s legal description required no additional compensation because, per the Department’s report in the June 11, 2024 meeting materials, the appraisals were believed to have assumed the parcel’s existence. In its June 9, 2026 meeting materials the Department reported</w:t>
      </w:r>
      <w:r>
        <w:t xml:space="preserve"> </w:t>
      </w:r>
      <w:r>
        <w:t xml:space="preserve">“</w:t>
      </w:r>
      <w:r>
        <w:t xml:space="preserve">the 1000 Road Parcel was not only omitted from the State Land Board’s decoupling vote, but it was also omitted from consideration in the appraisals,</w:t>
      </w:r>
      <w:r>
        <w:t xml:space="preserve">”</w:t>
      </w:r>
      <w:r>
        <w:t xml:space="preserve"> </w:t>
      </w:r>
      <w:r>
        <w:t xml:space="preserve">and described an interim make-good payment</w:t>
      </w:r>
      <w:r>
        <w:t xml:space="preserve"> </w:t>
      </w:r>
      <w:r>
        <w:t xml:space="preserve">“</w:t>
      </w:r>
      <w:r>
        <w:t xml:space="preserve">based on the average price per acre established in the prior appraisals, plus interest,</w:t>
      </w:r>
      <w:r>
        <w:t xml:space="preserve">”</w:t>
      </w:r>
      <w:r>
        <w:t xml:space="preserve"> </w:t>
      </w:r>
      <w:r>
        <w:t xml:space="preserve">from appropriations</w:t>
      </w:r>
      <w:r>
        <w:t xml:space="preserve"> </w:t>
      </w:r>
      <w:r>
        <w:t xml:space="preserve">“</w:t>
      </w:r>
      <w:r>
        <w:t xml:space="preserve">separate from funds constitutionally obligated to the Common School Fund.</w:t>
      </w:r>
      <w:r>
        <w:t xml:space="preserve">”</w:t>
      </w:r>
      <w:r>
        <w:rPr>
          <w:rStyle w:val="FootnoteReference"/>
        </w:rPr>
        <w:footnoteReference w:id="409"/>
      </w:r>
      <w:r>
        <w:t xml:space="preserve"> </w:t>
      </w:r>
      <w:r>
        <w:t xml:space="preserve">The episode poses the valuation-baseline question in miniature: a cure priced from the same appraisals whose adequacy is contested in the pending litigation. [COUNSEL REVIEW]</w:t>
      </w:r>
    </w:p>
    <w:p>
      <w:pPr>
        <w:numPr>
          <w:ilvl w:val="0"/>
          <w:numId w:val="1009"/>
        </w:numPr>
        <w:pStyle w:val="Compact"/>
      </w:pPr>
      <w:r>
        <w:rPr>
          <w:b/>
        </w:rPr>
        <w:t xml:space="preserve">The Winchester parcel (2023–2026).</w:t>
      </w:r>
      <w:r>
        <w:t xml:space="preserve"> </w:t>
      </w:r>
      <w:r>
        <w:t xml:space="preserve">An 80-acre Common School Fund forestland parcel in Coos County was approved for sale to the South Slough National Estuarine Research Reserve for $780,000 without public auction. The governing appraisal (reported in Board materials as Marineau &amp; Associates report BC-1424, $745,000, re-issued 2025 as BC-1440-R1, $780,000) named the prospective acquirers as its clients, with the Department of State Lands added as co-client only on re-issue; the re-issued report relied on the original June 2023 timber cruise</w:t>
      </w:r>
      <w:r>
        <w:t xml:space="preserve"> </w:t>
      </w:r>
      <w:r>
        <w:t xml:space="preserve">“</w:t>
      </w:r>
      <w:r>
        <w:t xml:space="preserve">hypothetically assumed unchanged</w:t>
      </w:r>
      <w:r>
        <w:t xml:space="preserve">”</w:t>
      </w:r>
      <w:r>
        <w:t xml:space="preserve"> </w:t>
      </w:r>
      <w:r>
        <w:t xml:space="preserve">[VERIFY the sale price, report numbers and dollar amounts, client designations, and quoted assumption against the December 2023 and June 9, 2026 Board packets].</w:t>
      </w:r>
      <w:r>
        <w:rPr>
          <w:rStyle w:val="FootnoteReference"/>
        </w:rPr>
        <w:footnoteReference w:id="410"/>
      </w:r>
      <w:r>
        <w:t xml:space="preserve"> </w:t>
      </w:r>
      <w:r>
        <w:t xml:space="preserve">Under the</w:t>
      </w:r>
      <w:r>
        <w:t xml:space="preserve"> </w:t>
      </w:r>
      <w:r>
        <w:rPr>
          <w:i/>
        </w:rPr>
        <w:t xml:space="preserve">NPCA</w:t>
      </w:r>
      <w:r>
        <w:t xml:space="preserve"> </w:t>
      </w:r>
      <w:r>
        <w:t xml:space="preserve">rule, an acquirer-procured appraisal is</w:t>
      </w:r>
      <w:r>
        <w:t xml:space="preserve"> </w:t>
      </w:r>
      <w:r>
        <w:t xml:space="preserve">“</w:t>
      </w:r>
      <w:r>
        <w:t xml:space="preserve">suspect on its face</w:t>
      </w:r>
      <w:r>
        <w:t xml:space="preserve">”</w:t>
      </w:r>
      <w:r>
        <w:t xml:space="preserve">;</w:t>
      </w:r>
      <w:r>
        <w:rPr>
          <w:rStyle w:val="FootnoteReference"/>
        </w:rPr>
        <w:footnoteReference w:id="411"/>
      </w:r>
      <w:r>
        <w:t xml:space="preserve"> </w:t>
      </w:r>
      <w:r>
        <w:t xml:space="preserve">whether Oregon law imposes the same rule is untested. [COUNSEL REVIEW]</w:t>
      </w:r>
    </w:p>
    <w:p>
      <w:pPr>
        <w:numPr>
          <w:ilvl w:val="0"/>
          <w:numId w:val="1009"/>
        </w:numPr>
        <w:pStyle w:val="Compact"/>
      </w:pPr>
      <w:r>
        <w:rPr>
          <w:b/>
        </w:rPr>
        <w:t xml:space="preserve">Hayden Island (date per Board materials [VERIFY]).</w:t>
      </w:r>
      <w:r>
        <w:t xml:space="preserve"> </w:t>
      </w:r>
      <w:r>
        <w:t xml:space="preserve">Approximately 65 acres of filled land were conveyed to the Oregon Department of Transportation for $1,300,000 on an appraisal ordered by ODOT — the acquiring agency — with the Department of State Lands performing review only [VERIFY the transaction date, price, and appraisal details against the Board packet]. The parcel is historically filled, formerly submerged land, a different asset class from the 1859 school-grant sections; it is cited for the method, not as a school-grant disposition. [COUNSEL REVIEW]</w:t>
      </w:r>
    </w:p>
    <w:p>
      <w:pPr>
        <w:pStyle w:val="FirstParagraph"/>
      </w:pPr>
      <w:r>
        <w:t xml:space="preserve">Stated doctrinally and without prejudgment: each transaction presents some combination of the questions §§ 10.2–10.5 frame — whether full value was paid when the sovereign acquired from itself (</w:t>
      </w:r>
      <w:r>
        <w:rPr>
          <w:i/>
        </w:rPr>
        <w:t xml:space="preserve">Lassen</w:t>
      </w:r>
      <w:r>
        <w:t xml:space="preserve">,</w:t>
      </w:r>
      <w:r>
        <w:t xml:space="preserve"> </w:t>
      </w:r>
      <w:r>
        <w:rPr>
          <w:i/>
        </w:rPr>
        <w:t xml:space="preserve">Kanaly</w:t>
      </w:r>
      <w:r>
        <w:t xml:space="preserve">,</w:t>
      </w:r>
      <w:r>
        <w:t xml:space="preserve"> </w:t>
      </w:r>
      <w:r>
        <w:rPr>
          <w:i/>
        </w:rPr>
        <w:t xml:space="preserve">Walker</w:t>
      </w:r>
      <w:r>
        <w:t xml:space="preserve">); whether a valuation procured or bounded by the acquiring side can discharge the trustee’s independent-valuation duty (</w:t>
      </w:r>
      <w:r>
        <w:rPr>
          <w:i/>
        </w:rPr>
        <w:t xml:space="preserve">NPCA</w:t>
      </w:r>
      <w:r>
        <w:t xml:space="preserve">); and whether a non-competitive disposition conformed to the applicable procedural framework (</w:t>
      </w:r>
      <w:r>
        <w:rPr>
          <w:i/>
        </w:rPr>
        <w:t xml:space="preserve">Lyons</w:t>
      </w:r>
      <w:r>
        <w:t xml:space="preserve">,</w:t>
      </w:r>
      <w:r>
        <w:t xml:space="preserve"> </w:t>
      </w:r>
      <w:r>
        <w:rPr>
          <w:i/>
        </w:rPr>
        <w:t xml:space="preserve">ASARCO</w:t>
      </w:r>
      <w:r>
        <w:t xml:space="preserve">, and, in Oregon, the Board’s own disposition procedures [VERIFY the citation for the Department’s public-auction default before use]). How the doctrine answers on these facts is for the pending proceedings and is not forecast here. [COUNSEL REVIEW]</w:t>
      </w:r>
    </w:p>
    <w:p>
      <w:pPr>
        <w:pStyle w:val="Heading3"/>
      </w:pPr>
      <w:bookmarkStart w:id="412" w:name="the-defense-position-at-full-strength-1"/>
      <w:r>
        <w:t xml:space="preserve">§ 10.7 The defense position at full strength</w:t>
      </w:r>
      <w:bookmarkEnd w:id="412"/>
    </w:p>
    <w:p>
      <w:pPr>
        <w:pStyle w:val="FirstParagraph"/>
      </w:pPr>
      <w:r>
        <w:t xml:space="preserve">The state side of intra-governmental disposition has respectable arguments, and the practitioner should meet them rather than the strawman.</w:t>
      </w:r>
    </w:p>
    <w:p>
      <w:pPr>
        <w:pStyle w:val="BodyText"/>
      </w:pPr>
      <w:r>
        <w:rPr>
          <w:b/>
        </w:rPr>
        <w:t xml:space="preserve">(1) Compensation cures.</w:t>
      </w:r>
      <w:r>
        <w:t xml:space="preserve"> </w:t>
      </w:r>
      <w:r>
        <w:rPr>
          <w:i/>
        </w:rPr>
        <w:t xml:space="preserve">Lassen</w:t>
      </w:r>
      <w:r>
        <w:t xml:space="preserve"> </w:t>
      </w:r>
      <w:r>
        <w:t xml:space="preserve">itself permits the taking; it polices the price. A state that pays appraised value into the trust has complied with the leading case’s express command, and nothing in</w:t>
      </w:r>
      <w:r>
        <w:t xml:space="preserve"> </w:t>
      </w:r>
      <w:r>
        <w:rPr>
          <w:i/>
        </w:rPr>
        <w:t xml:space="preserve">Lassen</w:t>
      </w:r>
      <w:r>
        <w:t xml:space="preserve"> </w:t>
      </w:r>
      <w:r>
        <w:t xml:space="preserve">requires an auction between government agencies. The reply runs through § 9.3 and</w:t>
      </w:r>
      <w:r>
        <w:t xml:space="preserve"> </w:t>
      </w:r>
      <w:r>
        <w:rPr>
          <w:i/>
        </w:rPr>
        <w:t xml:space="preserve">Deer Valley</w:t>
      </w:r>
      <w:r>
        <w:t xml:space="preserve"> </w:t>
      </w:r>
      <w:r>
        <w:t xml:space="preserve">— appraisal is a floor and the auction discovers the premium — but in compensation-rule states a paid-at-appraisal internal transfer is defensible on the federal authority alone.</w:t>
      </w:r>
    </w:p>
    <w:p>
      <w:pPr>
        <w:pStyle w:val="BodyText"/>
      </w:pPr>
      <w:r>
        <w:rPr>
          <w:b/>
        </w:rPr>
        <w:t xml:space="preserve">(2) Consolidated administration is rational government.</w:t>
      </w:r>
      <w:r>
        <w:t xml:space="preserve"> </w:t>
      </w:r>
      <w:r>
        <w:t xml:space="preserve">Direct-sale and transfer statutes let the state assemble conservation areas, highway corridors, and research forests without bidding against itself or holding hostage negotiations between agencies.</w:t>
      </w:r>
      <w:r>
        <w:t xml:space="preserve"> </w:t>
      </w:r>
      <w:r>
        <w:rPr>
          <w:i/>
        </w:rPr>
        <w:t xml:space="preserve">Cascadia Wildlands</w:t>
      </w:r>
      <w:r>
        <w:t xml:space="preserve"> </w:t>
      </w:r>
      <w:r>
        <w:t xml:space="preserve">and</w:t>
      </w:r>
      <w:r>
        <w:t xml:space="preserve"> </w:t>
      </w:r>
      <w:r>
        <w:rPr>
          <w:i/>
        </w:rPr>
        <w:t xml:space="preserve">Johnson</w:t>
      </w:r>
      <w:r>
        <w:t xml:space="preserve"> </w:t>
      </w:r>
      <w:r>
        <w:t xml:space="preserve">recognize genuine legislative design authority over disposition policy (§ 9.7);</w:t>
      </w:r>
      <w:r>
        <w:t xml:space="preserve"> </w:t>
      </w:r>
      <w:r>
        <w:rPr>
          <w:i/>
        </w:rPr>
        <w:t xml:space="preserve">Branson</w:t>
      </w:r>
      <w:r>
        <w:t xml:space="preserve"> </w:t>
      </w:r>
      <w:r>
        <w:t xml:space="preserve">sustained structural reform against compact challenge;</w:t>
      </w:r>
      <w:r>
        <w:t xml:space="preserve"> </w:t>
      </w:r>
      <w:r>
        <w:rPr>
          <w:i/>
        </w:rPr>
        <w:t xml:space="preserve">Darkenwald</w:t>
      </w:r>
      <w:r>
        <w:t xml:space="preserve"> </w:t>
      </w:r>
      <w:r>
        <w:t xml:space="preserve">sustained a revenue-management statute over a vigorous dissent.</w:t>
      </w:r>
      <w:r>
        <w:rPr>
          <w:rStyle w:val="FootnoteReference"/>
        </w:rPr>
        <w:footnoteReference w:id="413"/>
      </w:r>
      <w:r>
        <w:t xml:space="preserve"> </w:t>
      </w:r>
      <w:r>
        <w:t xml:space="preserve">On this view the courts’ role is to police actual value loss, not to constitutionalize a single disposition method.</w:t>
      </w:r>
    </w:p>
    <w:p>
      <w:pPr>
        <w:pStyle w:val="BodyText"/>
      </w:pPr>
      <w:r>
        <w:rPr>
          <w:b/>
        </w:rPr>
        <w:t xml:space="preserve">(3) Public purposes are not foreign purposes.</w:t>
      </w:r>
      <w:r>
        <w:t xml:space="preserve"> </w:t>
      </w:r>
      <w:r>
        <w:t xml:space="preserve">Where the acquiring use is itself public-spirited — a park, an estuarine reserve, an early-learning program — the state will argue the trust’s purpose is served in substance. This is the argument</w:t>
      </w:r>
      <w:r>
        <w:t xml:space="preserve"> </w:t>
      </w:r>
      <w:r>
        <w:rPr>
          <w:i/>
        </w:rPr>
        <w:t xml:space="preserve">Ervien</w:t>
      </w:r>
      <w:r>
        <w:t xml:space="preserve"> </w:t>
      </w:r>
      <w:r>
        <w:t xml:space="preserve">and</w:t>
      </w:r>
      <w:r>
        <w:t xml:space="preserve"> </w:t>
      </w:r>
      <w:r>
        <w:rPr>
          <w:i/>
        </w:rPr>
        <w:t xml:space="preserve">University of Alaska</w:t>
      </w:r>
      <w:r>
        <w:t xml:space="preserve"> </w:t>
      </w:r>
      <w:r>
        <w:t xml:space="preserve">squarely rejected (benefit to the beneficiaries, not benefit generally), and</w:t>
      </w:r>
      <w:r>
        <w:t xml:space="preserve"> </w:t>
      </w:r>
      <w:r>
        <w:rPr>
          <w:i/>
        </w:rPr>
        <w:t xml:space="preserve">Skamania</w:t>
      </w:r>
      <w:r>
        <w:t xml:space="preserve"> </w:t>
      </w:r>
      <w:r>
        <w:t xml:space="preserve">forecloses its</w:t>
      </w:r>
      <w:r>
        <w:t xml:space="preserve"> </w:t>
      </w:r>
      <w:r>
        <w:t xml:space="preserve">“</w:t>
      </w:r>
      <w:r>
        <w:t xml:space="preserve">laudable objectives</w:t>
      </w:r>
      <w:r>
        <w:t xml:space="preserve">”</w:t>
      </w:r>
      <w:r>
        <w:t xml:space="preserve"> </w:t>
      </w:r>
      <w:r>
        <w:t xml:space="preserve">variant; but it remains the intuition every such transaction is built on, and counsel should expect it in every brief.</w:t>
      </w:r>
      <w:r>
        <w:rPr>
          <w:rStyle w:val="FootnoteReference"/>
        </w:rPr>
        <w:footnoteReference w:id="414"/>
      </w:r>
    </w:p>
    <w:p>
      <w:pPr>
        <w:pStyle w:val="BodyText"/>
      </w:pPr>
      <w:r>
        <w:t xml:space="preserve">What no case in the verified corpus sustains is the combination: an internal acquisition, valued by the acquiring side, with no market exposure, at a price the trust’s records cannot reconcile. The defenses above each concede at least one safeguard; the live disputes test how many safeguards may be dispensed with at once.</w:t>
      </w:r>
    </w:p>
    <w:p>
      <w:pPr>
        <w:pStyle w:val="Heading3"/>
      </w:pPr>
      <w:bookmarkStart w:id="415" w:name="synthesis-7"/>
      <w:r>
        <w:t xml:space="preserve">§ 10.8 Synthesis</w:t>
      </w:r>
      <w:bookmarkEnd w:id="415"/>
    </w:p>
    <w:p>
      <w:pPr>
        <w:numPr>
          <w:ilvl w:val="0"/>
          <w:numId w:val="1010"/>
        </w:numPr>
        <w:pStyle w:val="Compact"/>
      </w:pPr>
      <w:r>
        <w:rPr>
          <w:b/>
        </w:rPr>
        <w:t xml:space="preserve">An intra-governmental acquisition is a disposition.</w:t>
      </w:r>
      <w:r>
        <w:t xml:space="preserve"> </w:t>
      </w:r>
      <w:r>
        <w:t xml:space="preserve">The trust must be compensated at full value however the transfer is denominated, and the federal rule applies of its own force.</w:t>
      </w:r>
      <w:r>
        <w:rPr>
          <w:rStyle w:val="FootnoteReference"/>
        </w:rPr>
        <w:footnoteReference w:id="416"/>
      </w:r>
    </w:p>
    <w:p>
      <w:pPr>
        <w:numPr>
          <w:ilvl w:val="0"/>
          <w:numId w:val="1010"/>
        </w:numPr>
        <w:pStyle w:val="Compact"/>
      </w:pPr>
      <w:r>
        <w:rPr>
          <w:b/>
        </w:rPr>
        <w:t xml:space="preserve">The compensation must be real</w:t>
      </w:r>
      <w:r>
        <w:t xml:space="preserve">: measured by independent valuation, paid to the trust’s account, and not netted against asserted general-public benefits.</w:t>
      </w:r>
    </w:p>
    <w:p>
      <w:pPr>
        <w:numPr>
          <w:ilvl w:val="0"/>
          <w:numId w:val="1010"/>
        </w:numPr>
        <w:pStyle w:val="Compact"/>
      </w:pPr>
      <w:r>
        <w:rPr>
          <w:b/>
        </w:rPr>
        <w:t xml:space="preserve">The acquiring side may not control the valuation.</w:t>
      </w:r>
      <w:r>
        <w:t xml:space="preserve"> </w:t>
      </w:r>
      <w:r>
        <w:t xml:space="preserve">A buyer-procured appraisal is suspect on its face; the trustee’s valuation duty is non-delegable.</w:t>
      </w:r>
    </w:p>
    <w:p>
      <w:pPr>
        <w:numPr>
          <w:ilvl w:val="0"/>
          <w:numId w:val="1010"/>
        </w:numPr>
        <w:pStyle w:val="Compact"/>
      </w:pPr>
      <w:r>
        <w:rPr>
          <w:b/>
        </w:rPr>
        <w:t xml:space="preserve">In the strict-instrument states the answer is structural</w:t>
      </w:r>
      <w:r>
        <w:t xml:space="preserve">: the state cannot condemn what it holds in trust at all.</w:t>
      </w:r>
    </w:p>
    <w:p>
      <w:pPr>
        <w:numPr>
          <w:ilvl w:val="0"/>
          <w:numId w:val="1010"/>
        </w:numPr>
        <w:pStyle w:val="Compact"/>
      </w:pPr>
      <w:r>
        <w:rPr>
          <w:b/>
        </w:rPr>
        <w:t xml:space="preserve">Modern direct-sale-to-agency statutes are the field’s live frontier</w:t>
      </w:r>
      <w:r>
        <w:t xml:space="preserve"> </w:t>
      </w:r>
      <w:r>
        <w:t xml:space="preserve">— contested in Utah, litigated in adjacent form in Oregon, and unadjudicated. The chapter should be updated when the pending matters resolve [VERIFY status of No. 24CV38372 and of the Book Cliffs transaction before publication].</w:t>
      </w:r>
    </w:p>
    <w:p>
      <w:r>
        <w:pict>
          <v:rect style="width:0;height:1.5pt" o:hralign="center" o:hrstd="t" o:hr="t"/>
        </w:pict>
      </w:r>
    </w:p>
    <w:p>
      <w:pPr>
        <w:pStyle w:val="FirstParagraph"/>
      </w:pPr>
      <w:r>
        <w:rPr>
          <w:i/>
        </w:rPr>
        <w:t xml:space="preserve">End of Chapter 10 v1. Verification queue: the Elliott payment, appraisal, and 2022 valuation figures (route to the L0 litigation record for pinning); Winchester sale price and appraisal report details; Hayden Island transaction date, price, and appraisal details; the Department’s public-auction-default procedure citation; the Book Cliffs vote outcome and transaction status; treatise pin cites for the no-further-inquiry rule. Resolved 2026-06-07: the NPCA 1993/2010 citation question (the 1993 decision, 869 P.2d 909, is the appraisal-duty case quoted herein, pins at 920 and 922; 2010 UT 13 is the later affirmance of the redone exchange and must not be substituted); the second Kanaly opinion (401 N.W.2d 551 (S.D. 1987); the 397 N.W.2d 374 citation was erroneous). All § 10.6 characterizations to counsel before any public use. [COUNSEL REVIEW]</w:t>
      </w:r>
    </w:p>
    <w:p>
      <w:r>
        <w:br w:type="page"/>
      </w:r>
    </w:p>
    <w:p>
      <w:pPr>
        <w:pStyle w:val="Heading1"/>
      </w:pPr>
      <w:bookmarkStart w:id="417" w:name="X19e86559279dd17dad258db0e53397007c911ac"/>
      <w:r>
        <w:t xml:space="preserve">Chapter 11 — Leasing, Preference Rights, and Below-Market Renewals (v1)</w:t>
      </w:r>
      <w:bookmarkEnd w:id="417"/>
    </w:p>
    <w:p>
      <w:pPr>
        <w:pStyle w:val="FirstParagraph"/>
      </w:pPr>
      <w:r>
        <w:rPr>
          <w:i/>
        </w:rPr>
        <w:t xml:space="preserve">Status: v1 (formerly Chapter 10 in the v0 numbering). Renumbered to the consolidated twenty-chapter scheme; numeric footnotes converted to named keys per the project citation standard; [VERIFY] flags mark items awaiting primary-source confirmation under quality gate G3.</w:t>
      </w:r>
    </w:p>
    <w:p>
      <w:r>
        <w:pict>
          <v:rect style="width:0;height:1.5pt" o:hralign="center" o:hrstd="t" o:hr="t"/>
        </w:pict>
      </w:r>
    </w:p>
    <w:p>
      <w:pPr>
        <w:pStyle w:val="Heading3"/>
      </w:pPr>
      <w:bookmarkStart w:id="418" w:name="leasing-as-disposition-of-use"/>
      <w:r>
        <w:t xml:space="preserve">§ 11.1 Leasing as disposition of use</w:t>
      </w:r>
      <w:bookmarkEnd w:id="418"/>
    </w:p>
    <w:p>
      <w:pPr>
        <w:pStyle w:val="FirstParagraph"/>
      </w:pPr>
      <w:r>
        <w:t xml:space="preserve">Most trust land is never sold; it is leased — for grazing, farming, timber, minerals, and increasingly for commercial development. The doctrinal starting point is that a lease alienates the</w:t>
      </w:r>
      <w:r>
        <w:t xml:space="preserve"> </w:t>
      </w:r>
      <w:r>
        <w:rPr>
          <w:i/>
        </w:rPr>
        <w:t xml:space="preserve">use</w:t>
      </w:r>
      <w:r>
        <w:t xml:space="preserve"> </w:t>
      </w:r>
      <w:r>
        <w:t xml:space="preserve">of trust property, and the disposition rules of Chapter 9 attach to the use as fully as to the fee. Nebraska’s</w:t>
      </w:r>
      <w:r>
        <w:t xml:space="preserve"> </w:t>
      </w:r>
      <w:r>
        <w:rPr>
          <w:i/>
        </w:rPr>
        <w:t xml:space="preserve">Platte Valley</w:t>
      </w:r>
      <w:r>
        <w:t xml:space="preserve"> </w:t>
      </w:r>
      <w:r>
        <w:t xml:space="preserve">stated the foundation: the state holds the school lands</w:t>
      </w:r>
      <w:r>
        <w:t xml:space="preserve"> </w:t>
      </w:r>
      <w:r>
        <w:t xml:space="preserve">“</w:t>
      </w:r>
      <w:r>
        <w:t xml:space="preserve">under a contractual and constitutional obligation to refrain from disposition or alienation of the use of this property, except as allowed by the Enabling Act and the Constitution,</w:t>
      </w:r>
      <w:r>
        <w:t xml:space="preserve">”</w:t>
      </w:r>
      <w:r>
        <w:t xml:space="preserve"> </w:t>
      </w:r>
      <w:r>
        <w:t xml:space="preserve">and legislative direction over leasing terms is</w:t>
      </w:r>
      <w:r>
        <w:t xml:space="preserve"> </w:t>
      </w:r>
      <w:r>
        <w:t xml:space="preserve">“</w:t>
      </w:r>
      <w:r>
        <w:t xml:space="preserve">subject to and limited by the obligation to preserve the trust property inviolate.</w:t>
      </w:r>
      <w:r>
        <w:t xml:space="preserve">”</w:t>
      </w:r>
      <w:r>
        <w:rPr>
          <w:rStyle w:val="FootnoteReference"/>
        </w:rPr>
        <w:footnoteReference w:id="419"/>
      </w:r>
      <w:r>
        <w:rPr>
          <w:rStyle w:val="FootnoteReference"/>
        </w:rPr>
        <w:footnoteReference w:id="420"/>
      </w:r>
    </w:p>
    <w:p>
      <w:pPr>
        <w:pStyle w:val="BodyText"/>
      </w:pPr>
      <w:r>
        <w:t xml:space="preserve">Leasing generates the field’s most persistent political pressure, because lessees are organized, present, and voting, while the beneficiaries are diffuse and partly unborn (Chapter 8). The pressure surfaces in three recurring statutory forms, each tested in the cases this chapter collects: the</w:t>
      </w:r>
      <w:r>
        <w:t xml:space="preserve"> </w:t>
      </w:r>
      <w:r>
        <w:rPr>
          <w:i/>
        </w:rPr>
        <w:t xml:space="preserve">preference right</w:t>
      </w:r>
      <w:r>
        <w:t xml:space="preserve">, giving the existing lessee priority over competing applicants; the</w:t>
      </w:r>
      <w:r>
        <w:t xml:space="preserve"> </w:t>
      </w:r>
      <w:r>
        <w:rPr>
          <w:i/>
        </w:rPr>
        <w:t xml:space="preserve">automatic or formula renewal</w:t>
      </w:r>
      <w:r>
        <w:t xml:space="preserve">, extending the lease at an administered rather than competitive rate; and the</w:t>
      </w:r>
      <w:r>
        <w:t xml:space="preserve"> </w:t>
      </w:r>
      <w:r>
        <w:rPr>
          <w:i/>
        </w:rPr>
        <w:t xml:space="preserve">rate cap or waiver</w:t>
      </w:r>
      <w:r>
        <w:t xml:space="preserve">, holding rents and royalties below what the market or the lease itself would yield.</w:t>
      </w:r>
    </w:p>
    <w:p>
      <w:pPr>
        <w:pStyle w:val="Heading3"/>
      </w:pPr>
      <w:bookmarkStart w:id="421" w:name="the-lessee-preference-cases"/>
      <w:r>
        <w:t xml:space="preserve">§ 11.2 The lessee-preference cases</w:t>
      </w:r>
      <w:bookmarkEnd w:id="421"/>
    </w:p>
    <w:p>
      <w:pPr>
        <w:pStyle w:val="FirstParagraph"/>
      </w:pPr>
      <w:r>
        <w:rPr>
          <w:b/>
        </w:rPr>
        <w:t xml:space="preserve">Nebraska: the</w:t>
      </w:r>
      <w:r>
        <w:rPr>
          <w:b/>
        </w:rPr>
        <w:t xml:space="preserve"> </w:t>
      </w:r>
      <w:r>
        <w:rPr>
          <w:i/>
          <w:b/>
        </w:rPr>
        <w:t xml:space="preserve">Ebke</w:t>
      </w:r>
      <w:r>
        <w:rPr>
          <w:b/>
        </w:rPr>
        <w:t xml:space="preserve"> </w:t>
      </w:r>
      <w:r>
        <w:rPr>
          <w:b/>
        </w:rPr>
        <w:t xml:space="preserve">sequence.</w:t>
      </w:r>
      <w:r>
        <w:t xml:space="preserve"> </w:t>
      </w:r>
      <w:r>
        <w:t xml:space="preserve">The canonical episode. Nebraska’s 1947 statute abandoned public bidding in favor of lease renewals to existing holders at arbitrary valuations substantially below fair market value. In</w:t>
      </w:r>
      <w:r>
        <w:t xml:space="preserve"> </w:t>
      </w:r>
      <w:r>
        <w:rPr>
          <w:i/>
        </w:rPr>
        <w:t xml:space="preserve">State ex rel. Ebke v. Board of Educational Lands &amp; Funds</w:t>
      </w:r>
      <w:r>
        <w:t xml:space="preserve"> </w:t>
      </w:r>
      <w:r>
        <w:t xml:space="preserve">the Nebraska Supreme Court struck the statute, in the opinion that built the constitutional-incorporation rule (§ 4.3): when the constitution fixes the state’s status as trustee,</w:t>
      </w:r>
      <w:r>
        <w:t xml:space="preserve"> </w:t>
      </w:r>
      <w:r>
        <w:t xml:space="preserve">“</w:t>
      </w:r>
      <w:r>
        <w:t xml:space="preserve">a violation of its duty as a trustee is a violation of the Constitution itself,</w:t>
      </w:r>
      <w:r>
        <w:t xml:space="preserve">”</w:t>
      </w:r>
      <w:r>
        <w:t xml:space="preserve"> </w:t>
      </w:r>
      <w:r>
        <w:t xml:space="preserve">and the breach</w:t>
      </w:r>
      <w:r>
        <w:t xml:space="preserve"> </w:t>
      </w:r>
      <w:r>
        <w:t xml:space="preserve">“</w:t>
      </w:r>
      <w:r>
        <w:t xml:space="preserve">has the effect of invalidating the legislation authorizing the breach.</w:t>
      </w:r>
      <w:r>
        <w:t xml:space="preserve">”</w:t>
      </w:r>
      <w:r>
        <w:rPr>
          <w:rStyle w:val="FootnoteReference"/>
        </w:rPr>
        <w:footnoteReference w:id="422"/>
      </w:r>
      <w:r>
        <w:t xml:space="preserve"> </w:t>
      </w:r>
      <w:r>
        <w:t xml:space="preserve">When the Board then treated the invalidated renewal leases as void and re-auctioned the sections, the renewal holders sued;</w:t>
      </w:r>
      <w:r>
        <w:t xml:space="preserve"> </w:t>
      </w:r>
      <w:r>
        <w:rPr>
          <w:i/>
        </w:rPr>
        <w:t xml:space="preserve">Propst</w:t>
      </w:r>
      <w:r>
        <w:t xml:space="preserve"> </w:t>
      </w:r>
      <w:r>
        <w:t xml:space="preserve">affirmed denial of relief — the 1947 statute, being</w:t>
      </w:r>
      <w:r>
        <w:t xml:space="preserve"> </w:t>
      </w:r>
      <w:r>
        <w:t xml:space="preserve">“</w:t>
      </w:r>
      <w:r>
        <w:t xml:space="preserve">a nullity … void from its enactment,</w:t>
      </w:r>
      <w:r>
        <w:t xml:space="preserve">”</w:t>
      </w:r>
      <w:r>
        <w:t xml:space="preserve"> </w:t>
      </w:r>
      <w:r>
        <w:t xml:space="preserve">had created no lease interests at all, and</w:t>
      </w:r>
      <w:r>
        <w:t xml:space="preserve"> </w:t>
      </w:r>
      <w:r>
        <w:t xml:space="preserve">“</w:t>
      </w:r>
      <w:r>
        <w:t xml:space="preserve">[a]nyone dealing with the school lands must do so with knowledge of and subject to the trust obligation of the state.</w:t>
      </w:r>
      <w:r>
        <w:t xml:space="preserve">”</w:t>
      </w:r>
      <w:r>
        <w:rPr>
          <w:rStyle w:val="FootnoteReference"/>
        </w:rPr>
        <w:footnoteReference w:id="423"/>
      </w:r>
      <w:r>
        <w:t xml:space="preserve"> </w:t>
      </w:r>
      <w:r>
        <w:t xml:space="preserve">The sequence is the field’s complete demonstration: the below-market renewal scheme falls, the leases it spawned fall with it, and the lessees’ reliance interest yields to the notice rule. [A later opinion in the</w:t>
      </w:r>
      <w:r>
        <w:t xml:space="preserve"> </w:t>
      </w:r>
      <w:r>
        <w:rPr>
          <w:i/>
        </w:rPr>
        <w:t xml:space="preserve">Ebke</w:t>
      </w:r>
      <w:r>
        <w:t xml:space="preserve"> </w:t>
      </w:r>
      <w:r>
        <w:t xml:space="preserve">line (</w:t>
      </w:r>
      <w:r>
        <w:t xml:space="preserve">“</w:t>
      </w:r>
      <w:r>
        <w:t xml:space="preserve">Ebke II,</w:t>
      </w:r>
      <w:r>
        <w:t xml:space="preserve">”</w:t>
      </w:r>
      <w:r>
        <w:t xml:space="preserve"> </w:t>
      </w:r>
      <w:r>
        <w:t xml:space="preserve">1954) is referenced without citation — VERIFY and pull before reliance (Register G-9).]</w:t>
      </w:r>
    </w:p>
    <w:p>
      <w:pPr>
        <w:pStyle w:val="BodyText"/>
      </w:pPr>
      <w:r>
        <w:rPr>
          <w:b/>
        </w:rPr>
        <w:t xml:space="preserve">Montana:</w:t>
      </w:r>
      <w:r>
        <w:rPr>
          <w:b/>
        </w:rPr>
        <w:t xml:space="preserve"> </w:t>
      </w:r>
      <w:r>
        <w:rPr>
          <w:i/>
          <w:b/>
        </w:rPr>
        <w:t xml:space="preserve">Jerke</w:t>
      </w:r>
      <w:r>
        <w:rPr>
          <w:b/>
        </w:rPr>
        <w:t xml:space="preserve">.</w:t>
      </w:r>
      <w:r>
        <w:t xml:space="preserve"> </w:t>
      </w:r>
      <w:r>
        <w:t xml:space="preserve">Montana’s statutory grazing-lessee preference was held unconstitutional as applied where the preference-claiming grazing district did not itself use the land:</w:t>
      </w:r>
      <w:r>
        <w:t xml:space="preserve"> </w:t>
      </w:r>
      <w:r>
        <w:t xml:space="preserve">“</w:t>
      </w:r>
      <w:r>
        <w:t xml:space="preserve">only pure competitive bidding</w:t>
      </w:r>
      <w:r>
        <w:t xml:space="preserve">”</w:t>
      </w:r>
      <w:r>
        <w:t xml:space="preserve"> </w:t>
      </w:r>
      <w:r>
        <w:t xml:space="preserve">could secure full market value in that situation.</w:t>
      </w:r>
      <w:r>
        <w:rPr>
          <w:rStyle w:val="FootnoteReference"/>
        </w:rPr>
        <w:footnoteReference w:id="424"/>
      </w:r>
      <w:r>
        <w:t xml:space="preserve"> </w:t>
      </w:r>
      <w:r>
        <w:t xml:space="preserve">The as-applied posture matters to the defense side (§ 11.6):</w:t>
      </w:r>
      <w:r>
        <w:t xml:space="preserve"> </w:t>
      </w:r>
      <w:r>
        <w:rPr>
          <w:i/>
        </w:rPr>
        <w:t xml:space="preserve">Jerke</w:t>
      </w:r>
      <w:r>
        <w:t xml:space="preserve"> </w:t>
      </w:r>
      <w:r>
        <w:t xml:space="preserve">did not declare every preference device void; it declared that the preference could not be given an application that defeats full market value.</w:t>
      </w:r>
    </w:p>
    <w:p>
      <w:pPr>
        <w:pStyle w:val="BodyText"/>
      </w:pPr>
      <w:r>
        <w:rPr>
          <w:b/>
        </w:rPr>
        <w:t xml:space="preserve">Idaho: the</w:t>
      </w:r>
      <w:r>
        <w:rPr>
          <w:b/>
        </w:rPr>
        <w:t xml:space="preserve"> </w:t>
      </w:r>
      <w:r>
        <w:rPr>
          <w:i/>
          <w:b/>
        </w:rPr>
        <w:t xml:space="preserve">Idaho Watersheds</w:t>
      </w:r>
      <w:r>
        <w:rPr>
          <w:b/>
        </w:rPr>
        <w:t xml:space="preserve"> </w:t>
      </w:r>
      <w:r>
        <w:rPr>
          <w:b/>
        </w:rPr>
        <w:t xml:space="preserve">litigation (1996–1999).</w:t>
      </w:r>
      <w:r>
        <w:t xml:space="preserve"> </w:t>
      </w:r>
      <w:r>
        <w:t xml:space="preserve">The modern constitutional statement. The Idaho Supreme Court first held that the Land Board</w:t>
      </w:r>
      <w:r>
        <w:t xml:space="preserve"> </w:t>
      </w:r>
      <w:r>
        <w:t xml:space="preserve">“</w:t>
      </w:r>
      <w:r>
        <w:t xml:space="preserve">does not have the discretion to grant a lease to an applicant who does not place a bid at an auction,</w:t>
      </w:r>
      <w:r>
        <w:t xml:space="preserve">”</w:t>
      </w:r>
      <w:r>
        <w:t xml:space="preserve"> </w:t>
      </w:r>
      <w:r>
        <w:t xml:space="preserve">because the constitution and statutes mandate that the Board conduct an auction to secure the</w:t>
      </w:r>
      <w:r>
        <w:t xml:space="preserve"> </w:t>
      </w:r>
      <w:r>
        <w:t xml:space="preserve">“</w:t>
      </w:r>
      <w:r>
        <w:t xml:space="preserve">maximum long term financial return.</w:t>
      </w:r>
      <w:r>
        <w:t xml:space="preserve">”</w:t>
      </w:r>
      <w:r>
        <w:rPr>
          <w:rStyle w:val="FootnoteReference"/>
        </w:rPr>
        <w:footnoteReference w:id="425"/>
      </w:r>
      <w:r>
        <w:t xml:space="preserve"> </w:t>
      </w:r>
      <w:r>
        <w:t xml:space="preserve">The court then struck Idaho Code § 58-310B, by which the legislature had authorized the Board to avoid auctions over competing applications in order to</w:t>
      </w:r>
      <w:r>
        <w:t xml:space="preserve"> </w:t>
      </w:r>
      <w:r>
        <w:t xml:space="preserve">“</w:t>
      </w:r>
      <w:r>
        <w:t xml:space="preserve">encourag[e] a healthy Idaho livestock industry</w:t>
      </w:r>
      <w:r>
        <w:t xml:space="preserve">”</w:t>
      </w:r>
      <w:r>
        <w:t xml:space="preserve">: the constitutional mandate</w:t>
      </w:r>
      <w:r>
        <w:t xml:space="preserve"> </w:t>
      </w:r>
      <w:r>
        <w:t xml:space="preserve">“</w:t>
      </w:r>
      <w:r>
        <w:t xml:space="preserve">requires that the State consider only the</w:t>
      </w:r>
      <w:r>
        <w:t xml:space="preserve"> </w:t>
      </w:r>
      <w:r>
        <w:t xml:space="preserve">‘</w:t>
      </w:r>
      <w:r>
        <w:t xml:space="preserve">maximum long term financial return</w:t>
      </w:r>
      <w:r>
        <w:t xml:space="preserve">’</w:t>
      </w:r>
      <w:r>
        <w:t xml:space="preserve">”</w:t>
      </w:r>
      <w:r>
        <w:t xml:space="preserve"> </w:t>
      </w:r>
      <w:r>
        <w:t xml:space="preserve">to the beneficiary, and the legislature may not direct the trustee toward non-beneficiary interests any more than the Board may.</w:t>
      </w:r>
      <w:r>
        <w:rPr>
          <w:rStyle w:val="FootnoteReference"/>
        </w:rPr>
        <w:footnoteReference w:id="426"/>
      </w:r>
      <w:r>
        <w:t xml:space="preserve"> </w:t>
      </w:r>
      <w:r>
        <w:t xml:space="preserve">Together the decisions hold that preference machinery yields to the return mandate whether installed by rule or by statute.</w:t>
      </w:r>
    </w:p>
    <w:p>
      <w:pPr>
        <w:pStyle w:val="Heading3"/>
      </w:pPr>
      <w:bookmarkStart w:id="427" w:name="X71eb397dba4b6fc45104605525657368f6ae5e3"/>
      <w:r>
        <w:t xml:space="preserve">§ 11.3 Competitive bidding as the constitutional default</w:t>
      </w:r>
      <w:bookmarkEnd w:id="427"/>
    </w:p>
    <w:p>
      <w:pPr>
        <w:pStyle w:val="FirstParagraph"/>
      </w:pPr>
      <w:r>
        <w:t xml:space="preserve">Read together, the preference cases state a default rule: where a constitutional or instrument mandate ties the trustee to market return, competitive bidding is the presumptive disposition method for leases, and a preference device survives only to the extent it does not displace a higher competing offer. The rule’s logic tracks § 9.4 — the auction is the only mechanism that proves value — applied to the rental market. Its converse is equally important for counsel: no case in the verified corpus invalidates a preference right</w:t>
      </w:r>
      <w:r>
        <w:t xml:space="preserve"> </w:t>
      </w:r>
      <w:r>
        <w:rPr>
          <w:i/>
        </w:rPr>
        <w:t xml:space="preserve">in the abstract</w:t>
      </w:r>
      <w:r>
        <w:t xml:space="preserve">. The decisions strike applications and statutes that operated to deliver trust land at below-market rates or to defeat an actual higher bid.</w:t>
      </w:r>
      <w:r>
        <w:rPr>
          <w:rStyle w:val="FootnoteReference"/>
        </w:rPr>
        <w:footnoteReference w:id="428"/>
      </w:r>
      <w:r>
        <w:rPr>
          <w:rStyle w:val="FootnoteReference"/>
        </w:rPr>
        <w:footnoteReference w:id="429"/>
      </w:r>
      <w:r>
        <w:t xml:space="preserve"> </w:t>
      </w:r>
      <w:r>
        <w:t xml:space="preserve">In states without an express return-maximization clause, the same default is reached through the general full-value rule and the market benchmark: Mississippi requires Sixteenth Section lease consideration to be measured against</w:t>
      </w:r>
      <w:r>
        <w:t xml:space="preserve"> </w:t>
      </w:r>
      <w:r>
        <w:t xml:space="preserve">“</w:t>
      </w:r>
      <w:r>
        <w:t xml:space="preserve">the reasonable market value of the leased land,</w:t>
      </w:r>
      <w:r>
        <w:t xml:space="preserve">”</w:t>
      </w:r>
      <w:r>
        <w:t xml:space="preserve"> </w:t>
      </w:r>
      <w:r>
        <w:t xml:space="preserve">a transaction-by-transaction test that does the auction’s work where no auction is run.</w:t>
      </w:r>
      <w:r>
        <w:rPr>
          <w:rStyle w:val="FootnoteReference"/>
        </w:rPr>
        <w:footnoteReference w:id="430"/>
      </w:r>
    </w:p>
    <w:p>
      <w:pPr>
        <w:pStyle w:val="Heading3"/>
      </w:pPr>
      <w:bookmarkStart w:id="431" w:name="X8c8466a6e8fc1bd5c0db50714a2afa709a2c1c7"/>
      <w:r>
        <w:t xml:space="preserve">§ 11.4 Royalties, waiver, and estoppel:</w:t>
      </w:r>
      <w:r>
        <w:t xml:space="preserve"> </w:t>
      </w:r>
      <w:r>
        <w:rPr>
          <w:i/>
        </w:rPr>
        <w:t xml:space="preserve">Plateau Mining</w:t>
      </w:r>
      <w:bookmarkEnd w:id="431"/>
    </w:p>
    <w:p>
      <w:pPr>
        <w:pStyle w:val="FirstParagraph"/>
      </w:pPr>
      <w:r>
        <w:t xml:space="preserve">Below-market leasing has a quieter form: the lease is priced correctly and then under-collected. Utah’s</w:t>
      </w:r>
      <w:r>
        <w:t xml:space="preserve"> </w:t>
      </w:r>
      <w:r>
        <w:rPr>
          <w:i/>
        </w:rPr>
        <w:t xml:space="preserve">Plateau Mining</w:t>
      </w:r>
      <w:r>
        <w:t xml:space="preserve"> </w:t>
      </w:r>
      <w:r>
        <w:t xml:space="preserve">addresses what happens next. The Division of State Lands had accepted coal royalties below the lease rate for years; when it asserted the full rate on audit, the lessees pleaded waiver and estoppel, and the trial court granted them summary judgment. The Utah Supreme Court reversed and remanded. On estoppel, it held that estoppel generally may not be asserted against the State, and that the narrow proprietary-capacity exception did not apply: if the State were estopped from obtaining full value for leases of school trust lands,</w:t>
      </w:r>
      <w:r>
        <w:t xml:space="preserve"> </w:t>
      </w:r>
      <w:r>
        <w:t xml:space="preserve">“</w:t>
      </w:r>
      <w:r>
        <w:t xml:space="preserve">the purpose of the trust lands could be undermined.</w:t>
      </w:r>
      <w:r>
        <w:t xml:space="preserve">”</w:t>
      </w:r>
      <w:r>
        <w:rPr>
          <w:rStyle w:val="FootnoteReference"/>
        </w:rPr>
        <w:footnoteReference w:id="432"/>
      </w:r>
      <w:r>
        <w:t xml:space="preserve"> </w:t>
      </w:r>
      <w:r>
        <w:t xml:space="preserve">The State’s mere acceptance of the lower rate — where the lessees were themselves responsible for computing the rate — did not meet the elements of estoppel or establish waiver (</w:t>
      </w:r>
      <w:r>
        <w:t xml:space="preserve">“</w:t>
      </w:r>
      <w:r>
        <w:t xml:space="preserve">[m]ere silence is not a waiver unless there is some duty or obligation to speak</w:t>
      </w:r>
      <w:r>
        <w:t xml:space="preserve">”</w:t>
      </w:r>
      <w:r>
        <w:t xml:space="preserve">). The court did not, however, foreclose estoppel categorically; it remanded because other facts (an asserted post-audit assurance that the lease was in good standing) might support estoppel, and it left the waiver and limitations questions for the trial court.</w:t>
      </w:r>
      <w:r>
        <w:rPr>
          <w:rStyle w:val="FootnoteReference"/>
        </w:rPr>
        <w:footnoteReference w:id="433"/>
      </w:r>
    </w:p>
    <w:p>
      <w:pPr>
        <w:pStyle w:val="BodyText"/>
      </w:pPr>
      <w:r>
        <w:t xml:space="preserve">The decision converts administrative neglect from a defense into a recoverable. A lessee cannot acquire, by the trustee’s years of silence, what the trustee could not have granted outright — a below-market rate. The Oklahoma rule supplies the legislative-branch counterpart:</w:t>
      </w:r>
      <w:r>
        <w:t xml:space="preserve"> </w:t>
      </w:r>
      <w:r>
        <w:t xml:space="preserve">“</w:t>
      </w:r>
      <w:r>
        <w:t xml:space="preserve">No Act of the Legislature can validly alter, modify or diminish the State’s duty as Trustee,</w:t>
      </w:r>
      <w:r>
        <w:t xml:space="preserve">”</w:t>
      </w:r>
      <w:r>
        <w:t xml:space="preserve"> </w:t>
      </w:r>
      <w:r>
        <w:t xml:space="preserve">a duty that includes obtaining</w:t>
      </w:r>
      <w:r>
        <w:t xml:space="preserve"> </w:t>
      </w:r>
      <w:r>
        <w:t xml:space="preserve">“</w:t>
      </w:r>
      <w:r>
        <w:t xml:space="preserve">the maximum benefit in return from the use of trust property or loan of trust funds</w:t>
      </w:r>
      <w:r>
        <w:t xml:space="preserve">”</w:t>
      </w:r>
      <w:r>
        <w:t xml:space="preserve"> </w:t>
      </w:r>
      <w:r>
        <w:t xml:space="preserve">— so rate relief enacted for lessees stands no better than rate relief conceded by inaction.</w:t>
      </w:r>
      <w:r>
        <w:rPr>
          <w:rStyle w:val="FootnoteReference"/>
        </w:rPr>
        <w:footnoteReference w:id="434"/>
      </w:r>
    </w:p>
    <w:p>
      <w:pPr>
        <w:pStyle w:val="Heading3"/>
      </w:pPr>
      <w:bookmarkStart w:id="435" w:name="Xa9cea3c9695d1fe73ea2620220bccac4893f2fb"/>
      <w:r>
        <w:t xml:space="preserve">§ 11.5 Sustained yield: the long lease and the long trust</w:t>
      </w:r>
      <w:bookmarkEnd w:id="435"/>
    </w:p>
    <w:p>
      <w:pPr>
        <w:pStyle w:val="FirstParagraph"/>
      </w:pPr>
      <w:r>
        <w:t xml:space="preserve">The return the leasing cases protect is long-run return. Montana’s</w:t>
      </w:r>
      <w:r>
        <w:t xml:space="preserve"> </w:t>
      </w:r>
      <w:r>
        <w:rPr>
          <w:i/>
        </w:rPr>
        <w:t xml:space="preserve">Burlingame</w:t>
      </w:r>
      <w:r>
        <w:t xml:space="preserve">, decided with</w:t>
      </w:r>
      <w:r>
        <w:t xml:space="preserve"> </w:t>
      </w:r>
      <w:r>
        <w:rPr>
          <w:i/>
        </w:rPr>
        <w:t xml:space="preserve">Jerke</w:t>
      </w:r>
      <w:r>
        <w:t xml:space="preserve">, restated the sustained-yield doctrine: the long-term productivity of trust land takes priority over short-term income, and a preference right that does not further sustained yield cannot be given effect.</w:t>
      </w:r>
      <w:r>
        <w:rPr>
          <w:rStyle w:val="FootnoteReference"/>
        </w:rPr>
        <w:footnoteReference w:id="436"/>
      </w:r>
      <w:r>
        <w:rPr>
          <w:rStyle w:val="FootnoteReference"/>
        </w:rPr>
        <w:footnoteReference w:id="437"/>
      </w:r>
      <w:r>
        <w:t xml:space="preserve"> </w:t>
      </w:r>
      <w:r>
        <w:t xml:space="preserve">The doctrine cuts both ways, and counsel on each side should note it. Against the lessee, it means tenure arrangements cannot be defended merely as income-stabilizing if they entrench uses that degrade the asset. For the trustee, it means a lease program is not condemned merely because a more aggressive rate or harvest schedule was available this year: prudence (Chapter 7) and impartiality between present and future beneficiaries (Chapter 8) permit — indeed require — managing for the rotation, not the fiscal year. The boundary is the one drawn throughout this Part: long-horizon management is trust administration; below-market delivery of value to the tenant is not.</w:t>
      </w:r>
    </w:p>
    <w:p>
      <w:pPr>
        <w:pStyle w:val="Heading3"/>
      </w:pPr>
      <w:bookmarkStart w:id="438" w:name="the-defense-position-at-full-strength-2"/>
      <w:r>
        <w:t xml:space="preserve">§ 11.6 The defense position at full strength</w:t>
      </w:r>
      <w:bookmarkEnd w:id="438"/>
    </w:p>
    <w:p>
      <w:pPr>
        <w:pStyle w:val="FirstParagraph"/>
      </w:pPr>
      <w:r>
        <w:t xml:space="preserve">The case for preference and renewal machinery deserves its best statement, because legislatures keep enacting it and some of its premises are sound.</w:t>
      </w:r>
    </w:p>
    <w:p>
      <w:pPr>
        <w:pStyle w:val="BodyText"/>
      </w:pPr>
      <w:r>
        <w:rPr>
          <w:b/>
        </w:rPr>
        <w:t xml:space="preserve">(1) Tenure security raises, not lowers, long-run value.</w:t>
      </w:r>
      <w:r>
        <w:t xml:space="preserve"> </w:t>
      </w:r>
      <w:r>
        <w:t xml:space="preserve">A lessee with renewal security invests in fences, water developments, soil, and reforestation; a lessee facing auction every term mines the asset and bids less for it. On this view a calibrated preference is not a subsidy but a husbandry device serving the very sustained-yield values</w:t>
      </w:r>
      <w:r>
        <w:t xml:space="preserve"> </w:t>
      </w:r>
      <w:r>
        <w:rPr>
          <w:i/>
        </w:rPr>
        <w:t xml:space="preserve">Burlingame</w:t>
      </w:r>
      <w:r>
        <w:t xml:space="preserve"> </w:t>
      </w:r>
      <w:r>
        <w:t xml:space="preserve">protects. The verified corpus contains no decision adopting the argument, but none rejecting it in that calibrated form either (§ 11.3 and the accord note there); the cases struck preferences that operated below market or against higher bids.</w:t>
      </w:r>
    </w:p>
    <w:p>
      <w:pPr>
        <w:pStyle w:val="BodyText"/>
      </w:pPr>
      <w:r>
        <w:rPr>
          <w:b/>
        </w:rPr>
        <w:t xml:space="preserve">(2) Administrative design is legislative.</w:t>
      </w:r>
      <w:r>
        <w:t xml:space="preserve"> </w:t>
      </w:r>
      <w:r>
        <w:t xml:space="preserve">The</w:t>
      </w:r>
      <w:r>
        <w:t xml:space="preserve"> </w:t>
      </w:r>
      <w:r>
        <w:rPr>
          <w:i/>
        </w:rPr>
        <w:t xml:space="preserve">Cascadia</w:t>
      </w:r>
      <w:r>
        <w:t xml:space="preserve">/</w:t>
      </w:r>
      <w:r>
        <w:rPr>
          <w:i/>
        </w:rPr>
        <w:t xml:space="preserve">Johnson</w:t>
      </w:r>
      <w:r>
        <w:t xml:space="preserve"> </w:t>
      </w:r>
      <w:r>
        <w:t xml:space="preserve">line (§ 9.7) allocates genuine design authority over disposition method to the legislature, and a state will argue that choosing administered renewals over auctions is exactly such a design choice. The sister-state answer is uniform but bounded: design authority ends where the trust is shortchanged —</w:t>
      </w:r>
      <w:r>
        <w:t xml:space="preserve"> </w:t>
      </w:r>
      <w:r>
        <w:t xml:space="preserve">“</w:t>
      </w:r>
      <w:r>
        <w:t xml:space="preserve">[n]o Act of the Legislature can validly alter, modify or diminish the State’s duty as Trustee.</w:t>
      </w:r>
      <w:r>
        <w:t xml:space="preserve">”</w:t>
      </w:r>
      <w:r>
        <w:rPr>
          <w:rStyle w:val="FootnoteReference"/>
        </w:rPr>
        <w:footnoteReference w:id="439"/>
      </w:r>
    </w:p>
    <w:p>
      <w:pPr>
        <w:pStyle w:val="BodyText"/>
      </w:pPr>
      <w:r>
        <w:rPr>
          <w:b/>
        </w:rPr>
        <w:t xml:space="preserve">(3) Stability of the rural economy.</w:t>
      </w:r>
      <w:r>
        <w:t xml:space="preserve"> </w:t>
      </w:r>
      <w:r>
        <w:t xml:space="preserve">The candid argument — that grazing and timber communities depend on affordable tenure — is the one the doctrine most clearly forecloses when offered to justify below-market terms: it is</w:t>
      </w:r>
      <w:r>
        <w:t xml:space="preserve"> </w:t>
      </w:r>
      <w:r>
        <w:rPr>
          <w:i/>
        </w:rPr>
        <w:t xml:space="preserve">Skamania</w:t>
      </w:r>
      <w:r>
        <w:t xml:space="preserve">’s</w:t>
      </w:r>
      <w:r>
        <w:t xml:space="preserve"> </w:t>
      </w:r>
      <w:r>
        <w:t xml:space="preserve">“</w:t>
      </w:r>
      <w:r>
        <w:t xml:space="preserve">laudable objectives</w:t>
      </w:r>
      <w:r>
        <w:t xml:space="preserve">”</w:t>
      </w:r>
      <w:r>
        <w:t xml:space="preserve"> </w:t>
      </w:r>
      <w:r>
        <w:t xml:space="preserve">rationale and the divided loyalty of Chapter 6.</w:t>
      </w:r>
      <w:r>
        <w:rPr>
          <w:rStyle w:val="FootnoteReference"/>
        </w:rPr>
        <w:footnoteReference w:id="440"/>
      </w:r>
      <w:r>
        <w:t xml:space="preserve"> </w:t>
      </w:r>
      <w:r>
        <w:t xml:space="preserve">Counsel for a state should know that pressing it concedes the trust analysis; counsel for beneficiaries should know that courts hear it sympathetically as policy even while rejecting it as law.</w:t>
      </w:r>
    </w:p>
    <w:p>
      <w:pPr>
        <w:pStyle w:val="Heading3"/>
      </w:pPr>
      <w:bookmarkStart w:id="441" w:name="synthesis-8"/>
      <w:r>
        <w:t xml:space="preserve">§ 11.7 Synthesis</w:t>
      </w:r>
      <w:bookmarkEnd w:id="441"/>
    </w:p>
    <w:p>
      <w:pPr>
        <w:numPr>
          <w:ilvl w:val="0"/>
          <w:numId w:val="1011"/>
        </w:numPr>
        <w:pStyle w:val="Compact"/>
      </w:pPr>
      <w:r>
        <w:rPr>
          <w:b/>
        </w:rPr>
        <w:t xml:space="preserve">A lease is a disposition of use</w:t>
      </w:r>
      <w:r>
        <w:t xml:space="preserve">; the full-value rule attaches to rents and royalties as to sale prices.</w:t>
      </w:r>
      <w:r>
        <w:rPr>
          <w:rStyle w:val="FootnoteReference"/>
        </w:rPr>
        <w:footnoteReference w:id="442"/>
      </w:r>
    </w:p>
    <w:p>
      <w:pPr>
        <w:numPr>
          <w:ilvl w:val="0"/>
          <w:numId w:val="1011"/>
        </w:numPr>
        <w:pStyle w:val="Compact"/>
      </w:pPr>
      <w:r>
        <w:rPr>
          <w:b/>
        </w:rPr>
        <w:t xml:space="preserve">Competitive bidding is the default</w:t>
      </w:r>
      <w:r>
        <w:t xml:space="preserve">; preference and renewal machinery survives only where it does not deliver trust land below market or defeat a higher offer, and it falls — whether rule or statute — where it does.</w:t>
      </w:r>
    </w:p>
    <w:p>
      <w:pPr>
        <w:numPr>
          <w:ilvl w:val="0"/>
          <w:numId w:val="1011"/>
        </w:numPr>
        <w:pStyle w:val="Compact"/>
      </w:pPr>
      <w:r>
        <w:rPr>
          <w:b/>
        </w:rPr>
        <w:t xml:space="preserve">The trustee cannot waive what it could not grant</w:t>
      </w:r>
      <w:r>
        <w:t xml:space="preserve">: under-collection creates no rights by waiver, estoppel, or limitations.</w:t>
      </w:r>
    </w:p>
    <w:p>
      <w:pPr>
        <w:numPr>
          <w:ilvl w:val="0"/>
          <w:numId w:val="1011"/>
        </w:numPr>
        <w:pStyle w:val="Compact"/>
      </w:pPr>
      <w:r>
        <w:rPr>
          <w:b/>
        </w:rPr>
        <w:t xml:space="preserve">Sustained yield qualifies the rate, not the loyalty</w:t>
      </w:r>
      <w:r>
        <w:t xml:space="preserve">: managing for the long rotation is required; managing for the tenant is forbidden.</w:t>
      </w:r>
    </w:p>
    <w:p>
      <w:pPr>
        <w:numPr>
          <w:ilvl w:val="0"/>
          <w:numId w:val="1011"/>
        </w:numPr>
        <w:pStyle w:val="Compact"/>
      </w:pPr>
      <w:r>
        <w:rPr>
          <w:b/>
        </w:rPr>
        <w:t xml:space="preserve">Administrative latitude is real but bounded</w:t>
      </w:r>
      <w:r>
        <w:t xml:space="preserve"> </w:t>
      </w:r>
      <w:r>
        <w:t xml:space="preserve">— the legislature designs the leasing system; it cannot design the beneficiaries out of its yield.</w:t>
      </w:r>
    </w:p>
    <w:p>
      <w:r>
        <w:pict>
          <v:rect style="width:0;height:1.5pt" o:hralign="center" o:hrstd="t" o:hr="t"/>
        </w:pict>
      </w:r>
    </w:p>
    <w:p>
      <w:pPr>
        <w:pStyle w:val="FirstParagraph"/>
      </w:pPr>
      <w:r>
        <w:rPr>
          <w:i/>
        </w:rPr>
        <w:t xml:space="preserve">End of Chapter 11 v1 (formerly Chapter 10 v0). Citation pass 2026-06-07: footnotes converted to named keys; Idaho Watersheds citekeys normalized to</w:t>
      </w:r>
      <w:r>
        <w:rPr>
          <w:i/>
        </w:rPr>
        <w:t xml:space="preserve"> </w:t>
      </w:r>
      <w:r>
        <w:rPr>
          <w:i/>
        </w:rPr>
        <w:t xml:space="preserve">@idaho-watersheds-1999</w:t>
      </w:r>
      <w:r>
        <w:rPr>
          <w:i/>
        </w:rPr>
        <w:t xml:space="preserve"> </w:t>
      </w:r>
      <w:r>
        <w:rPr>
          <w:i/>
        </w:rPr>
        <w:t xml:space="preserve">/</w:t>
      </w:r>
      <w:r>
        <w:rPr>
          <w:i/>
        </w:rPr>
        <w:t xml:space="preserve"> </w:t>
      </w:r>
      <w:r>
        <w:rPr>
          <w:i/>
        </w:rPr>
        <w:t xml:space="preserve">@idaho-watersheds-ii-1999</w:t>
      </w:r>
      <w:r>
        <w:rPr>
          <w:i/>
        </w:rPr>
        <w:t xml:space="preserve"> </w:t>
      </w:r>
      <w:r>
        <w:rPr>
          <w:i/>
        </w:rPr>
        <w:t xml:space="preserve">project-wide form; cross-references renumbered to the consolidated scheme. Verification queue: Ebke II (1954) citation and holding (Register G-9); Nigh pin cites — RESOLVED 2026-06-09 (642 P.2d at 236; full opinion on CourtListener id 1187033, L0-verified); calibrated-preference accord-case hunt (verification wave 2); OP 1999-1 scope before fuller use. Resolved 2026-06-08: the Idaho Watersheds chain — IWP I, 128 Idaho 761, 918 P.2d 1206 (1996) (auction-bid rule); the § 58-310B opinion, 133 Idaho 64, 982 P.2d 367 (1999); and the H.J.R. 6 original proceeding, 133 Idaho 55, 982 P.2d 358 (1999) (Art. 20, § 2 single-subject holding, a distinct case) — verified against the primaries; Platte Valley preference paraphrase anchored to 147 Neb. at 302–03; Plateau Mining corrected against the full opinion (no</w:t>
      </w:r>
      <w:r>
        <w:rPr>
          <w:i/>
        </w:rPr>
        <w:t xml:space="preserve"> </w:t>
      </w:r>
      <w:r>
        <w:rPr>
          <w:i/>
        </w:rPr>
        <w:t xml:space="preserve">“</w:t>
      </w:r>
      <w:r>
        <w:rPr>
          <w:i/>
        </w:rPr>
        <w:t xml:space="preserve">fiduciary</w:t>
      </w:r>
      <w:r>
        <w:rPr>
          <w:i/>
        </w:rPr>
        <w:t xml:space="preserve">”</w:t>
      </w:r>
      <w:r>
        <w:rPr>
          <w:i/>
        </w:rPr>
        <w:t xml:space="preserve"> </w:t>
      </w:r>
      <w:r>
        <w:rPr>
          <w:i/>
        </w:rPr>
        <w:t xml:space="preserve">language; limitations left to trial court); Lee dry-trustee pin corrected to 441–42.</w:t>
      </w:r>
    </w:p>
    <w:p>
      <w:r>
        <w:br w:type="page"/>
      </w:r>
    </w:p>
    <w:p>
      <w:pPr>
        <w:pStyle w:val="Heading1"/>
      </w:pPr>
      <w:bookmarkStart w:id="443" w:name="X071d130f51c2cd73581c3bc3f1bf592b635a80e"/>
      <w:r>
        <w:t xml:space="preserve">Chapter 12 — The Duty to Account and the State of Public Trust Reporting (v1)</w:t>
      </w:r>
      <w:bookmarkEnd w:id="443"/>
    </w:p>
    <w:p>
      <w:pPr>
        <w:pStyle w:val="FirstParagraph"/>
      </w:pPr>
      <w:r>
        <w:rPr>
          <w:i/>
        </w:rPr>
        <w:t xml:space="preserve">Status: v1 (formerly Chapter 11 in the v0 numbering). Renumbered to the consolidated twenty-chapter scheme; numeric footnotes converted to named keys per the project citation standard; the § 12.5 accounting line verified against full opinions 2026-06-07 to the extent noted; [VERIFY] flags mark items awaiting primary-source confirmation under quality gate G3. Passages touching the pending Oregon litigation are drawn from the public record only and carry [COUNSEL REVIEW] flags.</w:t>
      </w:r>
    </w:p>
    <w:p>
      <w:r>
        <w:pict>
          <v:rect style="width:0;height:1.5pt" o:hralign="center" o:hrstd="t" o:hr="t"/>
        </w:pict>
      </w:r>
    </w:p>
    <w:p>
      <w:pPr>
        <w:pStyle w:val="Heading3"/>
      </w:pPr>
      <w:bookmarkStart w:id="444" w:name="the-duty-stated-1"/>
      <w:r>
        <w:t xml:space="preserve">§ 12.1 The duty stated</w:t>
      </w:r>
      <w:bookmarkEnd w:id="444"/>
    </w:p>
    <w:p>
      <w:pPr>
        <w:pStyle w:val="FirstParagraph"/>
      </w:pPr>
      <w:r>
        <w:t xml:space="preserve">Most of the duties in this volume prescribe how a trustee must act. The accounting duty prescribes something prior: the trustee must be able to show what it has done. The common law states the duty in terms no trustee can mistake: one who undertakes to administer an estate for the benefit of another</w:t>
      </w:r>
      <w:r>
        <w:t xml:space="preserve"> </w:t>
      </w:r>
      <w:r>
        <w:t xml:space="preserve">“</w:t>
      </w:r>
      <w:r>
        <w:t xml:space="preserve">must maintain records of his transactions so complete and accurate that he can show by them his faithfulness to his trust,</w:t>
      </w:r>
      <w:r>
        <w:t xml:space="preserve">”</w:t>
      </w:r>
      <w:r>
        <w:t xml:space="preserve"> </w:t>
      </w:r>
      <w:r>
        <w:t xml:space="preserve">for a trustee</w:t>
      </w:r>
      <w:r>
        <w:t xml:space="preserve"> </w:t>
      </w:r>
      <w:r>
        <w:t xml:space="preserve">“</w:t>
      </w:r>
      <w:r>
        <w:t xml:space="preserve">is bound to keep clear and accurate accounts, and if he does not the presumptions are all against him, obscurities and doubts being resolved adversely to him.</w:t>
      </w:r>
      <w:r>
        <w:t xml:space="preserve">”</w:t>
      </w:r>
      <w:r>
        <w:rPr>
          <w:rStyle w:val="FootnoteReference"/>
        </w:rPr>
        <w:footnoteReference w:id="445"/>
      </w:r>
      <w:r>
        <w:t xml:space="preserve"> </w:t>
      </w:r>
      <w:r>
        <w:t xml:space="preserve">The duty has two faces. Prospectively, it requires recordkeeping adequate to demonstrate, transaction by transaction, that trust assets have been administered for the beneficiaries on the trust’s terms. Retrospectively, it entitles the beneficiary to compel a rendering — the equitable accounting — in which the trustee proves its administration to a court.</w:t>
      </w:r>
      <w:r>
        <w:rPr>
          <w:rStyle w:val="FootnoteReference"/>
        </w:rPr>
        <w:footnoteReference w:id="446"/>
      </w:r>
    </w:p>
    <w:p>
      <w:pPr>
        <w:pStyle w:val="BodyText"/>
      </w:pPr>
      <w:r>
        <w:t xml:space="preserve">The duty’s place in the architecture deserves emphasis. Loyalty (Chapter 6), prudence (Chapter 7), impartiality (Chapter 8), and full value (Chapter 9) are standards of conduct; the account is the instrument by which conduct is measured against them. A trust whose trustee keeps no adequate account is not merely at risk of breach — it is unauditable. The burden-shifting rule discussed at § 12.4 exists precisely because the trustee is the sole author and custodian of the records on which any proof of breach or compliance depends.</w:t>
      </w:r>
    </w:p>
    <w:p>
      <w:pPr>
        <w:pStyle w:val="Heading3"/>
      </w:pPr>
      <w:bookmarkStart w:id="447" w:name="the-duty-in-the-school-trust-setting"/>
      <w:r>
        <w:t xml:space="preserve">§ 12.2 The duty in the school-trust setting</w:t>
      </w:r>
      <w:bookmarkEnd w:id="447"/>
    </w:p>
    <w:p>
      <w:pPr>
        <w:pStyle w:val="FirstParagraph"/>
      </w:pPr>
      <w:r>
        <w:t xml:space="preserve">Nothing in the school-trust cases suggests the accounting duty arrives diminished when the trustee is a state. Four features of the setting give it distinctive content.</w:t>
      </w:r>
    </w:p>
    <w:p>
      <w:pPr>
        <w:pStyle w:val="BodyText"/>
      </w:pPr>
      <w:r>
        <w:rPr>
          <w:b/>
        </w:rPr>
        <w:t xml:space="preserve">Incorporation.</w:t>
      </w:r>
      <w:r>
        <w:t xml:space="preserve"> </w:t>
      </w:r>
      <w:r>
        <w:t xml:space="preserve">Where the constitution designates the lands a trust, the designation incorporates the rules of trust administration into organic law (§ 4.3) — and the accounting duty comes with them. Oklahoma’s formulation is the broadest: the</w:t>
      </w:r>
      <w:r>
        <w:t xml:space="preserve"> </w:t>
      </w:r>
      <w:r>
        <w:t xml:space="preserve">“</w:t>
      </w:r>
      <w:r>
        <w:t xml:space="preserve">sacred trust</w:t>
      </w:r>
      <w:r>
        <w:t xml:space="preserve">”</w:t>
      </w:r>
      <w:r>
        <w:t xml:space="preserve"> </w:t>
      </w:r>
      <w:r>
        <w:t xml:space="preserve">designation has the effect of</w:t>
      </w:r>
      <w:r>
        <w:t xml:space="preserve"> </w:t>
      </w:r>
      <w:r>
        <w:t xml:space="preserve">“</w:t>
      </w:r>
      <w:r>
        <w:t xml:space="preserve">irrevocably incorporating into the Enabling Act, Oklahoma Constitution, and conditions of the grant, all of the rules of law and duties governing the administration of trusts.</w:t>
      </w:r>
      <w:r>
        <w:t xml:space="preserve">”</w:t>
      </w:r>
      <w:r>
        <w:rPr>
          <w:rStyle w:val="FootnoteReference"/>
        </w:rPr>
        <w:footnoteReference w:id="448"/>
      </w:r>
      <w:r>
        <w:t xml:space="preserve"> </w:t>
      </w:r>
      <w:r>
        <w:rPr>
          <w:i/>
        </w:rPr>
        <w:t xml:space="preserve">All</w:t>
      </w:r>
      <w:r>
        <w:t xml:space="preserve"> </w:t>
      </w:r>
      <w:r>
        <w:t xml:space="preserve">of the rules includes the duty to account.</w:t>
      </w:r>
      <w:r>
        <w:rPr>
          <w:rStyle w:val="FootnoteReference"/>
        </w:rPr>
        <w:footnoteReference w:id="449"/>
      </w:r>
    </w:p>
    <w:p>
      <w:pPr>
        <w:pStyle w:val="BodyText"/>
      </w:pPr>
      <w:r>
        <w:rPr>
          <w:b/>
        </w:rPr>
        <w:t xml:space="preserve">The active-trustee classification.</w:t>
      </w:r>
      <w:r>
        <w:t xml:space="preserve"> </w:t>
      </w:r>
      <w:r>
        <w:t xml:space="preserve">Oregon’s early cases supply the field’s clearest statement that the state’s trusteeship is the duty-bearing kind:</w:t>
      </w:r>
      <w:r>
        <w:t xml:space="preserve"> </w:t>
      </w:r>
      <w:r>
        <w:t xml:space="preserve">“</w:t>
      </w:r>
      <w:r>
        <w:t xml:space="preserve">the state is not a mere dry trustee, but it holds the funds in trust for the common schools of the state</w:t>
      </w:r>
      <w:r>
        <w:t xml:space="preserve">”</w:t>
      </w:r>
      <w:r>
        <w:t xml:space="preserve"> </w:t>
      </w:r>
      <w:r>
        <w:t xml:space="preserve">— a fiduciary classification with content, since a dry trustee holds bare title while an active trustee bears duties of management, loyalty, and care.</w:t>
      </w:r>
      <w:r>
        <w:rPr>
          <w:rStyle w:val="FootnoteReference"/>
        </w:rPr>
        <w:footnoteReference w:id="450"/>
      </w:r>
      <w:r>
        <w:t xml:space="preserve"> </w:t>
      </w:r>
      <w:r>
        <w:t xml:space="preserve">And the courts have actually conducted the review the classification implies: in 1931 the Oregon Supreme Court reviewed a specific Land Board loan of school-fund monies — the priority of the mortgage securing it — and held that the Board, in loaning these funds, acts</w:t>
      </w:r>
      <w:r>
        <w:t xml:space="preserve"> </w:t>
      </w:r>
      <w:r>
        <w:t xml:space="preserve">“</w:t>
      </w:r>
      <w:r>
        <w:t xml:space="preserve">in the execution of a trust of the highest nature.</w:t>
      </w:r>
      <w:r>
        <w:t xml:space="preserve">”</w:t>
      </w:r>
      <w:r>
        <w:rPr>
          <w:rStyle w:val="FootnoteReference"/>
        </w:rPr>
        <w:footnoteReference w:id="451"/>
      </w:r>
    </w:p>
    <w:p>
      <w:pPr>
        <w:pStyle w:val="BodyText"/>
      </w:pPr>
      <w:r>
        <w:rPr>
          <w:b/>
        </w:rPr>
        <w:t xml:space="preserve">The trust follows the asset through every conversion.</w:t>
      </w:r>
      <w:r>
        <w:t xml:space="preserve"> </w:t>
      </w:r>
      <w:r>
        <w:t xml:space="preserve">Proceeds of trust lands remain subject to the same trust as the lands.</w:t>
      </w:r>
      <w:r>
        <w:rPr>
          <w:rStyle w:val="FootnoteReference"/>
        </w:rPr>
        <w:footnoteReference w:id="452"/>
      </w:r>
      <w:r>
        <w:t xml:space="preserve"> </w:t>
      </w:r>
      <w:r>
        <w:t xml:space="preserve">The account therefore spans the whole estate — lands, natural products, money, investments — and the fund ledger as much as the land ledger. The classic fund-accounting questions arise accordingly: Oregon’s attorney general has formally addressed the allocation of Common School Fund principal versus income for forest-management expenses, and an earlier opinion addressing investment income and operating expenses is identified but not yet retrieved.</w:t>
      </w:r>
      <w:r>
        <w:rPr>
          <w:rStyle w:val="FootnoteReference"/>
        </w:rPr>
        <w:footnoteReference w:id="453"/>
      </w:r>
    </w:p>
    <w:p>
      <w:pPr>
        <w:pStyle w:val="BodyText"/>
      </w:pPr>
      <w:r>
        <w:rPr>
          <w:b/>
        </w:rPr>
        <w:t xml:space="preserve">The account does not close.</w:t>
      </w:r>
      <w:r>
        <w:t xml:space="preserve"> </w:t>
      </w:r>
      <w:r>
        <w:t xml:space="preserve">The no-waiver and limitations holdings keep historic administration open to scrutiny. Utah’s leading case holds that the state’s prior acceptance of underpayment waives nothing and that estoppel is unavailable against the state on trust lands;</w:t>
      </w:r>
      <w:r>
        <w:rPr>
          <w:rStyle w:val="FootnoteReference"/>
        </w:rPr>
        <w:footnoteReference w:id="454"/>
      </w:r>
      <w:r>
        <w:t xml:space="preserve"> </w:t>
      </w:r>
      <w:r>
        <w:t xml:space="preserve">Oregon’s</w:t>
      </w:r>
      <w:r>
        <w:t xml:space="preserve"> </w:t>
      </w:r>
      <w:r>
        <w:rPr>
          <w:i/>
        </w:rPr>
        <w:t xml:space="preserve">Lee</w:t>
      </w:r>
      <w:r>
        <w:t xml:space="preserve"> </w:t>
      </w:r>
      <w:r>
        <w:t xml:space="preserve">applied the statutory limitations exemption to Land Board actions administering the Common School Fund.</w:t>
      </w:r>
      <w:r>
        <w:rPr>
          <w:rStyle w:val="FootnoteReference"/>
        </w:rPr>
        <w:footnoteReference w:id="455"/>
      </w:r>
      <w:r>
        <w:t xml:space="preserve"> </w:t>
      </w:r>
      <w:r>
        <w:t xml:space="preserve">The consequence for recordkeeping is direct: where historic underpayments remain recoverable, the records duty reaches back as far as the claims do.</w:t>
      </w:r>
    </w:p>
    <w:p>
      <w:pPr>
        <w:pStyle w:val="BodyText"/>
      </w:pPr>
      <w:r>
        <w:rPr>
          <w:b/>
        </w:rPr>
        <w:t xml:space="preserve">The statutory-code complication.</w:t>
      </w:r>
      <w:r>
        <w:t xml:space="preserve"> </w:t>
      </w:r>
      <w:r>
        <w:t xml:space="preserve">Modern trust codes codify the duty in ladder form — Oregon’s ORS 130.695 (recordkeeping and separation of property) and ORS 130.710 (duty to inform and report) are representative — but the codes typically exclude public bodies from their</w:t>
      </w:r>
      <w:r>
        <w:t xml:space="preserve"> </w:t>
      </w:r>
      <w:r>
        <w:t xml:space="preserve">“</w:t>
      </w:r>
      <w:r>
        <w:t xml:space="preserve">trust</w:t>
      </w:r>
      <w:r>
        <w:t xml:space="preserve">”</w:t>
      </w:r>
      <w:r>
        <w:t xml:space="preserve"> </w:t>
      </w:r>
      <w:r>
        <w:t xml:space="preserve">definition, as ORS 130.005(2)(e) does.</w:t>
      </w:r>
      <w:r>
        <w:rPr>
          <w:rStyle w:val="FootnoteReference"/>
        </w:rPr>
        <w:footnoteReference w:id="456"/>
      </w:r>
      <w:r>
        <w:t xml:space="preserve"> </w:t>
      </w:r>
      <w:r>
        <w:t xml:space="preserve">Whether the exclusion leaves the constitutional and common-law accounting duty intact, or instead implies that no such duty binds public trustees, is the negative-implication contention examined at § 4.7(3); no court in the verified corpus has adopted the negative implication as a holding.</w:t>
      </w:r>
    </w:p>
    <w:p>
      <w:pPr>
        <w:pStyle w:val="Heading3"/>
      </w:pPr>
      <w:bookmarkStart w:id="457" w:name="what-the-states-actually-publish"/>
      <w:r>
        <w:t xml:space="preserve">§ 12.3 What the states actually publish</w:t>
      </w:r>
      <w:bookmarkEnd w:id="457"/>
    </w:p>
    <w:p>
      <w:pPr>
        <w:pStyle w:val="FirstParagraph"/>
      </w:pPr>
      <w:r>
        <w:t xml:space="preserve">A hornbook section on public trust reporting ought to present a table: each jurisdiction’s required reports, their statutory basis, their cadence, and their actual public availability. The verified corpus does not yet support that table, and this section says so rather than improvising one. A systematic survey of reporting practice across the twenty trust-lands states is an open research item;</w:t>
      </w:r>
      <w:r>
        <w:rPr>
          <w:rStyle w:val="FootnoteReference"/>
        </w:rPr>
        <w:footnoteReference w:id="458"/>
      </w:r>
      <w:r>
        <w:t xml:space="preserve"> </w:t>
      </w:r>
      <w:r>
        <w:t xml:space="preserve">what follows is what the corpus documents, offered as the range the survey will map.</w:t>
      </w:r>
    </w:p>
    <w:p>
      <w:pPr>
        <w:pStyle w:val="BodyText"/>
      </w:pPr>
      <w:r>
        <w:rPr>
          <w:b/>
        </w:rPr>
        <w:t xml:space="preserve">Where administration is disciplined, reporting is institutional.</w:t>
      </w:r>
      <w:r>
        <w:t xml:space="preserve"> </w:t>
      </w:r>
      <w:r>
        <w:t xml:space="preserve">New Mexico is the corpus’s documented example: a constitutionally separate permanent fund, a single statewide elected fiduciary, total-return investment management, market-value distribution mechanics, and — since 2020 — a State Land Office Accountability and Enforcement Program directed at lessee obligations on trust lands.</w:t>
      </w:r>
      <w:r>
        <w:rPr>
          <w:rStyle w:val="FootnoteReference"/>
        </w:rPr>
        <w:footnoteReference w:id="459"/>
      </w:r>
    </w:p>
    <w:p>
      <w:pPr>
        <w:pStyle w:val="BodyText"/>
      </w:pPr>
      <w:r>
        <w:rPr>
          <w:b/>
        </w:rPr>
        <w:t xml:space="preserve">Where revenues are commingled, the account is the casualty.</w:t>
      </w:r>
      <w:r>
        <w:t xml:space="preserve"> </w:t>
      </w:r>
      <w:r>
        <w:t xml:space="preserve">Montana’s</w:t>
      </w:r>
      <w:r>
        <w:t xml:space="preserve"> </w:t>
      </w:r>
      <w:r>
        <w:rPr>
          <w:i/>
        </w:rPr>
        <w:t xml:space="preserve">Darkenwald</w:t>
      </w:r>
      <w:r>
        <w:t xml:space="preserve"> </w:t>
      </w:r>
      <w:r>
        <w:t xml:space="preserve">decision sustained a statute authorizing commingling of school-trust distributable revenues with the general fund, subject to a reconciliation mechanism; the dissent performed, in effect, the accounting the statute relaxed — documenting over $94.6 million in dissipation across thirty years and protesting that the scheme</w:t>
      </w:r>
      <w:r>
        <w:t xml:space="preserve"> </w:t>
      </w:r>
      <w:r>
        <w:t xml:space="preserve">“</w:t>
      </w:r>
      <w:r>
        <w:t xml:space="preserve">robs Peter (future generations of school children) to pay Paul (present day school children).</w:t>
      </w:r>
      <w:r>
        <w:t xml:space="preserve">”</w:t>
      </w:r>
      <w:r>
        <w:rPr>
          <w:rStyle w:val="FootnoteReference"/>
        </w:rPr>
        <w:footnoteReference w:id="460"/>
      </w:r>
      <w:r>
        <w:t xml:space="preserve"> </w:t>
      </w:r>
      <w:r>
        <w:t xml:space="preserve">Whatever its merits as constitutional law (the case is the field’s leading counter-precedent, § 4.7),</w:t>
      </w:r>
      <w:r>
        <w:t xml:space="preserve"> </w:t>
      </w:r>
      <w:r>
        <w:rPr>
          <w:i/>
        </w:rPr>
        <w:t xml:space="preserve">Darkenwald</w:t>
      </w:r>
      <w:r>
        <w:t xml:space="preserve"> </w:t>
      </w:r>
      <w:r>
        <w:t xml:space="preserve">is the clearest exhibit on the relationship between reporting structure and corpus protection: a reconciliation mechanism is an account rendered by the debtor, on the debtor’s schedule.</w:t>
      </w:r>
    </w:p>
    <w:p>
      <w:pPr>
        <w:pStyle w:val="BodyText"/>
      </w:pPr>
      <w:r>
        <w:rPr>
          <w:b/>
        </w:rPr>
        <w:t xml:space="preserve">Where records fail for generations, the past itself becomes contested ground.</w:t>
      </w:r>
      <w:r>
        <w:t xml:space="preserve"> </w:t>
      </w:r>
      <w:r>
        <w:t xml:space="preserve">Mississippi’s Sixteenth Section case law shows both faces: the modern line voids leases let for nominal consideration and enforces the trustee’s continuing duty notwithstanding decades of default, while the older line shows the recordless past cutting against the trust itself — an 1873 deed sustained on a statutory presumption that twenty-five years of adverse possession is prima facie evidence</w:t>
      </w:r>
      <w:r>
        <w:t xml:space="preserve"> </w:t>
      </w:r>
      <w:r>
        <w:t xml:space="preserve">“</w:t>
      </w:r>
      <w:r>
        <w:t xml:space="preserve">that the law authorizing the disposition of the lands has been complied with.</w:t>
      </w:r>
      <w:r>
        <w:t xml:space="preserve">”</w:t>
      </w:r>
      <w:r>
        <w:rPr>
          <w:rStyle w:val="FootnoteReference"/>
        </w:rPr>
        <w:footnoteReference w:id="461"/>
      </w:r>
    </w:p>
    <w:p>
      <w:pPr>
        <w:pStyle w:val="BodyText"/>
      </w:pPr>
      <w:r>
        <w:t xml:space="preserve">One observation may fairly be drawn even from this thin documentary base: in the corpus’s breach cases, the record of the breach was assembled by dissenting justices, by litigants in discovery, or by courts after the fact — not produced in the trustee’s ordinary public reporting. The structural reforms treated in Part VIII, and the accounting article of the model act proposed in Chapter 20, respond to exactly that gap.</w:t>
      </w:r>
    </w:p>
    <w:p>
      <w:pPr>
        <w:pStyle w:val="Heading3"/>
      </w:pPr>
      <w:bookmarkStart w:id="462" w:name="X7f8956cddf2565a90fe4a344937779f7e8681b7"/>
      <w:r>
        <w:t xml:space="preserve">§ 12.4 Burden consequences of inadequate records</w:t>
      </w:r>
      <w:bookmarkEnd w:id="462"/>
    </w:p>
    <w:p>
      <w:pPr>
        <w:pStyle w:val="FirstParagraph"/>
      </w:pPr>
      <w:r>
        <w:t xml:space="preserve">The common-law rule is the all-doubts rule of</w:t>
      </w:r>
      <w:r>
        <w:t xml:space="preserve"> </w:t>
      </w:r>
      <w:r>
        <w:rPr>
          <w:i/>
        </w:rPr>
        <w:t xml:space="preserve">Honeyman</w:t>
      </w:r>
      <w:r>
        <w:t xml:space="preserve">: for</w:t>
      </w:r>
      <w:r>
        <w:t xml:space="preserve"> </w:t>
      </w:r>
      <w:r>
        <w:t xml:space="preserve">“</w:t>
      </w:r>
      <w:r>
        <w:t xml:space="preserve">a trustee who fails to keep proper records of his trust,</w:t>
      </w:r>
      <w:r>
        <w:t xml:space="preserve">”</w:t>
      </w:r>
      <w:r>
        <w:t xml:space="preserve"> </w:t>
      </w:r>
      <w:r>
        <w:t xml:space="preserve">the principal penalty is</w:t>
      </w:r>
      <w:r>
        <w:t xml:space="preserve"> </w:t>
      </w:r>
      <w:r>
        <w:t xml:space="preserve">“</w:t>
      </w:r>
      <w:r>
        <w:t xml:space="preserve">that</w:t>
      </w:r>
      <w:r>
        <w:t xml:space="preserve"> </w:t>
      </w:r>
      <w:r>
        <w:t xml:space="preserve">‘</w:t>
      </w:r>
      <w:r>
        <w:t xml:space="preserve">all presumptions are against him</w:t>
      </w:r>
      <w:r>
        <w:t xml:space="preserve">’</w:t>
      </w:r>
      <w:r>
        <w:t xml:space="preserve"> </w:t>
      </w:r>
      <w:r>
        <w:t xml:space="preserve">on his accounting, or that</w:t>
      </w:r>
      <w:r>
        <w:t xml:space="preserve"> </w:t>
      </w:r>
      <w:r>
        <w:t xml:space="preserve">‘</w:t>
      </w:r>
      <w:r>
        <w:t xml:space="preserve">all doubts on the accounting are resolved against him.</w:t>
      </w:r>
      <w:r>
        <w:t xml:space="preserve">’</w:t>
      </w:r>
      <w:r>
        <w:t xml:space="preserve">”</w:t>
      </w:r>
      <w:r>
        <w:rPr>
          <w:rStyle w:val="FootnoteReference"/>
        </w:rPr>
        <w:footnoteReference w:id="463"/>
      </w:r>
      <w:r>
        <w:t xml:space="preserve"> </w:t>
      </w:r>
      <w:r>
        <w:t xml:space="preserve">Its logic is evidentiary asymmetry. The trustee is the sole author and custodian of the trust’s records; a rule that let gaps in those records defeat the beneficiary’s proof would let the trustee profit from its own dereliction, so the gaps are charged to their keeper instead.</w:t>
      </w:r>
    </w:p>
    <w:p>
      <w:pPr>
        <w:pStyle w:val="BodyText"/>
      </w:pPr>
      <w:r>
        <w:t xml:space="preserve">The school-trust cases supply cognate applications rather than, as yet, a collected accord line. Utah’s</w:t>
      </w:r>
      <w:r>
        <w:t xml:space="preserve"> </w:t>
      </w:r>
      <w:r>
        <w:rPr>
          <w:i/>
        </w:rPr>
        <w:t xml:space="preserve">National Parks</w:t>
      </w:r>
      <w:r>
        <w:t xml:space="preserve"> </w:t>
      </w:r>
      <w:r>
        <w:t xml:space="preserve">holds that the trustee must obtain independent appraisals rather than rely on appraisals submitted by an interested party:</w:t>
      </w:r>
      <w:r>
        <w:t xml:space="preserve"> </w:t>
      </w:r>
      <w:r>
        <w:t xml:space="preserve">“</w:t>
      </w:r>
      <w:r>
        <w:t xml:space="preserve">An appraisal submitted by a party intending to purchase a trust asset is suspect on its face, even when performed by an independent and reputable appraiser, because the buyer has the opportunity to shop for favorable appraisals</w:t>
      </w:r>
      <w:r>
        <w:t xml:space="preserve">”</w:t>
      </w:r>
      <w:r>
        <w:t xml:space="preserve"> </w:t>
      </w:r>
      <w:r>
        <w:t xml:space="preserve">— documentation generated by an interested party carries a discount, and the trustee who relies on it bears the consequence.</w:t>
      </w:r>
      <w:r>
        <w:rPr>
          <w:rStyle w:val="FootnoteReference"/>
        </w:rPr>
        <w:footnoteReference w:id="464"/>
      </w:r>
      <w:r>
        <w:t xml:space="preserve"> </w:t>
      </w:r>
      <w:r>
        <w:t xml:space="preserve">Mississippi’s</w:t>
      </w:r>
      <w:r>
        <w:t xml:space="preserve"> </w:t>
      </w:r>
      <w:r>
        <w:rPr>
          <w:i/>
        </w:rPr>
        <w:t xml:space="preserve">Hill v. Thompson</w:t>
      </w:r>
      <w:r>
        <w:t xml:space="preserve"> </w:t>
      </w:r>
      <w:r>
        <w:t xml:space="preserve">enforces the consequence directly: decades of nominal rentals did not insulate the arrangement, because the trustee’s continuing duty to produce a reasonable yield</w:t>
      </w:r>
      <w:r>
        <w:t xml:space="preserve"> </w:t>
      </w:r>
      <w:r>
        <w:t xml:space="preserve">“</w:t>
      </w:r>
      <w:r>
        <w:t xml:space="preserve">may not be avoided because of past defaults.</w:t>
      </w:r>
      <w:r>
        <w:t xml:space="preserve">”</w:t>
      </w:r>
      <w:r>
        <w:rPr>
          <w:rStyle w:val="FootnoteReference"/>
        </w:rPr>
        <w:footnoteReference w:id="465"/>
      </w:r>
      <w:r>
        <w:t xml:space="preserve"> </w:t>
      </w:r>
      <w:r>
        <w:t xml:space="preserve">Direct school-trust applications of the all-doubts rule have not yet been collected; the hunt is a verification-wave task.</w:t>
      </w:r>
    </w:p>
    <w:p>
      <w:pPr>
        <w:pStyle w:val="BodyText"/>
      </w:pPr>
      <w:r>
        <w:t xml:space="preserve">The practical stakes are highest in litigation against a long-running trustee. A school trust’s administration spans a century or more; if the all-doubts rule applies, gaps in the state’s records weigh against the state, not against beneficiaries who never had custody of anything. Whether it applies — whether the common-law accounting framework governs a constitutional school trust at all — is contested in the pending Oregon litigation described in the next section.</w:t>
      </w:r>
    </w:p>
    <w:p>
      <w:pPr>
        <w:pStyle w:val="Heading3"/>
      </w:pPr>
      <w:bookmarkStart w:id="466" w:name="X22c143d3a4de398082cc1b06a31b2990843ff8c"/>
      <w:r>
        <w:t xml:space="preserve">§ 12.5 The accounting remedy distinguished from damages discovery</w:t>
      </w:r>
      <w:bookmarkEnd w:id="466"/>
    </w:p>
    <w:p>
      <w:pPr>
        <w:pStyle w:val="FirstParagraph"/>
      </w:pPr>
      <w:r>
        <w:t xml:space="preserve">Two understandings of</w:t>
      </w:r>
      <w:r>
        <w:t xml:space="preserve"> </w:t>
      </w:r>
      <w:r>
        <w:t xml:space="preserve">“</w:t>
      </w:r>
      <w:r>
        <w:t xml:space="preserve">an accounting</w:t>
      </w:r>
      <w:r>
        <w:t xml:space="preserve">”</w:t>
      </w:r>
      <w:r>
        <w:t xml:space="preserve"> </w:t>
      </w:r>
      <w:r>
        <w:t xml:space="preserve">meet in the modern cases, and the practitioner must keep them distinct, because each is well-attested in its own domain.</w:t>
      </w:r>
    </w:p>
    <w:p>
      <w:pPr>
        <w:pStyle w:val="BodyText"/>
      </w:pPr>
      <w:r>
        <w:rPr>
          <w:b/>
        </w:rPr>
        <w:t xml:space="preserve">The computational understanding.</w:t>
      </w:r>
      <w:r>
        <w:t xml:space="preserve"> </w:t>
      </w:r>
      <w:r>
        <w:t xml:space="preserve">In ordinary civil litigation, an accounting is chiefly a device for calculating what one party owes another. Oregon’s ordinary-litigation line states it plainly:</w:t>
      </w:r>
      <w:r>
        <w:t xml:space="preserve"> </w:t>
      </w:r>
      <w:r>
        <w:t xml:space="preserve">“</w:t>
      </w:r>
      <w:r>
        <w:t xml:space="preserve">The purpose of an accounting is to strike a balance between the parties and determine if any funds are owed by either</w:t>
      </w:r>
      <w:r>
        <w:t xml:space="preserve">”</w:t>
      </w:r>
      <w:r>
        <w:t xml:space="preserve">;</w:t>
      </w:r>
      <w:r>
        <w:rPr>
          <w:rStyle w:val="FootnoteReference"/>
        </w:rPr>
        <w:footnoteReference w:id="467"/>
      </w:r>
      <w:r>
        <w:t xml:space="preserve"> </w:t>
      </w:r>
      <w:r>
        <w:t xml:space="preserve">where the plaintiff can ascertain the amounts through discovery,</w:t>
      </w:r>
      <w:r>
        <w:t xml:space="preserve"> </w:t>
      </w:r>
      <w:r>
        <w:t xml:space="preserve">“</w:t>
      </w:r>
      <w:r>
        <w:t xml:space="preserve">the need for an accounting is obviated</w:t>
      </w:r>
      <w:r>
        <w:t xml:space="preserve">”</w:t>
      </w:r>
      <w:r>
        <w:t xml:space="preserve">;</w:t>
      </w:r>
      <w:r>
        <w:rPr>
          <w:rStyle w:val="FootnoteReference"/>
        </w:rPr>
        <w:footnoteReference w:id="468"/>
      </w:r>
      <w:r>
        <w:t xml:space="preserve"> </w:t>
      </w:r>
      <w:r>
        <w:t xml:space="preserve">an accounting counterclaim has been denied where discovery had occurred; and the remedy has operated as the supplement to a damages award.</w:t>
      </w:r>
      <w:r>
        <w:rPr>
          <w:rStyle w:val="FootnoteReference"/>
        </w:rPr>
        <w:footnoteReference w:id="469"/>
      </w:r>
      <w:r>
        <w:t xml:space="preserve"> </w:t>
      </w:r>
      <w:r>
        <w:t xml:space="preserve">On this understanding the accounting is derivative — no damages claim, no account — and modern discovery largely supersedes it. Reinforcing the position, the Restatement (Third) of Trusts is cited for the proposition that the duty to keep beneficiaries informed</w:t>
      </w:r>
      <w:r>
        <w:t xml:space="preserve"> </w:t>
      </w:r>
      <w:r>
        <w:t xml:space="preserve">“</w:t>
      </w:r>
      <w:r>
        <w:t xml:space="preserve">does not impose a regular routine requirement of reporting or accounting,</w:t>
      </w:r>
      <w:r>
        <w:t xml:space="preserve">”</w:t>
      </w:r>
      <w:r>
        <w:rPr>
          <w:rStyle w:val="FootnoteReference"/>
        </w:rPr>
        <w:footnoteReference w:id="470"/>
      </w:r>
      <w:r>
        <w:t xml:space="preserve"> </w:t>
      </w:r>
      <w:r>
        <w:t xml:space="preserve">and a 2025 Oregon decision applying the Uniform Trust Code declined to require an accounting of a private revocable-trust trustee in the circumstances presented.</w:t>
      </w:r>
      <w:r>
        <w:rPr>
          <w:rStyle w:val="FootnoteReference"/>
        </w:rPr>
        <w:footnoteReference w:id="471"/>
      </w:r>
    </w:p>
    <w:p>
      <w:pPr>
        <w:pStyle w:val="BodyText"/>
      </w:pPr>
      <w:r>
        <w:rPr>
          <w:b/>
        </w:rPr>
        <w:t xml:space="preserve">The supervisory understanding.</w:t>
      </w:r>
      <w:r>
        <w:t xml:space="preserve"> </w:t>
      </w:r>
      <w:r>
        <w:t xml:space="preserve">In the law of trusts, the equitable accounting is not a damages calculator but the core mechanism of fiduciary supervision: the trustee renders its administration to the court, the rendering is tested, and the resulting record binds the trustee going forward — whether or not any surcharge follows. The treatise authority carries the accounting remedy as independent of damages claims.</w:t>
      </w:r>
      <w:r>
        <w:rPr>
          <w:rStyle w:val="FootnoteReference"/>
        </w:rPr>
        <w:footnoteReference w:id="472"/>
      </w:r>
      <w:r>
        <w:t xml:space="preserve"> </w:t>
      </w:r>
      <w:r>
        <w:t xml:space="preserve">On this understanding discovery is not a substitute. Discovery gives the beneficiary access to documents; the account places the burden of explanation on the trustee and resolves doubts against the trustee who kept inadequate records (§ 12.4). The two devices allocate the labor of proof in opposite directions.</w:t>
      </w:r>
    </w:p>
    <w:p>
      <w:pPr>
        <w:pStyle w:val="BodyText"/>
      </w:pPr>
      <w:r>
        <w:rPr>
          <w:b/>
        </w:rPr>
        <w:t xml:space="preserve">The live dispute.</w:t>
      </w:r>
      <w:r>
        <w:t xml:space="preserve"> </w:t>
      </w:r>
      <w:r>
        <w:t xml:space="preserve">Which understanding governs a constitutional school trust is squarely presented, and unresolved, in the pending Oregon litigation. The State’s summary-judgment briefing deploys the computational line to argue that without a damages claim there is no accounting remedy and that available discovery obviates the need; the plaintiffs respond from the trust-law line, with</w:t>
      </w:r>
      <w:r>
        <w:t xml:space="preserve"> </w:t>
      </w:r>
      <w:r>
        <w:rPr>
          <w:i/>
        </w:rPr>
        <w:t xml:space="preserve">Honeyman</w:t>
      </w:r>
      <w:r>
        <w:t xml:space="preserve"> </w:t>
      </w:r>
      <w:r>
        <w:t xml:space="preserve">as the lead Oregon authority; and the trial court has ruled, at the pleading stage, that causes of action and remedies relating to the Common School Fund — a fund older than the statutes and offices invoked against it —</w:t>
      </w:r>
      <w:r>
        <w:t xml:space="preserve"> </w:t>
      </w:r>
      <w:r>
        <w:t xml:space="preserve">“</w:t>
      </w:r>
      <w:r>
        <w:t xml:space="preserve">are governed by common law principles, not by statute.</w:t>
      </w:r>
      <w:r>
        <w:t xml:space="preserve">”</w:t>
      </w:r>
      <w:r>
        <w:t xml:space="preserve"> </w:t>
      </w:r>
      <w:r>
        <w:t xml:space="preserve">[COUNSEL REVIEW — this paragraph characterizes the parties’ positions and a trial-level ruling in 24CV38372 from the public record.]</w:t>
      </w:r>
      <w:r>
        <w:rPr>
          <w:rStyle w:val="FootnoteReference"/>
        </w:rPr>
        <w:footnoteReference w:id="473"/>
      </w:r>
      <w:r>
        <w:t xml:space="preserve"> </w:t>
      </w:r>
      <w:r>
        <w:t xml:space="preserve">No appellate decision in the verified corpus decides whether a school-trust beneficiary may obtain a standalone equitable accounting from a state trustee; this section must be revisited when the Oregon litigation concludes.</w:t>
      </w:r>
    </w:p>
    <w:p>
      <w:pPr>
        <w:pStyle w:val="BodyText"/>
      </w:pPr>
      <w:r>
        <w:t xml:space="preserve">The distinction bounds honest argument on both sides. The computational cases are real law, accurately quoted — the independent verification pass confirmed the State’s quotations — and a court persuaded that the school-trust accounting question is ordinary civil-procedure housekeeping will find them sufficient. The trust-law response is not that those cases are wrong but that they answer a different question: what an accounting does between parties who owe each other nothing but a debt is not what it does between a fiduciary and the beneficiaries to whom it must prove its stewardship.</w:t>
      </w:r>
    </w:p>
    <w:p>
      <w:pPr>
        <w:pStyle w:val="Heading3"/>
      </w:pPr>
      <w:bookmarkStart w:id="474" w:name="synthesis-9"/>
      <w:r>
        <w:t xml:space="preserve">§ 12.6 Synthesis</w:t>
      </w:r>
      <w:bookmarkEnd w:id="474"/>
    </w:p>
    <w:p>
      <w:pPr>
        <w:numPr>
          <w:ilvl w:val="0"/>
          <w:numId w:val="1012"/>
        </w:numPr>
        <w:pStyle w:val="Compact"/>
      </w:pPr>
      <w:r>
        <w:rPr>
          <w:b/>
        </w:rPr>
        <w:t xml:space="preserve">The accounting duty is the trust’s audit function.</w:t>
      </w:r>
      <w:r>
        <w:t xml:space="preserve"> </w:t>
      </w:r>
      <w:r>
        <w:t xml:space="preserve">Clear and accurate accounts must be kept and a rendering can be compelled; the duty is stated by the common law and, in the designation states, incorporated into organic law.</w:t>
      </w:r>
      <w:r>
        <w:rPr>
          <w:rStyle w:val="FootnoteReference"/>
        </w:rPr>
        <w:footnoteReference w:id="475"/>
      </w:r>
    </w:p>
    <w:p>
      <w:pPr>
        <w:numPr>
          <w:ilvl w:val="0"/>
          <w:numId w:val="1012"/>
        </w:numPr>
        <w:pStyle w:val="Compact"/>
      </w:pPr>
      <w:r>
        <w:rPr>
          <w:b/>
        </w:rPr>
        <w:t xml:space="preserve">The school-trust account spans assets and time.</w:t>
      </w:r>
      <w:r>
        <w:t xml:space="preserve"> </w:t>
      </w:r>
      <w:r>
        <w:t xml:space="preserve">It follows the asset through every conversion, and under the no-waiver and limitations holdings it does not close on historic underpayments.</w:t>
      </w:r>
      <w:r>
        <w:rPr>
          <w:rStyle w:val="FootnoteReference"/>
        </w:rPr>
        <w:footnoteReference w:id="476"/>
      </w:r>
    </w:p>
    <w:p>
      <w:pPr>
        <w:numPr>
          <w:ilvl w:val="0"/>
          <w:numId w:val="1012"/>
        </w:numPr>
        <w:pStyle w:val="Compact"/>
      </w:pPr>
      <w:r>
        <w:rPr>
          <w:b/>
        </w:rPr>
        <w:t xml:space="preserve">Inadequate records burden the trustee.</w:t>
      </w:r>
      <w:r>
        <w:t xml:space="preserve"> </w:t>
      </w:r>
      <w:r>
        <w:t xml:space="preserve">The all-doubts rule and the interested-appraisal cases charge the cost of bad records to their keeper; the collected school-trust accord line remains a verification-wave task.</w:t>
      </w:r>
      <w:r>
        <w:rPr>
          <w:rStyle w:val="FootnoteReference"/>
        </w:rPr>
        <w:footnoteReference w:id="477"/>
      </w:r>
    </w:p>
    <w:p>
      <w:pPr>
        <w:numPr>
          <w:ilvl w:val="0"/>
          <w:numId w:val="1012"/>
        </w:numPr>
        <w:pStyle w:val="Compact"/>
      </w:pPr>
      <w:r>
        <w:rPr>
          <w:b/>
        </w:rPr>
        <w:t xml:space="preserve">The remedy’s independence from damages is the field’s live accounting question.</w:t>
      </w:r>
      <w:r>
        <w:t xml:space="preserve"> </w:t>
      </w:r>
      <w:r>
        <w:t xml:space="preserve">The computational and supervisory understandings are both well-attested; which governs a constitutional school trust is pending litigation, not settled doctrine.</w:t>
      </w:r>
      <w:r>
        <w:rPr>
          <w:rStyle w:val="FootnoteReference"/>
        </w:rPr>
        <w:footnoteReference w:id="478"/>
      </w:r>
    </w:p>
    <w:p>
      <w:pPr>
        <w:numPr>
          <w:ilvl w:val="0"/>
          <w:numId w:val="1012"/>
        </w:numPr>
        <w:pStyle w:val="Compact"/>
      </w:pPr>
      <w:r>
        <w:rPr>
          <w:b/>
        </w:rPr>
        <w:t xml:space="preserve">Public reporting practice is the field’s least-documented dimension.</w:t>
      </w:r>
      <w:r>
        <w:t xml:space="preserve"> </w:t>
      </w:r>
      <w:r>
        <w:t xml:space="preserve">This chapter marks the gap honestly; the survey that fills it is queued, and the chapter should be rebuilt around its results.</w:t>
      </w:r>
      <w:r>
        <w:rPr>
          <w:rStyle w:val="FootnoteReference"/>
        </w:rPr>
        <w:footnoteReference w:id="479"/>
      </w:r>
    </w:p>
    <w:p>
      <w:r>
        <w:pict>
          <v:rect style="width:0;height:1.5pt" o:hralign="center" o:hrstd="t" o:hr="t"/>
        </w:pict>
      </w:r>
    </w:p>
    <w:p>
      <w:pPr>
        <w:pStyle w:val="FirstParagraph"/>
      </w:pPr>
      <w:r>
        <w:rPr>
          <w:i/>
        </w:rPr>
        <w:t xml:space="preserve">End of Chapter 12 v1 (formerly Chapter 11 v0). Citation pass 2026-06-07 (this version): footnotes converted to named keys; National Parks</w:t>
      </w:r>
      <w:r>
        <w:rPr>
          <w:i/>
        </w:rPr>
        <w:t xml:space="preserve"> </w:t>
      </w:r>
      <w:r>
        <w:rPr>
          <w:i/>
        </w:rPr>
        <w:t xml:space="preserve">“</w:t>
      </w:r>
      <w:r>
        <w:rPr>
          <w:i/>
        </w:rPr>
        <w:t xml:space="preserve">suspect on its face</w:t>
      </w:r>
      <w:r>
        <w:rPr>
          <w:i/>
        </w:rPr>
        <w:t xml:space="preserve">”</w:t>
      </w:r>
      <w:r>
        <w:rPr>
          <w:i/>
        </w:rPr>
        <w:t xml:space="preserve"> </w:t>
      </w:r>
      <w:r>
        <w:rPr>
          <w:i/>
        </w:rPr>
        <w:t xml:space="preserve">quotation restored with verified pin (869 P.2d at 922); the § 12.5 line verified — Sasser quotation verbatim at 642 P.2d 1194, Thompson v. Coughlin quotation verified (Or pin pending), Miller characterization verified, Smith and Public Market confirmed as real with holdings still unchecked; the</w:t>
      </w:r>
      <w:r>
        <w:rPr>
          <w:i/>
        </w:rPr>
        <w:t xml:space="preserve"> </w:t>
      </w:r>
      <w:r>
        <w:rPr>
          <w:i/>
        </w:rPr>
        <w:t xml:space="preserve">“</w:t>
      </w:r>
      <w:r>
        <w:rPr>
          <w:i/>
        </w:rPr>
        <w:t xml:space="preserve">all private-party cases</w:t>
      </w:r>
      <w:r>
        <w:rPr>
          <w:i/>
        </w:rPr>
        <w:t xml:space="preserve">”</w:t>
      </w:r>
      <w:r>
        <w:rPr>
          <w:i/>
        </w:rPr>
        <w:t xml:space="preserve"> </w:t>
      </w:r>
      <w:r>
        <w:rPr>
          <w:i/>
        </w:rPr>
        <w:t xml:space="preserve">formulation corrected (Public Market’s defendant is a city); project-internal sourcing language replaced with record-document labels or [NEEDS-SOURCE] flags. Verification queue still open: Nigh pin cites (G-6); Plateau Mining full pull; Darkenwald full pull (dissent figures and quotation); Sasser Or App pin; Thompson and Miller pins; Smith and Public Market holdings; Restatement § 82 cmt. d context; the 1989 Oregon AG opinion (46 Op Atty Gen 306); public citations for the New Mexico reporting description (NEEDS-SOURCE); the school-trust accord hunts for the incorporated accounting duty and the all-doubts rule (verification wave 2); the twenty-state reporting survey (companion to G-7).</w:t>
      </w:r>
    </w:p>
    <w:p>
      <w:r>
        <w:br w:type="page"/>
      </w:r>
    </w:p>
    <w:p>
      <w:pPr>
        <w:pStyle w:val="Heading1"/>
      </w:pPr>
      <w:bookmarkStart w:id="480" w:name="chapter-13-who-may-sue-v1"/>
      <w:r>
        <w:t xml:space="preserve">Chapter 13 — Who May Sue (v1)</w:t>
      </w:r>
      <w:bookmarkEnd w:id="480"/>
    </w:p>
    <w:p>
      <w:pPr>
        <w:pStyle w:val="FirstParagraph"/>
      </w:pPr>
      <w:r>
        <w:rPr>
          <w:i/>
        </w:rPr>
        <w:t xml:space="preserve">Status: v1 (formerly Chapter 12 in the v0 numbering). Renumbered to the consolidated twenty-chapter scheme; numeric footnotes converted to named keys per the project citation standard; the model-act footnote removed (subject reference retained in text); [VERIFY] flags mark items awaiting primary-source confirmation under quality gate G3. Passages touching the pending Oregon litigation are drawn from the public record only and carry [COUNSEL REVIEW] flags.</w:t>
      </w:r>
    </w:p>
    <w:p>
      <w:r>
        <w:pict>
          <v:rect style="width:0;height:1.5pt" o:hralign="center" o:hrstd="t" o:hr="t"/>
        </w:pict>
      </w:r>
    </w:p>
    <w:p>
      <w:pPr>
        <w:pStyle w:val="Heading3"/>
      </w:pPr>
      <w:bookmarkStart w:id="481" w:name="the-question-stated-1"/>
      <w:r>
        <w:t xml:space="preserve">§ 13.1 The question stated</w:t>
      </w:r>
      <w:bookmarkEnd w:id="481"/>
    </w:p>
    <w:p>
      <w:pPr>
        <w:pStyle w:val="FirstParagraph"/>
      </w:pPr>
      <w:r>
        <w:t xml:space="preserve">Chapter 4 established that the school-lands grants create real, enforceable trusts. This chapter asks who may do the enforcing — the question on which the trust’s practical existence turns, since a trust no plaintiff can bring to court is honorary in operation whatever it is in doctrine.</w:t>
      </w:r>
    </w:p>
    <w:p>
      <w:pPr>
        <w:pStyle w:val="BodyText"/>
      </w:pPr>
      <w:r>
        <w:t xml:space="preserve">Two models compete. Under the</w:t>
      </w:r>
      <w:r>
        <w:t xml:space="preserve"> </w:t>
      </w:r>
      <w:r>
        <w:rPr>
          <w:i/>
        </w:rPr>
        <w:t xml:space="preserve">private-trust model</w:t>
      </w:r>
      <w:r>
        <w:t xml:space="preserve">, the beneficiaries are the trust’s natural enforcers: the trust exists for them, the injury of breach falls on them, and trust law’s machinery presupposes a beneficiary who can call the trustee to account. Under the</w:t>
      </w:r>
      <w:r>
        <w:t xml:space="preserve"> </w:t>
      </w:r>
      <w:r>
        <w:rPr>
          <w:i/>
        </w:rPr>
        <w:t xml:space="preserve">charitable-trust model</w:t>
      </w:r>
      <w:r>
        <w:t xml:space="preserve">, a trust for indefinite public purposes is enforced by the attorney general as the public’s representative — the framework American courts inherited with the English law of charitable uses.</w:t>
      </w:r>
      <w:r>
        <w:rPr>
          <w:rStyle w:val="FootnoteReference"/>
        </w:rPr>
        <w:footnoteReference w:id="482"/>
      </w:r>
      <w:r>
        <w:t xml:space="preserve"> </w:t>
      </w:r>
      <w:r>
        <w:t xml:space="preserve">The school trust sits between the models, and the cases divide over which side of it predominates. Its purpose is public, like a charity’s; but its beneficiary class — the public schools and the schoolchildren they serve — is named in the granting instruments, institutionally embodied in districts, and countable in a way the indefinite objects of a classic charity are not.</w:t>
      </w:r>
    </w:p>
    <w:p>
      <w:pPr>
        <w:pStyle w:val="BodyText"/>
      </w:pPr>
      <w:r>
        <w:t xml:space="preserve">The choice is close to outcome-determinative. If beneficiaries may sue, the trust has as many potential enforcers as it has schools and schoolchildren. If enforcement is channeled to the attorney general, the trust’s only enforcer is ordinarily the legal officer who defends the trustee — the structural conflict treated in Chapter 14. One boundary point from Chapter 4 bears repeating before the cases: the channeling position</w:t>
      </w:r>
      <w:r>
        <w:t xml:space="preserve"> </w:t>
      </w:r>
      <w:r>
        <w:rPr>
          <w:i/>
        </w:rPr>
        <w:t xml:space="preserve">concedes</w:t>
      </w:r>
      <w:r>
        <w:t xml:space="preserve"> </w:t>
      </w:r>
      <w:r>
        <w:t xml:space="preserve">trust character and contests only the plaintiff class (§ 4.7(5)). A trust enforceable only by public officers is still a trust.</w:t>
      </w:r>
    </w:p>
    <w:p>
      <w:pPr>
        <w:pStyle w:val="Heading3"/>
      </w:pPr>
      <w:bookmarkStart w:id="483" w:name="the-forum-lesson-of-asarco"/>
      <w:r>
        <w:t xml:space="preserve">§ 13.2 The forum lesson of</w:t>
      </w:r>
      <w:r>
        <w:t xml:space="preserve"> </w:t>
      </w:r>
      <w:r>
        <w:rPr>
          <w:i/>
        </w:rPr>
        <w:t xml:space="preserve">ASARCO</w:t>
      </w:r>
      <w:bookmarkEnd w:id="483"/>
    </w:p>
    <w:p>
      <w:pPr>
        <w:pStyle w:val="FirstParagraph"/>
      </w:pPr>
      <w:r>
        <w:t xml:space="preserve">The modern era’s leading case is also its standing primer. In</w:t>
      </w:r>
      <w:r>
        <w:t xml:space="preserve"> </w:t>
      </w:r>
      <w:r>
        <w:rPr>
          <w:i/>
        </w:rPr>
        <w:t xml:space="preserve">ASARCO Inc. v. Kadish</w:t>
      </w:r>
      <w:r>
        <w:t xml:space="preserve">, Arizona schoolteachers and the Arizona Education Association sued in state court contending that Arizona’s mineral-leasing statute permitted dispositions of trust land without the appraisal and public-auction protections of the 1910 Enabling Act; the Arizona Supreme Court agreed and invalidated the statute; and the United States Supreme Court affirmed on the merits.</w:t>
      </w:r>
      <w:r>
        <w:rPr>
          <w:rStyle w:val="FootnoteReference"/>
        </w:rPr>
        <w:footnoteReference w:id="484"/>
      </w:r>
      <w:r>
        <w:t xml:space="preserve"> </w:t>
      </w:r>
      <w:r>
        <w:t xml:space="preserve">The Court was deeply divided over whether the teacher plaintiffs would have had Article III standing had they sued in federal court — but its affirmance proceeded on the basis that the state-court judgment had already declared the statute unconstitutional, an injury to the petitioning lessees sufficient to support federal review.</w:t>
      </w:r>
      <w:r>
        <w:rPr>
          <w:rStyle w:val="FootnoteReference"/>
        </w:rPr>
        <w:footnoteReference w:id="485"/>
      </w:r>
    </w:p>
    <w:p>
      <w:pPr>
        <w:pStyle w:val="BodyText"/>
      </w:pPr>
      <w:r>
        <w:t xml:space="preserve">Two teachings follow. First, on the merits: beneficiary-side plaintiffs prosecuted the school-trust line’s modern capstone to judgment. The statute fell because teachers sued. Second, structurally: state courts are not bound by Article III. A plaintiff class too attenuated for a federal forum may nonetheless proceed in state court under state standing law, and the school-trust docket is accordingly, and overwhelmingly, a state docket. The practitioner who reflexively imports federal standing doctrine into a state-court trust case has conceded ground the law does not require.</w:t>
      </w:r>
    </w:p>
    <w:p>
      <w:pPr>
        <w:pStyle w:val="Heading3"/>
      </w:pPr>
      <w:bookmarkStart w:id="486" w:name="the-plaintiff-classes-collected"/>
      <w:r>
        <w:t xml:space="preserve">§ 13.3 The plaintiff classes, collected</w:t>
      </w:r>
      <w:bookmarkEnd w:id="486"/>
    </w:p>
    <w:p>
      <w:pPr>
        <w:pStyle w:val="FirstParagraph"/>
      </w:pPr>
      <w:r>
        <w:rPr>
          <w:b/>
        </w:rPr>
        <w:t xml:space="preserve">(a) School districts.</w:t>
      </w:r>
      <w:r>
        <w:t xml:space="preserve"> </w:t>
      </w:r>
      <w:r>
        <w:t xml:space="preserve">The district is the field’s cleanest plaintiff: an institutional beneficiary, funded by the trust, with counsel and continuity. The lead holding is federal: in</w:t>
      </w:r>
      <w:r>
        <w:t xml:space="preserve"> </w:t>
      </w:r>
      <w:r>
        <w:rPr>
          <w:i/>
        </w:rPr>
        <w:t xml:space="preserve">Branson School District RE-82 v. Romer</w:t>
      </w:r>
      <w:r>
        <w:t xml:space="preserve"> </w:t>
      </w:r>
      <w:r>
        <w:t xml:space="preserve">the Tenth Circuit treated the Colorado school-lands compact as an enforceable trust and recognized school-district beneficiary standing to enforce it.</w:t>
      </w:r>
      <w:r>
        <w:rPr>
          <w:rStyle w:val="FootnoteReference"/>
        </w:rPr>
        <w:footnoteReference w:id="487"/>
      </w:r>
      <w:r>
        <w:t xml:space="preserve"> </w:t>
      </w:r>
      <w:r>
        <w:t xml:space="preserve">Oregon districts have separately maintained declaratory school-funding litigation —</w:t>
      </w:r>
      <w:r>
        <w:t xml:space="preserve"> </w:t>
      </w:r>
      <w:r>
        <w:rPr>
          <w:i/>
        </w:rPr>
        <w:t xml:space="preserve">Pendleton School District 16R v. State</w:t>
      </w:r>
      <w:r>
        <w:t xml:space="preserve"> </w:t>
      </w:r>
      <w:r>
        <w:t xml:space="preserve">establishes that courts may declare legislative non-compliance with the constitution’s school-funding obligations at districts’ instance — and in the pending Oregon trust case the trial court has found, at the pleading stage, that district and student plaintiffs have standing under the trust theory:</w:t>
      </w:r>
      <w:r>
        <w:t xml:space="preserve"> </w:t>
      </w:r>
      <w:r>
        <w:t xml:space="preserve">“</w:t>
      </w:r>
      <w:r>
        <w:t xml:space="preserve">if plaintiffs are correct and defendants are in fact trustees, they owe fiduciary duties to these plaintiffs, which would include, among others, the duty of loyalty, care, and prudence.</w:t>
      </w:r>
      <w:r>
        <w:t xml:space="preserve">”</w:t>
      </w:r>
      <w:r>
        <w:t xml:space="preserve"> </w:t>
      </w:r>
      <w:r>
        <w:t xml:space="preserve">[COUNSEL REVIEW — trial-level ruling in 24CV38372, public record.]</w:t>
      </w:r>
      <w:r>
        <w:rPr>
          <w:rStyle w:val="FootnoteReference"/>
        </w:rPr>
        <w:footnoteReference w:id="488"/>
      </w:r>
    </w:p>
    <w:p>
      <w:pPr>
        <w:pStyle w:val="BodyText"/>
      </w:pPr>
      <w:r>
        <w:rPr>
          <w:b/>
        </w:rPr>
        <w:t xml:space="preserve">(b) Schoolchildren.</w:t>
      </w:r>
      <w:r>
        <w:t xml:space="preserve"> </w:t>
      </w:r>
      <w:r>
        <w:t xml:space="preserve">The lead modern decision is</w:t>
      </w:r>
      <w:r>
        <w:t xml:space="preserve"> </w:t>
      </w:r>
      <w:r>
        <w:rPr>
          <w:i/>
        </w:rPr>
        <w:t xml:space="preserve">Advocates for School Trust Lands v. State</w:t>
      </w:r>
      <w:r>
        <w:t xml:space="preserve">, in which the Oregon Court of Appeals held in January 2026 that schoolchildren plaintiffs have standing under the state declaratory-judgments act to challenge the management of the common school lands.</w:t>
      </w:r>
      <w:r>
        <w:rPr>
          <w:rStyle w:val="FootnoteReference"/>
        </w:rPr>
        <w:footnoteReference w:id="489"/>
      </w:r>
      <w:r>
        <w:t xml:space="preserve"> </w:t>
      </w:r>
      <w:r>
        <w:t xml:space="preserve">The court’s three-step analysis repays study as a pleading template.</w:t>
      </w:r>
      <w:r>
        <w:t xml:space="preserve"> </w:t>
      </w:r>
      <w:r>
        <w:rPr>
          <w:i/>
        </w:rPr>
        <w:t xml:space="preserve">Legally recognized interest:</w:t>
      </w:r>
      <w:r>
        <w:t xml:space="preserve"> </w:t>
      </w:r>
      <w:r>
        <w:t xml:space="preserve">“</w:t>
      </w:r>
      <w:r>
        <w:t xml:space="preserve">school-age children are statutorily entitled to a public education—and, absent certain exceptions, are required by law to attend school. That statutory right and requirement carries with it an interest in whether, and how, the schools that children are mandated to attend are funded.</w:t>
      </w:r>
      <w:r>
        <w:t xml:space="preserve">”</w:t>
      </w:r>
      <w:r>
        <w:t xml:space="preserve"> </w:t>
      </w:r>
      <w:r>
        <w:rPr>
          <w:i/>
        </w:rPr>
        <w:t xml:space="preserve">Real or probable injury:</w:t>
      </w:r>
      <w:r>
        <w:t xml:space="preserve"> </w:t>
      </w:r>
      <w:r>
        <w:t xml:space="preserve">the court rejected the state’s argument that trust underperformance is harmless because the legislature offsets trust distributions in its school appropriations —</w:t>
      </w:r>
      <w:r>
        <w:t xml:space="preserve"> </w:t>
      </w:r>
      <w:r>
        <w:t xml:space="preserve">“</w:t>
      </w:r>
      <w:r>
        <w:t xml:space="preserve">we cannot assume, as defendants would have us do, that if the common school fund were to contribute more to overall school funding, the legislature would decrease its appropriations to keep overall school funding at the same level.</w:t>
      </w:r>
      <w:r>
        <w:t xml:space="preserve">”</w:t>
      </w:r>
      <w:r>
        <w:t xml:space="preserve"> </w:t>
      </w:r>
      <w:r>
        <w:rPr>
          <w:i/>
        </w:rPr>
        <w:t xml:space="preserve">Practical effect:</w:t>
      </w:r>
      <w:r>
        <w:t xml:space="preserve"> </w:t>
      </w:r>
      <w:r>
        <w:t xml:space="preserve">a decision on the law governing the fund’s management will have practical effects on the fund’s contribution to the plaintiffs’ education.</w:t>
      </w:r>
      <w:r>
        <w:rPr>
          <w:rStyle w:val="FootnoteReference"/>
        </w:rPr>
        <w:footnoteReference w:id="490"/>
      </w:r>
      <w:r>
        <w:t xml:space="preserve"> </w:t>
      </w:r>
      <w:r>
        <w:t xml:space="preserve">The decision is under a petition for review, pending before the Oregon Supreme Court as of May 2026 [VERIFY current status beyond May 2026], and the doctrinal argument it vindicates was articulated a quarter-century earlier in dissent in New Mexico (§ 13.4).</w:t>
      </w:r>
    </w:p>
    <w:p>
      <w:pPr>
        <w:pStyle w:val="BodyText"/>
      </w:pPr>
      <w:r>
        <w:rPr>
          <w:b/>
        </w:rPr>
        <w:t xml:space="preserve">(c) Parents.</w:t>
      </w:r>
      <w:r>
        <w:t xml:space="preserve"> </w:t>
      </w:r>
      <w:r>
        <w:t xml:space="preserve">Louisiana supplies the lead parent-standing holding: in</w:t>
      </w:r>
      <w:r>
        <w:t xml:space="preserve"> </w:t>
      </w:r>
      <w:r>
        <w:rPr>
          <w:i/>
        </w:rPr>
        <w:t xml:space="preserve">Ebey v. Avoyelles Parish School Board</w:t>
      </w:r>
      <w:r>
        <w:t xml:space="preserve"> </w:t>
      </w:r>
      <w:r>
        <w:t xml:space="preserve">the court held Section 16 lands are held in trust and managed by school boards</w:t>
      </w:r>
      <w:r>
        <w:t xml:space="preserve"> </w:t>
      </w:r>
      <w:r>
        <w:t xml:space="preserve">“</w:t>
      </w:r>
      <w:r>
        <w:t xml:space="preserve">in the manner of a statutory trustee,</w:t>
      </w:r>
      <w:r>
        <w:t xml:space="preserve">”</w:t>
      </w:r>
      <w:r>
        <w:t xml:space="preserve"> </w:t>
      </w:r>
      <w:r>
        <w:t xml:space="preserve">and affirmed without qualification that a father of children attending parish schools had standing to pursue a grievance against the board.</w:t>
      </w:r>
      <w:r>
        <w:rPr>
          <w:rStyle w:val="FootnoteReference"/>
        </w:rPr>
        <w:footnoteReference w:id="491"/>
      </w:r>
      <w:r>
        <w:t xml:space="preserve"> </w:t>
      </w:r>
      <w:r>
        <w:t xml:space="preserve">Parents also appear as representatives — suing on behalf of minor schoolchildren — a posture</w:t>
      </w:r>
      <w:r>
        <w:t xml:space="preserve"> </w:t>
      </w:r>
      <w:r>
        <w:rPr>
          <w:i/>
        </w:rPr>
        <w:t xml:space="preserve">Forest Guardians</w:t>
      </w:r>
      <w:r>
        <w:t xml:space="preserve"> </w:t>
      </w:r>
      <w:r>
        <w:t xml:space="preserve">rejected and</w:t>
      </w:r>
      <w:r>
        <w:t xml:space="preserve"> </w:t>
      </w:r>
      <w:r>
        <w:rPr>
          <w:i/>
        </w:rPr>
        <w:t xml:space="preserve">Advocates</w:t>
      </w:r>
      <w:r>
        <w:t xml:space="preserve"> </w:t>
      </w:r>
      <w:r>
        <w:t xml:space="preserve">(where parents sued as guardians ad litem) effectively accepted.</w:t>
      </w:r>
      <w:r>
        <w:rPr>
          <w:rStyle w:val="FootnoteReference"/>
        </w:rPr>
        <w:footnoteReference w:id="492"/>
      </w:r>
    </w:p>
    <w:p>
      <w:pPr>
        <w:pStyle w:val="BodyText"/>
      </w:pPr>
      <w:r>
        <w:rPr>
          <w:b/>
        </w:rPr>
        <w:t xml:space="preserve">(d) Teachers and associations.</w:t>
      </w:r>
      <w:r>
        <w:t xml:space="preserve"> </w:t>
      </w:r>
      <w:r>
        <w:rPr>
          <w:i/>
        </w:rPr>
        <w:t xml:space="preserve">ASARCO</w:t>
      </w:r>
      <w:r>
        <w:t xml:space="preserve"> </w:t>
      </w:r>
      <w:r>
        <w:t xml:space="preserve">itself: schoolteachers and their education association maintained the suit in state court (§ 13.2).</w:t>
      </w:r>
      <w:r>
        <w:rPr>
          <w:rStyle w:val="FootnoteReference"/>
        </w:rPr>
        <w:footnoteReference w:id="493"/>
      </w:r>
    </w:p>
    <w:p>
      <w:pPr>
        <w:pStyle w:val="BodyText"/>
      </w:pPr>
      <w:r>
        <w:rPr>
          <w:b/>
        </w:rPr>
        <w:t xml:space="preserve">(e) Citizen organizations.</w:t>
      </w:r>
      <w:r>
        <w:t xml:space="preserve"> </w:t>
      </w:r>
      <w:r>
        <w:t xml:space="preserve">The record is mixed. In Montana, a citizen organization prosecuted the leading state case to a merits judgment holding multiple trust-management statutes facially unconstitutional, and the court adopted the private-attorney-general doctrine, making attorney fees available to successful school-trust plaintiffs — a holding about the economics of enforcement that functions, in practice, as a standing subsidy.</w:t>
      </w:r>
      <w:r>
        <w:rPr>
          <w:rStyle w:val="FootnoteReference"/>
        </w:rPr>
        <w:footnoteReference w:id="494"/>
      </w:r>
      <w:r>
        <w:t xml:space="preserve"> </w:t>
      </w:r>
      <w:r>
        <w:t xml:space="preserve">In Idaho, the</w:t>
      </w:r>
      <w:r>
        <w:t xml:space="preserve"> </w:t>
      </w:r>
      <w:r>
        <w:rPr>
          <w:i/>
        </w:rPr>
        <w:t xml:space="preserve">Selkirk-Priest Basin</w:t>
      </w:r>
      <w:r>
        <w:t xml:space="preserve"> </w:t>
      </w:r>
      <w:r>
        <w:t xml:space="preserve">litigation — the standing companion to the</w:t>
      </w:r>
      <w:r>
        <w:t xml:space="preserve"> </w:t>
      </w:r>
      <w:r>
        <w:rPr>
          <w:i/>
        </w:rPr>
        <w:t xml:space="preserve">Idaho Watersheds</w:t>
      </w:r>
      <w:r>
        <w:t xml:space="preserve"> </w:t>
      </w:r>
      <w:r>
        <w:t xml:space="preserve">line — denied environmental organizations standing to enforce the trust, identifying the schools and their districts, not the organizations or their members, as the trust’s direct beneficiaries; a second appeal added that a member’s recreational and aesthetic interest in the land confers no standing either.</w:t>
      </w:r>
      <w:r>
        <w:rPr>
          <w:rStyle w:val="FootnoteReference"/>
        </w:rPr>
        <w:footnoteReference w:id="495"/>
      </w:r>
      <w:r>
        <w:t xml:space="preserve"> </w:t>
      </w:r>
      <w:r>
        <w:t xml:space="preserve">In New Mexico, conservation organizations were denied standing in</w:t>
      </w:r>
      <w:r>
        <w:t xml:space="preserve"> </w:t>
      </w:r>
      <w:r>
        <w:rPr>
          <w:i/>
        </w:rPr>
        <w:t xml:space="preserve">Forest Guardians</w:t>
      </w:r>
      <w:r>
        <w:t xml:space="preserve"> </w:t>
      </w:r>
      <w:r>
        <w:t xml:space="preserve">(§ 13.4). The pattern the verified corpus supports: organizational plaintiffs succeed where their membership or mission connects to the beneficiary class (teachers’ associations; school-trust-purpose organizations) and fail where the asserted interest is the land’s general environmental or public value — which is, after Chapter 5, exactly what the doctrine predicts, since the trust’s beneficiary class is closed and</w:t>
      </w:r>
      <w:r>
        <w:t xml:space="preserve"> </w:t>
      </w:r>
      <w:r>
        <w:t xml:space="preserve">“</w:t>
      </w:r>
      <w:r>
        <w:t xml:space="preserve">the people generally</w:t>
      </w:r>
      <w:r>
        <w:t xml:space="preserve">”</w:t>
      </w:r>
      <w:r>
        <w:t xml:space="preserve"> </w:t>
      </w:r>
      <w:r>
        <w:t xml:space="preserve">are not it.</w:t>
      </w:r>
    </w:p>
    <w:p>
      <w:pPr>
        <w:pStyle w:val="BodyText"/>
      </w:pPr>
      <w:r>
        <w:rPr>
          <w:b/>
        </w:rPr>
        <w:t xml:space="preserve">(f) Taxpayers.</w:t>
      </w:r>
      <w:r>
        <w:t xml:space="preserve"> </w:t>
      </w:r>
      <w:r>
        <w:t xml:space="preserve">The corpus is thinnest here.</w:t>
      </w:r>
      <w:r>
        <w:t xml:space="preserve"> </w:t>
      </w:r>
      <w:r>
        <w:rPr>
          <w:i/>
        </w:rPr>
        <w:t xml:space="preserve">Asplund v. Hannett</w:t>
      </w:r>
      <w:r>
        <w:t xml:space="preserve"> </w:t>
      </w:r>
      <w:r>
        <w:t xml:space="preserve">is the historical baseline — the 1926 New Mexico decision addressing who, beyond the attorneys general, may sue to enforce the Ferguson Act trust framework. It is a</w:t>
      </w:r>
      <w:r>
        <w:t xml:space="preserve"> </w:t>
      </w:r>
      <w:r>
        <w:rPr>
          <w:i/>
        </w:rPr>
        <w:t xml:space="preserve">restrictive</w:t>
      </w:r>
      <w:r>
        <w:t xml:space="preserve"> </w:t>
      </w:r>
      <w:r>
        <w:t xml:space="preserve">baseline: the court held that a citizen has no judicially cognizable standing to sue merely to vindicate the Constitution, and declined to extend the taxpayer’s recognized right to enjoin misapplication of</w:t>
      </w:r>
      <w:r>
        <w:t xml:space="preserve"> </w:t>
      </w:r>
      <w:r>
        <w:rPr>
          <w:i/>
        </w:rPr>
        <w:t xml:space="preserve">municipal</w:t>
      </w:r>
      <w:r>
        <w:t xml:space="preserve"> </w:t>
      </w:r>
      <w:r>
        <w:t xml:space="preserve">funds to suits against</w:t>
      </w:r>
      <w:r>
        <w:t xml:space="preserve"> </w:t>
      </w:r>
      <w:r>
        <w:rPr>
          <w:i/>
        </w:rPr>
        <w:t xml:space="preserve">state</w:t>
      </w:r>
      <w:r>
        <w:t xml:space="preserve"> </w:t>
      </w:r>
      <w:r>
        <w:t xml:space="preserve">officers, dismissing the appeal.</w:t>
      </w:r>
      <w:r>
        <w:rPr>
          <w:rStyle w:val="FootnoteReference"/>
        </w:rPr>
        <w:footnoteReference w:id="496"/>
      </w:r>
      <w:r>
        <w:t xml:space="preserve"> </w:t>
      </w:r>
      <w:r>
        <w:rPr>
          <w:i/>
        </w:rPr>
        <w:t xml:space="preserve">Forest Guardians v. Powell</w:t>
      </w:r>
      <w:r>
        <w:t xml:space="preserve"> </w:t>
      </w:r>
      <w:r>
        <w:t xml:space="preserve">(§ 13.4) later revisits this baseline. Taxpayer-standing accord cases not yet collected.</w:t>
      </w:r>
    </w:p>
    <w:p>
      <w:pPr>
        <w:pStyle w:val="Heading3"/>
      </w:pPr>
      <w:bookmarkStart w:id="497" w:name="X5f41f2c65ebb062aa285b08f797beb605cd6ae4"/>
      <w:r>
        <w:t xml:space="preserve">§ 13.4 The charitable-trust channeling rule and its critics</w:t>
      </w:r>
      <w:bookmarkEnd w:id="497"/>
    </w:p>
    <w:p>
      <w:pPr>
        <w:pStyle w:val="FirstParagraph"/>
      </w:pPr>
      <w:r>
        <w:t xml:space="preserve">The counter-rule has one principal modern authority. In</w:t>
      </w:r>
      <w:r>
        <w:t xml:space="preserve"> </w:t>
      </w:r>
      <w:r>
        <w:rPr>
          <w:i/>
        </w:rPr>
        <w:t xml:space="preserve">Forest Guardians v. Powell</w:t>
      </w:r>
      <w:r>
        <w:t xml:space="preserve">, the New Mexico Court of Appeals confronted plaintiffs of two kinds — environmental conservation groups, and parents suing on behalf of minor schoolchildren-beneficiaries — and denied standing across the board, treating the school trust as a charitable trust whose enforcement rests with the state attorney general rather than with beneficiary plaintiffs.</w:t>
      </w:r>
      <w:r>
        <w:rPr>
          <w:rStyle w:val="FootnoteReference"/>
        </w:rPr>
        <w:footnoteReference w:id="498"/>
      </w:r>
    </w:p>
    <w:p>
      <w:pPr>
        <w:pStyle w:val="BodyText"/>
      </w:pPr>
      <w:r>
        <w:t xml:space="preserve">Stated at full strength, the channeling position is not arbitrary. The beneficiary class, though named, is large and fluid; a rule licensing every schoolchild to sue invites duplicative and inconsistent litigation over discretionary management; the trust’s public character makes the public’s elected law officer a textually plausible enforcer; New Mexico’s own structure vests administration in a statewide elected fiduciary already answerable at the ballot; and the 1910 Enabling Act contains an express enforcement clause running to the Attorney General</w:t>
      </w:r>
      <w:r>
        <w:t xml:space="preserve"> </w:t>
      </w:r>
      <w:r>
        <w:rPr>
          <w:i/>
        </w:rPr>
        <w:t xml:space="preserve">of the United States</w:t>
      </w:r>
      <w:r>
        <w:t xml:space="preserve"> </w:t>
      </w:r>
      <w:r>
        <w:t xml:space="preserve">— a drafting choice a court may fairly read as locating enforcement in official rather than private hands.</w:t>
      </w:r>
      <w:r>
        <w:rPr>
          <w:rStyle w:val="FootnoteReference"/>
        </w:rPr>
        <w:footnoteReference w:id="499"/>
      </w:r>
      <w:r>
        <w:t xml:space="preserve"> </w:t>
      </w:r>
      <w:r>
        <w:t xml:space="preserve">These are the arguments a state will brief, and they persuaded a majority.</w:t>
      </w:r>
    </w:p>
    <w:p>
      <w:pPr>
        <w:pStyle w:val="BodyText"/>
      </w:pPr>
      <w:r>
        <w:t xml:space="preserve">The criticisms are textual, structural, and doctrinal. Textually, Judge Bustamante’s separate opinion — concurring as to the conservation groups, dissenting as to the schoolchildren — has become the most-cited statement of the beneficiary-standing argument in the field:</w:t>
      </w:r>
      <w:r>
        <w:t xml:space="preserve"> </w:t>
      </w:r>
      <w:r>
        <w:t xml:space="preserve">“</w:t>
      </w:r>
      <w:r>
        <w:t xml:space="preserve">The majority opinion applies our standing case law too cautiously and in the process essentially voids that provision of Section 10 of the Enabling Act which reserves the</w:t>
      </w:r>
      <w:r>
        <w:t xml:space="preserve"> </w:t>
      </w:r>
      <w:r>
        <w:t xml:space="preserve">‘</w:t>
      </w:r>
      <w:r>
        <w:t xml:space="preserve">power … of any citizen [of the State] to enforce the provisions of this act.</w:t>
      </w:r>
      <w:r>
        <w:t xml:space="preserve">’</w:t>
      </w:r>
      <w:r>
        <w:t xml:space="preserve">”</w:t>
      </w:r>
      <w:r>
        <w:rPr>
          <w:rStyle w:val="FootnoteReference"/>
        </w:rPr>
        <w:footnoteReference w:id="500"/>
      </w:r>
      <w:r>
        <w:t xml:space="preserve"> </w:t>
      </w:r>
      <w:r>
        <w:t xml:space="preserve">A grant whose named object is the schools, construed so that no member of the school community can reach a court, enforces itself only at the enforcer’s pleasure. Structurally, channeling enforcement to the state attorney general assigns the trust’s only champion the office that ordinarily represents the trustee — and the corpus documents that office siding with the sovereign against the trust: the New Mexico attorney general opinions excusing uncompensated highway takings, later disapproved in</w:t>
      </w:r>
      <w:r>
        <w:t xml:space="preserve"> </w:t>
      </w:r>
      <w:r>
        <w:rPr>
          <w:i/>
        </w:rPr>
        <w:t xml:space="preserve">Walker</w:t>
      </w:r>
      <w:r>
        <w:t xml:space="preserve">, issued from the very office</w:t>
      </w:r>
      <w:r>
        <w:t xml:space="preserve"> </w:t>
      </w:r>
      <w:r>
        <w:rPr>
          <w:i/>
        </w:rPr>
        <w:t xml:space="preserve">Forest Guardians</w:t>
      </w:r>
      <w:r>
        <w:t xml:space="preserve"> </w:t>
      </w:r>
      <w:r>
        <w:t xml:space="preserve">makes the exclusive enforcer (the conflict is Chapter 14’s subject).</w:t>
      </w:r>
      <w:r>
        <w:rPr>
          <w:rStyle w:val="FootnoteReference"/>
        </w:rPr>
        <w:footnoteReference w:id="501"/>
      </w:r>
      <w:r>
        <w:t xml:space="preserve"> </w:t>
      </w:r>
      <w:r>
        <w:t xml:space="preserve">Doctrinally, the charitable-trust analogy is contestable because the class is not indefinite: districts are countable, schoolchildren are enrolled, and the beneficial interest is concrete enough that</w:t>
      </w:r>
      <w:r>
        <w:t xml:space="preserve"> </w:t>
      </w:r>
      <w:r>
        <w:rPr>
          <w:i/>
        </w:rPr>
        <w:t xml:space="preserve">ASARCO</w:t>
      </w:r>
      <w:r>
        <w:t xml:space="preserve">’s teachers and</w:t>
      </w:r>
      <w:r>
        <w:t xml:space="preserve"> </w:t>
      </w:r>
      <w:r>
        <w:rPr>
          <w:i/>
        </w:rPr>
        <w:t xml:space="preserve">Branson</w:t>
      </w:r>
      <w:r>
        <w:t xml:space="preserve">’s districts litigated it to judgment. The decisions in the verified corpus that squarely sustain beneficiary-side standing —</w:t>
      </w:r>
      <w:r>
        <w:t xml:space="preserve"> </w:t>
      </w:r>
      <w:r>
        <w:rPr>
          <w:i/>
        </w:rPr>
        <w:t xml:space="preserve">Branson</w:t>
      </w:r>
      <w:r>
        <w:t xml:space="preserve"> </w:t>
      </w:r>
      <w:r>
        <w:t xml:space="preserve">(1998),</w:t>
      </w:r>
      <w:r>
        <w:t xml:space="preserve"> </w:t>
      </w:r>
      <w:r>
        <w:rPr>
          <w:i/>
        </w:rPr>
        <w:t xml:space="preserve">Ebey</w:t>
      </w:r>
      <w:r>
        <w:t xml:space="preserve"> </w:t>
      </w:r>
      <w:r>
        <w:t xml:space="preserve">(2003),</w:t>
      </w:r>
      <w:r>
        <w:t xml:space="preserve"> </w:t>
      </w:r>
      <w:r>
        <w:rPr>
          <w:i/>
        </w:rPr>
        <w:t xml:space="preserve">Advocates</w:t>
      </w:r>
      <w:r>
        <w:t xml:space="preserve"> </w:t>
      </w:r>
      <w:r>
        <w:t xml:space="preserve">(2026), with</w:t>
      </w:r>
      <w:r>
        <w:t xml:space="preserve"> </w:t>
      </w:r>
      <w:r>
        <w:rPr>
          <w:i/>
        </w:rPr>
        <w:t xml:space="preserve">ASARCO</w:t>
      </w:r>
      <w:r>
        <w:t xml:space="preserve"> </w:t>
      </w:r>
      <w:r>
        <w:t xml:space="preserve">(1989) before them — now outnumber the channeling rule’s holdings, though</w:t>
      </w:r>
      <w:r>
        <w:t xml:space="preserve"> </w:t>
      </w:r>
      <w:r>
        <w:rPr>
          <w:i/>
        </w:rPr>
        <w:t xml:space="preserve">Forest Guardians</w:t>
      </w:r>
      <w:r>
        <w:t xml:space="preserve"> </w:t>
      </w:r>
      <w:r>
        <w:t xml:space="preserve">remains good law in New Mexico and the criticism that it immunizes the trustee from beneficiary oversight remains commentary rather than holding [VERIFY — the scholarly literature on</w:t>
      </w:r>
      <w:r>
        <w:t xml:space="preserve"> </w:t>
      </w:r>
      <w:r>
        <w:rPr>
          <w:i/>
        </w:rPr>
        <w:t xml:space="preserve">Forest Guardians</w:t>
      </w:r>
      <w:r>
        <w:t xml:space="preserve"> </w:t>
      </w:r>
      <w:r>
        <w:t xml:space="preserve">is referenced but not yet collected].</w:t>
      </w:r>
      <w:r>
        <w:rPr>
          <w:rStyle w:val="FootnoteReference"/>
        </w:rPr>
        <w:footnoteReference w:id="502"/>
      </w:r>
    </w:p>
    <w:p>
      <w:pPr>
        <w:pStyle w:val="Heading3"/>
      </w:pPr>
      <w:bookmarkStart w:id="503" w:name="representation-of-future-beneficiaries"/>
      <w:r>
        <w:t xml:space="preserve">§ 13.5 Representation of future beneficiaries</w:t>
      </w:r>
      <w:bookmarkEnd w:id="503"/>
    </w:p>
    <w:p>
      <w:pPr>
        <w:pStyle w:val="FirstParagraph"/>
      </w:pPr>
      <w:r>
        <w:t xml:space="preserve">The school trust’s beneficiary class has a feature almost no private trust shares at scale: most of its members are not yet born. The trusts are perpetual; the children of 2126 hold the same beneficial interest as the children of today (Chapter 8 develops the impartiality consequences).</w:t>
      </w:r>
    </w:p>
    <w:p>
      <w:pPr>
        <w:pStyle w:val="BodyText"/>
      </w:pPr>
      <w:r>
        <w:t xml:space="preserve">No case in the verified corpus appoints or recognizes a representative for future beneficiaries as such. The future class’s interest surfaces, instead, in impartiality reasoning and — most vividly — in dissent: Justice Nelson’s protest in</w:t>
      </w:r>
      <w:r>
        <w:t xml:space="preserve"> </w:t>
      </w:r>
      <w:r>
        <w:rPr>
          <w:i/>
        </w:rPr>
        <w:t xml:space="preserve">Darkenwald</w:t>
      </w:r>
      <w:r>
        <w:t xml:space="preserve"> </w:t>
      </w:r>
      <w:r>
        <w:t xml:space="preserve">that a revenue-commingling scheme</w:t>
      </w:r>
      <w:r>
        <w:t xml:space="preserve"> </w:t>
      </w:r>
      <w:r>
        <w:t xml:space="preserve">“</w:t>
      </w:r>
      <w:r>
        <w:t xml:space="preserve">robs Peter (future generations of school children) to pay Paul (present day school children)</w:t>
      </w:r>
      <w:r>
        <w:t xml:space="preserve">”</w:t>
      </w:r>
      <w:r>
        <w:t xml:space="preserve"> </w:t>
      </w:r>
      <w:r>
        <w:t xml:space="preserve">is the corpus’s clearest articulation of the future class as a distinct constituency capable of being expropriated by the present one.</w:t>
      </w:r>
      <w:r>
        <w:rPr>
          <w:rStyle w:val="FootnoteReference"/>
        </w:rPr>
        <w:footnoteReference w:id="504"/>
      </w:r>
      <w:r>
        <w:t xml:space="preserve"> </w:t>
      </w:r>
      <w:r>
        <w:t xml:space="preserve">Present-beneficiary plaintiffs functionally represent the future class whenever they defend corpus inviolability, because corpus protection is the future class’s entire interest; but the formal machinery — virtual representation, guardians ad litem for unborn beneficiaries, the parens patriae function deployed</w:t>
      </w:r>
      <w:r>
        <w:t xml:space="preserve"> </w:t>
      </w:r>
      <w:r>
        <w:rPr>
          <w:i/>
        </w:rPr>
        <w:t xml:space="preserve">for</w:t>
      </w:r>
      <w:r>
        <w:t xml:space="preserve"> </w:t>
      </w:r>
      <w:r>
        <w:t xml:space="preserve">rather than against enforcement — remains uncollected for the school-trust context.</w:t>
      </w:r>
      <w:r>
        <w:rPr>
          <w:rStyle w:val="FootnoteReference"/>
        </w:rPr>
        <w:footnoteReference w:id="505"/>
      </w:r>
      <w:r>
        <w:t xml:space="preserve"> </w:t>
      </w:r>
      <w:r>
        <w:t xml:space="preserve">The model act proposed in Chapter 20 would respond directly, with express standing provisions reaching present and future beneficiaries; it is described with the rest of the act’s architecture there.</w:t>
      </w:r>
    </w:p>
    <w:p>
      <w:pPr>
        <w:pStyle w:val="Heading3"/>
      </w:pPr>
      <w:bookmarkStart w:id="506" w:name="synthesis-10"/>
      <w:r>
        <w:t xml:space="preserve">§ 13.6 Synthesis</w:t>
      </w:r>
      <w:bookmarkEnd w:id="506"/>
    </w:p>
    <w:p>
      <w:pPr>
        <w:numPr>
          <w:ilvl w:val="0"/>
          <w:numId w:val="1013"/>
        </w:numPr>
        <w:pStyle w:val="Compact"/>
      </w:pPr>
      <w:r>
        <w:rPr>
          <w:b/>
        </w:rPr>
        <w:t xml:space="preserve">Beneficiary-side standing is the field’s documented majority practice.</w:t>
      </w:r>
      <w:r>
        <w:t xml:space="preserve"> </w:t>
      </w:r>
      <w:r>
        <w:t xml:space="preserve">Districts (</w:t>
      </w:r>
      <w:r>
        <w:rPr>
          <w:i/>
        </w:rPr>
        <w:t xml:space="preserve">Branson</w:t>
      </w:r>
      <w:r>
        <w:t xml:space="preserve">), schoolchildren (</w:t>
      </w:r>
      <w:r>
        <w:rPr>
          <w:i/>
        </w:rPr>
        <w:t xml:space="preserve">Advocates</w:t>
      </w:r>
      <w:r>
        <w:t xml:space="preserve">), parents (</w:t>
      </w:r>
      <w:r>
        <w:rPr>
          <w:i/>
        </w:rPr>
        <w:t xml:space="preserve">Ebey</w:t>
      </w:r>
      <w:r>
        <w:t xml:space="preserve">), and teachers and their associations (</w:t>
      </w:r>
      <w:r>
        <w:rPr>
          <w:i/>
        </w:rPr>
        <w:t xml:space="preserve">ASARCO</w:t>
      </w:r>
      <w:r>
        <w:t xml:space="preserve">) have each maintained school-trust suits to judgment or published standing holdings.</w:t>
      </w:r>
      <w:r>
        <w:rPr>
          <w:rStyle w:val="FootnoteReference"/>
        </w:rPr>
        <w:footnoteReference w:id="507"/>
      </w:r>
    </w:p>
    <w:p>
      <w:pPr>
        <w:numPr>
          <w:ilvl w:val="0"/>
          <w:numId w:val="1013"/>
        </w:numPr>
        <w:pStyle w:val="Compact"/>
      </w:pPr>
      <w:r>
        <w:rPr>
          <w:b/>
        </w:rPr>
        <w:t xml:space="preserve">The charitable-trust channeling rule is the principal counter-authority.</w:t>
      </w:r>
      <w:r>
        <w:t xml:space="preserve"> </w:t>
      </w:r>
      <w:r>
        <w:rPr>
          <w:i/>
        </w:rPr>
        <w:t xml:space="preserve">Forest Guardians</w:t>
      </w:r>
      <w:r>
        <w:t xml:space="preserve"> </w:t>
      </w:r>
      <w:r>
        <w:t xml:space="preserve">denies all non-attorney-general plaintiffs; it concedes trust character, was contested within its own panel, and carries the structural cost analyzed in Chapter 14.</w:t>
      </w:r>
      <w:r>
        <w:rPr>
          <w:rStyle w:val="FootnoteReference"/>
        </w:rPr>
        <w:footnoteReference w:id="508"/>
      </w:r>
    </w:p>
    <w:p>
      <w:pPr>
        <w:numPr>
          <w:ilvl w:val="0"/>
          <w:numId w:val="1013"/>
        </w:numPr>
        <w:pStyle w:val="Compact"/>
      </w:pPr>
      <w:r>
        <w:rPr>
          <w:b/>
        </w:rPr>
        <w:t xml:space="preserve">The forum is the states’.</w:t>
      </w:r>
      <w:r>
        <w:t xml:space="preserve"> </w:t>
      </w:r>
      <w:r>
        <w:t xml:space="preserve">Article III constrains the federal courthouse only;</w:t>
      </w:r>
      <w:r>
        <w:t xml:space="preserve"> </w:t>
      </w:r>
      <w:r>
        <w:rPr>
          <w:i/>
        </w:rPr>
        <w:t xml:space="preserve">ASARCO</w:t>
      </w:r>
      <w:r>
        <w:t xml:space="preserve"> </w:t>
      </w:r>
      <w:r>
        <w:t xml:space="preserve">teaches that state standing law governs the docket where this field actually lives.</w:t>
      </w:r>
      <w:r>
        <w:rPr>
          <w:rStyle w:val="FootnoteReference"/>
        </w:rPr>
        <w:footnoteReference w:id="509"/>
      </w:r>
    </w:p>
    <w:p>
      <w:pPr>
        <w:numPr>
          <w:ilvl w:val="0"/>
          <w:numId w:val="1013"/>
        </w:numPr>
        <w:pStyle w:val="Compact"/>
      </w:pPr>
      <w:r>
        <w:rPr>
          <w:b/>
        </w:rPr>
        <w:t xml:space="preserve">Plead the concrete funding interest.</w:t>
      </w:r>
      <w:r>
        <w:t xml:space="preserve"> </w:t>
      </w:r>
      <w:r>
        <w:t xml:space="preserve">The</w:t>
      </w:r>
      <w:r>
        <w:t xml:space="preserve"> </w:t>
      </w:r>
      <w:r>
        <w:rPr>
          <w:i/>
        </w:rPr>
        <w:t xml:space="preserve">Advocates</w:t>
      </w:r>
      <w:r>
        <w:t xml:space="preserve"> </w:t>
      </w:r>
      <w:r>
        <w:t xml:space="preserve">three-step rewards plaintiffs who connect trust administration to school funding and who rebut the offset assumption — the state’s standard argument that legislative appropriations neutralize any trust-level injury.</w:t>
      </w:r>
      <w:r>
        <w:rPr>
          <w:rStyle w:val="FootnoteReference"/>
        </w:rPr>
        <w:footnoteReference w:id="510"/>
      </w:r>
    </w:p>
    <w:p>
      <w:pPr>
        <w:numPr>
          <w:ilvl w:val="0"/>
          <w:numId w:val="1013"/>
        </w:numPr>
        <w:pStyle w:val="Compact"/>
      </w:pPr>
      <w:r>
        <w:rPr>
          <w:b/>
        </w:rPr>
        <w:t xml:space="preserve">Future-beneficiary representation is doctrinally underdeveloped</w:t>
      </w:r>
      <w:r>
        <w:t xml:space="preserve"> </w:t>
      </w:r>
      <w:r>
        <w:t xml:space="preserve">— visible in dissent, unbuilt in holding; the gap the reform instruments of Part VIII address.</w:t>
      </w:r>
      <w:r>
        <w:rPr>
          <w:rStyle w:val="FootnoteReference"/>
        </w:rPr>
        <w:footnoteReference w:id="511"/>
      </w:r>
    </w:p>
    <w:p>
      <w:r>
        <w:pict>
          <v:rect style="width:0;height:1.5pt" o:hralign="center" o:hrstd="t" o:hr="t"/>
        </w:pict>
      </w:r>
    </w:p>
    <w:p>
      <w:pPr>
        <w:pStyle w:val="FirstParagraph"/>
      </w:pPr>
      <w:r>
        <w:rPr>
          <w:i/>
        </w:rPr>
        <w:t xml:space="preserve">End of Chapter 13 v1 (formerly Chapter 12 v0). Citation pass 2026-06-07 (this version): footnotes converted to named keys; the model-act footnote removed — the act is referenced in text as a proposal only, per the self-citation rule; the unsourced</w:t>
      </w:r>
      <w:r>
        <w:rPr>
          <w:i/>
        </w:rPr>
        <w:t xml:space="preserve"> </w:t>
      </w:r>
      <w:r>
        <w:rPr>
          <w:i/>
        </w:rPr>
        <w:t xml:space="preserve">“</w:t>
      </w:r>
      <w:r>
        <w:rPr>
          <w:i/>
        </w:rPr>
        <w:t xml:space="preserve">among the most-cited standing decisions in the field</w:t>
      </w:r>
      <w:r>
        <w:rPr>
          <w:i/>
        </w:rPr>
        <w:t xml:space="preserve">”</w:t>
      </w:r>
      <w:r>
        <w:rPr>
          <w:i/>
        </w:rPr>
        <w:t xml:space="preserve"> </w:t>
      </w:r>
      <w:r>
        <w:rPr>
          <w:i/>
        </w:rPr>
        <w:t xml:space="preserve">characterization of Asplund cut pending the full pull. Verification queue (updated June 7, 2026 — Forest Guardians v. Powell, Selkirk-Priest I and II, Papasan, Savage, and Forest Guardians v. Wells are verified against full primaries): Asplund full-opinion pull (the held copy is a stub); the A177308 disposition (Register G-1); the Darkenwald full opinion (the Nelson dissent quotation and joining justice); the ASARCO 626 pin (held copy is a digest); the Statute of Charitable Uses text; the Advocates petition-for-review status beyond May 2026; the scholarly literature on the channeling rule.</w:t>
      </w:r>
    </w:p>
    <w:p>
      <w:r>
        <w:br w:type="page"/>
      </w:r>
    </w:p>
    <w:p>
      <w:pPr>
        <w:pStyle w:val="Heading1"/>
      </w:pPr>
      <w:bookmarkStart w:id="512" w:name="X7c7bd196003b6b92b23b6577cbc177724d605f3"/>
      <w:r>
        <w:t xml:space="preserve">Chapter 14 — The Attorney General Problem and Independent Enforcement (v1)</w:t>
      </w:r>
      <w:bookmarkEnd w:id="512"/>
    </w:p>
    <w:p>
      <w:pPr>
        <w:pStyle w:val="FirstParagraph"/>
      </w:pPr>
      <w:r>
        <w:rPr>
          <w:i/>
        </w:rPr>
        <w:t xml:space="preserve">Status: v1 (formerly Chapter 13 in the v0 numbering). Renumbered to the consolidated twenty-chapter scheme; numeric footnotes converted to named keys per the project citation standard; the chapter’s central objection rewritten in the treatise’s own voice on Restatement authority — the model act now appears only as a subject reference, never as cited authority; [VERIFY] flags mark items awaiting primary-source confirmation under quality gate G3. Passages touching the pending and recent Oregon litigation are drawn from the public record only and carry [COUNSEL REVIEW] flags.</w:t>
      </w:r>
    </w:p>
    <w:p>
      <w:r>
        <w:pict>
          <v:rect style="width:0;height:1.5pt" o:hralign="center" o:hrstd="t" o:hr="t"/>
        </w:pict>
      </w:r>
    </w:p>
    <w:p>
      <w:pPr>
        <w:pStyle w:val="Heading3"/>
      </w:pPr>
      <w:bookmarkStart w:id="513" w:name="the-problem-stated-1"/>
      <w:r>
        <w:t xml:space="preserve">§ 14.1 The problem stated</w:t>
      </w:r>
      <w:bookmarkEnd w:id="513"/>
    </w:p>
    <w:p>
      <w:pPr>
        <w:pStyle w:val="FirstParagraph"/>
      </w:pPr>
      <w:r>
        <w:t xml:space="preserve">Chapter 13 ends at a door this chapter opens. Where a court adopts the charitable-trust framing of the school trust, enforcement is channeled to the state’s attorney general: beneficiary plaintiffs are turned away, and the attorney general becomes, by everyone else’s exclusion, the trust’s enforcer. The lead case is</w:t>
      </w:r>
      <w:r>
        <w:t xml:space="preserve"> </w:t>
      </w:r>
      <w:r>
        <w:rPr>
          <w:i/>
        </w:rPr>
        <w:t xml:space="preserve">Forest Guardians v. Powell</w:t>
      </w:r>
      <w:r>
        <w:t xml:space="preserve">, in which the New Mexico Court of Appeals denied standing both to conservation groups and to parents suing on behalf of minor schoolchildren-beneficiaries, treating the school trust as a charitable trust whose enforcement rests with the state attorney general rather than with beneficiary plaintiffs.</w:t>
      </w:r>
      <w:r>
        <w:rPr>
          <w:rStyle w:val="FootnoteReference"/>
        </w:rPr>
        <w:footnoteReference w:id="514"/>
      </w:r>
      <w:r>
        <w:rPr>
          <w:rStyle w:val="FootnoteReference"/>
        </w:rPr>
        <w:footnoteReference w:id="515"/>
      </w:r>
    </w:p>
    <w:p>
      <w:pPr>
        <w:pStyle w:val="BodyText"/>
      </w:pPr>
      <w:r>
        <w:t xml:space="preserve">The difficulty is structural, and it can be stated without impugning any officeholder. Trust law builds its enforcement architecture on independence: someone other than the trustee must be able to call the trustee to account. For private trusts, that someone is the beneficiary. For charitable trusts, whose beneficiaries are indefinite, the law substitutes the attorney general as the community’s representative — the Restatement’s settled allocation of enforcement authority.</w:t>
      </w:r>
      <w:r>
        <w:rPr>
          <w:rStyle w:val="FootnoteReference"/>
        </w:rPr>
        <w:footnoteReference w:id="516"/>
      </w:r>
      <w:r>
        <w:t xml:space="preserve"> </w:t>
      </w:r>
      <w:r>
        <w:t xml:space="preserve">The substitution works only on the premise that the office stands apart from the trustee it polices. In the trust-lands states, as in American jurisdictions generally, the attorney general (or the functional equivalent) is also the ordinary legal counsel of the state’s agencies — including the land board, commissioner, or administration that serves as trustee. When a court channels school-trust enforcement to that office while the same office serves as the trustee’s litigation counsel, the premise fails: the trust’s only designated protector is the trustee’s own lawyer, and the office must either proceed against its client or leave the trust unenforced. Private trust administration tolerates no comparable arrangement — the conflict rules of fiduciary representation exist to prevent exactly this configuration. Judge Bustamante’s separate opinion in</w:t>
      </w:r>
      <w:r>
        <w:t xml:space="preserve"> </w:t>
      </w:r>
      <w:r>
        <w:rPr>
          <w:i/>
        </w:rPr>
        <w:t xml:space="preserve">Forest Guardians</w:t>
      </w:r>
      <w:r>
        <w:t xml:space="preserve"> </w:t>
      </w:r>
      <w:r>
        <w:t xml:space="preserve">pressed the practical consequence from the bench: by closing the courthouse to beneficiaries while leaving enforcement with public officers, the majority</w:t>
      </w:r>
      <w:r>
        <w:t xml:space="preserve"> </w:t>
      </w:r>
      <w:r>
        <w:t xml:space="preserve">“</w:t>
      </w:r>
      <w:r>
        <w:t xml:space="preserve">applies our standing case law too cautiously and in the process essentially voids that provision of [the Enabling Act].</w:t>
      </w:r>
      <w:r>
        <w:t xml:space="preserve">”</w:t>
      </w:r>
      <w:r>
        <w:rPr>
          <w:rStyle w:val="FootnoteReference"/>
        </w:rPr>
        <w:footnoteReference w:id="517"/>
      </w:r>
    </w:p>
    <w:p>
      <w:pPr>
        <w:pStyle w:val="BodyText"/>
      </w:pPr>
      <w:r>
        <w:t xml:space="preserve">The conflict is the two-capacities problem of Chapter 5 reappearing inside the law office. The state-as-sovereign needs counsel to defend its officers, its statutes, and its budget; the state-as-trustee needs an enforcer loyal only to the beneficiaries. One office is asked to be both. This chapter examines the documented record of that double role (§ 14.2); the reported Oregon appellate ruling that is the problem’s sharpest exhibit (§ 14.3); disqualification principles (§ 14.4); the independent-enforcement and advocate models (§ 14.5); and the state’s best arguments, stated at full strength (§ 14.6).</w:t>
      </w:r>
    </w:p>
    <w:p>
      <w:pPr>
        <w:pStyle w:val="Heading3"/>
      </w:pPr>
      <w:bookmarkStart w:id="518" w:name="X20dd2ae98ce8d839792c98a907247f4d7c64b76"/>
      <w:r>
        <w:t xml:space="preserve">§ 14.2 The office’s two faces in the documented record</w:t>
      </w:r>
      <w:bookmarkEnd w:id="518"/>
    </w:p>
    <w:p>
      <w:pPr>
        <w:pStyle w:val="FirstParagraph"/>
      </w:pPr>
      <w:r>
        <w:rPr>
          <w:b/>
        </w:rPr>
        <w:t xml:space="preserve">The office as the trust’s expositor.</w:t>
      </w:r>
      <w:r>
        <w:t xml:space="preserve"> </w:t>
      </w:r>
      <w:r>
        <w:t xml:space="preserve">The attorney-general opinion canon is a genuine doctrinal layer of this field, and in the one state whose canon has been surveyed systematically — Oregon — it runs strict. The Oregon office issued formal opinions on Common School Fund management and State Land Board duties continuously from at least 1934 through 2005.</w:t>
      </w:r>
      <w:r>
        <w:rPr>
          <w:rStyle w:val="FootnoteReference"/>
        </w:rPr>
        <w:footnoteReference w:id="519"/>
      </w:r>
      <w:r>
        <w:t xml:space="preserve"> </w:t>
      </w:r>
      <w:r>
        <w:t xml:space="preserve">The 1983 opinion states the framework as plainly as any court: the Common School Fund</w:t>
      </w:r>
      <w:r>
        <w:t xml:space="preserve"> </w:t>
      </w:r>
      <w:r>
        <w:t xml:space="preserve">“</w:t>
      </w:r>
      <w:r>
        <w:t xml:space="preserve">is a trust which must be invested by the State Land Board or the State Treasurer only in such manner as will obtain the maximum financial benefit over time to the fund.</w:t>
      </w:r>
      <w:r>
        <w:t xml:space="preserve">”</w:t>
      </w:r>
      <w:r>
        <w:rPr>
          <w:rStyle w:val="FootnoteReference"/>
        </w:rPr>
        <w:footnoteReference w:id="520"/>
      </w:r>
      <w:r>
        <w:t xml:space="preserve"> </w:t>
      </w:r>
      <w:r>
        <w:t xml:space="preserve">The 1977 opinion holds that non-commercial designations of school grant lands are permitted only if they do not diminish the financial contribution to the fund.</w:t>
      </w:r>
      <w:r>
        <w:rPr>
          <w:rStyle w:val="FootnoteReference"/>
        </w:rPr>
        <w:footnoteReference w:id="521"/>
      </w:r>
      <w:r>
        <w:t xml:space="preserve"> </w:t>
      </w:r>
      <w:r>
        <w:t xml:space="preserve">The 1992 opinion — the canon’s landmark — concludes that the Admission Act and the state constitution impose binding fiduciary obligations on the board:</w:t>
      </w:r>
      <w:r>
        <w:t xml:space="preserve"> </w:t>
      </w:r>
      <w:r>
        <w:t xml:space="preserve">“</w:t>
      </w:r>
      <w:r>
        <w:t xml:space="preserve">The important point is that the obligations are binding. They cannot be disregarded.</w:t>
      </w:r>
      <w:r>
        <w:t xml:space="preserve">”</w:t>
      </w:r>
      <w:r>
        <w:rPr>
          <w:rStyle w:val="FootnoteReference"/>
        </w:rPr>
        <w:footnoteReference w:id="522"/>
      </w:r>
      <w:r>
        <w:t xml:space="preserve"> </w:t>
      </w:r>
      <w:r>
        <w:t xml:space="preserve">And the 2003 opinion carries the fund-accounting discipline into the modern era, addressing whether forest-management expenses may be charged against Common School Fund principal rather than income.</w:t>
      </w:r>
      <w:r>
        <w:rPr>
          <w:rStyle w:val="FootnoteReference"/>
        </w:rPr>
        <w:footnoteReference w:id="523"/>
      </w:r>
      <w:r>
        <w:t xml:space="preserve"> </w:t>
      </w:r>
      <w:r>
        <w:t xml:space="preserve">Opinions of this kind show the office, in its advisory capacity, fully capable of stating the trust’s claims against the administrative convenience of its client agencies. Whatever the attorney general problem is, it is not a problem of doctrinal incapacity.</w:t>
      </w:r>
    </w:p>
    <w:p>
      <w:pPr>
        <w:pStyle w:val="BodyText"/>
      </w:pPr>
      <w:r>
        <w:rPr>
          <w:b/>
        </w:rPr>
        <w:t xml:space="preserve">The office as the sovereign’s advocate.</w:t>
      </w:r>
      <w:r>
        <w:t xml:space="preserve"> </w:t>
      </w:r>
      <w:r>
        <w:t xml:space="preserve">The countervailing record is equally documented. New Mexico’s attorney general opined in 1922, and again in 1931, that the state was not required to pay for highway rights-of-way over trust lands — advice that treated state-to-state takings as exempt from the trust’s compensation rules. The New Mexico Supreme Court disapproved both opinions in</w:t>
      </w:r>
      <w:r>
        <w:t xml:space="preserve"> </w:t>
      </w:r>
      <w:r>
        <w:rPr>
          <w:i/>
        </w:rPr>
        <w:t xml:space="preserve">State ex rel. State Highway Commission v. Walker</w:t>
      </w:r>
      <w:r>
        <w:t xml:space="preserve">, holding that the federal trust framework applies to internal state takings as forcefully as to private disposition.</w:t>
      </w:r>
      <w:r>
        <w:rPr>
          <w:rStyle w:val="FootnoteReference"/>
        </w:rPr>
        <w:footnoteReference w:id="524"/>
      </w:r>
      <w:r>
        <w:rPr>
          <w:rStyle w:val="FootnoteReference"/>
        </w:rPr>
        <w:footnoteReference w:id="525"/>
      </w:r>
      <w:r>
        <w:t xml:space="preserve"> </w:t>
      </w:r>
      <w:r>
        <w:t xml:space="preserve">The episode is the field’s clearest documented instance of attorney general opinions siding with the sovereign against the trust — and its correction came from a court, in litigation the office did not bring.</w:t>
      </w:r>
    </w:p>
    <w:p>
      <w:pPr>
        <w:pStyle w:val="BodyText"/>
      </w:pPr>
      <w:r>
        <w:rPr>
          <w:b/>
        </w:rPr>
        <w:t xml:space="preserve">The office as the trustee’s litigator.</w:t>
      </w:r>
      <w:r>
        <w:t xml:space="preserve"> </w:t>
      </w:r>
      <w:r>
        <w:t xml:space="preserve">The third posture is the one that gives this chapter its name: when beneficiaries sue the trustee, the attorney general’s office appears in defense. In the pending Oregon litigation, the department whose formal opinions built the strict-fiduciary canon just described is defense counsel to the State against breach-of-trust claims; the plaintiffs press the department’s own opinion canon against its litigating position, and the State’s dispositive motion does not cite the opinions. Those characterizations are drawn from the public filings; the positions are attributed as positions, and nothing described here has been adjudicated. [COUNSEL REVIEW — this paragraph characterizes the briefing posture in</w:t>
      </w:r>
      <w:r>
        <w:t xml:space="preserve"> </w:t>
      </w:r>
      <w:r>
        <w:rPr>
          <w:i/>
        </w:rPr>
        <w:t xml:space="preserve">Siuslaw School District 97J v. State of Oregon</w:t>
      </w:r>
      <w:r>
        <w:t xml:space="preserve">, No. 24CV38372.]</w:t>
      </w:r>
      <w:r>
        <w:rPr>
          <w:rStyle w:val="FootnoteReference"/>
        </w:rPr>
        <w:footnoteReference w:id="526"/>
      </w:r>
      <w:r>
        <w:t xml:space="preserve"> </w:t>
      </w:r>
      <w:r>
        <w:t xml:space="preserve">One ruling in that case bears noting for the structural point: the circuit court’s September 5, 2025 letter opinion is described as observing that the Common School Fund predates both the attorney general’s office and the statute (ORS 180.220) that channels the state’s legal business through it — a reminder that the enforcer-defender consolidation is a later statutory artifact, not a feature of the trust’s design.</w:t>
      </w:r>
      <w:r>
        <w:rPr>
          <w:rStyle w:val="FootnoteReference"/>
        </w:rPr>
        <w:footnoteReference w:id="527"/>
      </w:r>
    </w:p>
    <w:p>
      <w:pPr>
        <w:pStyle w:val="Heading3"/>
      </w:pPr>
      <w:bookmarkStart w:id="528" w:name="X6152cd23452ef0a764f06cad6582210c3010bc9"/>
      <w:r>
        <w:t xml:space="preserve">§ 14.3 The reported ruling in</w:t>
      </w:r>
      <w:r>
        <w:t xml:space="preserve"> </w:t>
      </w:r>
      <w:r>
        <w:rPr>
          <w:i/>
        </w:rPr>
        <w:t xml:space="preserve">Sullivan v. State</w:t>
      </w:r>
      <w:r>
        <w:t xml:space="preserve">, No. A177308 — the lead exhibit, under verification</w:t>
      </w:r>
      <w:bookmarkEnd w:id="528"/>
    </w:p>
    <w:p>
      <w:pPr>
        <w:pStyle w:val="FirstParagraph"/>
      </w:pPr>
      <w:r>
        <w:t xml:space="preserve">The problem this chapter analyzes was litigated to an appellate disposition in Oregon, in the case lineage that precedes the current Oregon suits, and the reported result is the most direct authority in the corpus on either side of the question. It is carried here exactly as the Library’s authorities register records it, verification flag intact.</w:t>
      </w:r>
    </w:p>
    <w:p>
      <w:pPr>
        <w:pStyle w:val="BodyText"/>
      </w:pPr>
      <w:r>
        <w:rPr>
          <w:b/>
        </w:rPr>
        <w:t xml:space="preserve">The verified background.</w:t>
      </w:r>
      <w:r>
        <w:t xml:space="preserve"> </w:t>
      </w:r>
      <w:r>
        <w:t xml:space="preserve">In 2021 Dave Sullivan filed a pro se suit,</w:t>
      </w:r>
      <w:r>
        <w:t xml:space="preserve"> </w:t>
      </w:r>
      <w:r>
        <w:rPr>
          <w:i/>
        </w:rPr>
        <w:t xml:space="preserve">Sullivan v. State</w:t>
      </w:r>
      <w:r>
        <w:t xml:space="preserve">, Polk County Circuit Court No. 21CV15024, alleging State Land Board mismanagement of the Elliott State Forest.</w:t>
      </w:r>
      <w:r>
        <w:rPr>
          <w:rStyle w:val="FootnoteReference"/>
        </w:rPr>
        <w:footnoteReference w:id="529"/>
      </w:r>
      <w:r>
        <w:t xml:space="preserve"> </w:t>
      </w:r>
      <w:r>
        <w:t xml:space="preserve">The State responded with Rule 21 motions on standing and sovereign-immunity grounds.</w:t>
      </w:r>
      <w:r>
        <w:rPr>
          <w:rStyle w:val="FootnoteReference"/>
        </w:rPr>
        <w:footnoteReference w:id="530"/>
      </w:r>
      <w:r>
        <w:t xml:space="preserve"> </w:t>
      </w:r>
      <w:r>
        <w:t xml:space="preserve">After dismissal, Sullivan appealed; the Appellant’s Opening Brief, filed February 21, 2022, in Court of Appeals No. A177308, relies at length on the 1992 attorney general opinion described in § 14.2 and argues that the trial court erred in refusing to</w:t>
      </w:r>
      <w:r>
        <w:t xml:space="preserve"> </w:t>
      </w:r>
      <w:r>
        <w:t xml:space="preserve">“</w:t>
      </w:r>
      <w:r>
        <w:t xml:space="preserve">referee policy decisions</w:t>
      </w:r>
      <w:r>
        <w:t xml:space="preserve">”</w:t>
      </w:r>
      <w:r>
        <w:t xml:space="preserve">; its table of authorities also cites the standard private-trust accounting treatises.</w:t>
      </w:r>
      <w:r>
        <w:rPr>
          <w:rStyle w:val="FootnoteReference"/>
        </w:rPr>
        <w:footnoteReference w:id="531"/>
      </w:r>
    </w:p>
    <w:p>
      <w:pPr>
        <w:pStyle w:val="BodyText"/>
      </w:pPr>
      <w:r>
        <w:rPr>
          <w:b/>
        </w:rPr>
        <w:t xml:space="preserve">The reported holding, under verification.</w:t>
      </w:r>
      <w:r>
        <w:t xml:space="preserve"> </w:t>
      </w:r>
      <w:r>
        <w:t xml:space="preserve">The Authorities Register’s Special Entry records that the Court of Appeals ruling in A177308</w:t>
      </w:r>
      <w:r>
        <w:t xml:space="preserve"> </w:t>
      </w:r>
      <w:r>
        <w:t xml:space="preserve">“</w:t>
      </w:r>
      <w:r>
        <w:t xml:space="preserve">reportedly held</w:t>
      </w:r>
      <w:r>
        <w:t xml:space="preserve"> </w:t>
      </w:r>
      <w:r>
        <w:rPr>
          <w:b/>
        </w:rPr>
        <w:t xml:space="preserve">on the merits</w:t>
      </w:r>
      <w:r>
        <w:t xml:space="preserve"> </w:t>
      </w:r>
      <w:r>
        <w:t xml:space="preserve">that the Attorney General’s office may defend state officials without also defending the trust, because the trust instrument did not demand it.</w:t>
      </w:r>
      <w:r>
        <w:t xml:space="preserve">”</w:t>
      </w:r>
      <w:r>
        <w:t xml:space="preserve"> </w:t>
      </w:r>
      <w:r>
        <w:t xml:space="preserve">The opinion itself is not yet held: no file records the court’s disposition, its date, or its reasoning. The reported holding is therefore carried as</w:t>
      </w:r>
      <w:r>
        <w:t xml:space="preserve"> </w:t>
      </w:r>
      <w:r>
        <w:rPr>
          <w:b/>
        </w:rPr>
        <w:t xml:space="preserve">[VERIFY — retrieve the A177308 opinion (OJD / CourtListener / case register) and confirm: (a) disposition and date; (b) whether the AG-defense-without-defending-the-trust holding is on the merits as described; (c) precedential status (signed opinion vs. AWOP).]</w:t>
      </w:r>
      <w:r>
        <w:t xml:space="preserve"> </w:t>
      </w:r>
      <w:r>
        <w:t xml:space="preserve">Until retrieved, no hornbook chapter may state the holding as law; it may be described only as a reported ruling under verification.</w:t>
      </w:r>
      <w:r>
        <w:rPr>
          <w:rStyle w:val="FootnoteReference"/>
        </w:rPr>
        <w:footnoteReference w:id="532"/>
      </w:r>
    </w:p>
    <w:p>
      <w:pPr>
        <w:pStyle w:val="BodyText"/>
      </w:pPr>
      <w:r>
        <w:rPr>
          <w:b/>
        </w:rPr>
        <w:t xml:space="preserve">Why the exhibit matters.</w:t>
      </w:r>
      <w:r>
        <w:t xml:space="preserve"> </w:t>
      </w:r>
      <w:r>
        <w:t xml:space="preserve">If verified as described, the ruling would be an Oregon appellate court reasoning from the</w:t>
      </w:r>
      <w:r>
        <w:t xml:space="preserve"> </w:t>
      </w:r>
      <w:r>
        <w:rPr>
          <w:i/>
        </w:rPr>
        <w:t xml:space="preserve">absence of an express enforcement clause in the granting instrument</w:t>
      </w:r>
      <w:r>
        <w:t xml:space="preserve"> </w:t>
      </w:r>
      <w:r>
        <w:t xml:space="preserve">to the conclusion that the trust’s statutory enforcer owes the trust no defense — the precise structural conflict this chapter exists to analyze, decided on the merits rather than avoided on standing. Two features deserve the practitioner’s attention even now. First, the reasoning as reported is the mirror image of the Chapter 15 question: the 1910 New Mexico–Arizona act names an enforcer expressly, and the earlier instruments do not; whether that silence licenses the inference that no one in particular owes the trust enforcement is the same interpretive move examined at § 15.5, applied to a state officer instead of a federal one. Second, the ruling as reported would not deny that the trust exists or that duties bind the trustee — it would hold only that the attorney general’s office may choose the trustee’s side. That is the charitable-trust enforcement channel of</w:t>
      </w:r>
      <w:r>
        <w:t xml:space="preserve"> </w:t>
      </w:r>
      <w:r>
        <w:rPr>
          <w:i/>
        </w:rPr>
        <w:t xml:space="preserve">Forest Guardians</w:t>
      </w:r>
      <w:r>
        <w:t xml:space="preserve"> </w:t>
      </w:r>
      <w:r>
        <w:t xml:space="preserve">with the channel’s terminus removed. [COUNSEL REVIEW — this section describes litigation in the project’s own case lineage from the public record and the Register; no characterization beyond the Register’s is intended.]</w:t>
      </w:r>
    </w:p>
    <w:p>
      <w:pPr>
        <w:pStyle w:val="Heading3"/>
      </w:pPr>
      <w:bookmarkStart w:id="533" w:name="disqualification-principles"/>
      <w:r>
        <w:t xml:space="preserve">§ 14.4 Disqualification principles</w:t>
      </w:r>
      <w:bookmarkEnd w:id="533"/>
    </w:p>
    <w:p>
      <w:pPr>
        <w:pStyle w:val="FirstParagraph"/>
      </w:pPr>
      <w:r>
        <w:t xml:space="preserve">Candor first: the verified corpus contains no decision disqualifying an attorney general from a school-trust matter, and no decision appointing independent trust counsel over the office’s objection. This section is the thinnest in the volume, deliberately so — it states what the corpus supports and what the reform proposals would add, and nothing more.</w:t>
      </w:r>
    </w:p>
    <w:p>
      <w:pPr>
        <w:pStyle w:val="BodyText"/>
      </w:pPr>
      <w:r>
        <w:t xml:space="preserve">What the corpus supports is non-deference rather than disqualification.</w:t>
      </w:r>
      <w:r>
        <w:t xml:space="preserve"> </w:t>
      </w:r>
      <w:r>
        <w:rPr>
          <w:i/>
        </w:rPr>
        <w:t xml:space="preserve">Walker</w:t>
      </w:r>
      <w:r>
        <w:t xml:space="preserve"> </w:t>
      </w:r>
      <w:r>
        <w:t xml:space="preserve">shows that an attorney general’s formal advice favoring the sovereign carries no weight against the trust when tested: the court disapproved the opinions and required compensation.</w:t>
      </w:r>
      <w:r>
        <w:rPr>
          <w:rStyle w:val="FootnoteReference"/>
        </w:rPr>
        <w:footnoteReference w:id="534"/>
      </w:r>
      <w:r>
        <w:t xml:space="preserve"> </w:t>
      </w:r>
      <w:r>
        <w:t xml:space="preserve">The same lesson runs through the Oregon canon’s use in litigation — the opinions are evidence of the office’s institutional judgment, not a shield for the office’s clients. A practitioner facing the conflict today therefore litigates around it (beneficiary standing, § 14.5(a)) rather than through it; no motion-to-disqualify pathway is established in the field’s case law.</w:t>
      </w:r>
      <w:r>
        <w:rPr>
          <w:rStyle w:val="FootnoteReference"/>
        </w:rPr>
        <w:footnoteReference w:id="535"/>
      </w:r>
    </w:p>
    <w:p>
      <w:pPr>
        <w:pStyle w:val="BodyText"/>
      </w:pPr>
      <w:r>
        <w:t xml:space="preserve">The reform articulation comes from the model act proposed in Chapter 20, and it is built on objective facts rather than case-by-case recusal fights. Under the proposal, the attorney general would be disqualified from exercising any charitable-trust or public-trust enforcement authority over a public trust whenever the office represents, or within a defined lookback period has represented, the trustee — or any officer or agency of the state adverse to the beneficiaries — in any matter concerning that trust. Upon disqualification the enforcement authority would vest in an independent advocate or court-appointed special counsel, and trust funds could not pay the trustee’s defense. The proposal’s premise is that the conflict is structural rather than personal — in its drafters’ words, it</w:t>
      </w:r>
      <w:r>
        <w:t xml:space="preserve"> </w:t>
      </w:r>
      <w:r>
        <w:t xml:space="preserve">“</w:t>
      </w:r>
      <w:r>
        <w:t xml:space="preserve">does not depend on any individual’s bad faith</w:t>
      </w:r>
      <w:r>
        <w:t xml:space="preserve">”</w:t>
      </w:r>
      <w:r>
        <w:t xml:space="preserve"> </w:t>
      </w:r>
      <w:r>
        <w:t xml:space="preserve">— which is why automatic disqualification on objective facts, rather than an inquiry into motives, is the proposed mechanism. Statutes channeling all state legal business through the attorney general (Oregon’s ORS 180.220 is the example</w:t>
      </w:r>
      <w:r>
        <w:rPr>
          <w:rStyle w:val="FootnoteReference"/>
        </w:rPr>
        <w:footnoteReference w:id="536"/>
      </w:r>
      <w:r>
        <w:t xml:space="preserve">) would require conforming amendment, which the proposal anticipates. All of this is proposal, not law; the act is treated as landscape in Chapter 20.</w:t>
      </w:r>
    </w:p>
    <w:p>
      <w:pPr>
        <w:pStyle w:val="Heading3"/>
      </w:pPr>
      <w:bookmarkStart w:id="537" w:name="Xa15815be8cc14c5255b5da499bcb55f3804347d"/>
      <w:r>
        <w:t xml:space="preserve">§ 14.5 Independent-enforcement and advocate models</w:t>
      </w:r>
      <w:bookmarkEnd w:id="537"/>
    </w:p>
    <w:p>
      <w:pPr>
        <w:pStyle w:val="FirstParagraph"/>
      </w:pPr>
      <w:r>
        <w:t xml:space="preserve">Five mechanisms, in ascending order of structural ambition, supply or substitute for enforcement when the attorney general cannot or will not act.</w:t>
      </w:r>
    </w:p>
    <w:p>
      <w:pPr>
        <w:pStyle w:val="BodyText"/>
      </w:pPr>
      <w:r>
        <w:rPr>
          <w:b/>
        </w:rPr>
        <w:t xml:space="preserve">(a) Beneficiary standing — the working substitute.</w:t>
      </w:r>
      <w:r>
        <w:t xml:space="preserve"> </w:t>
      </w:r>
      <w:r>
        <w:t xml:space="preserve">Where beneficiaries, districts, or parents may sue directly, the conflict loses most of its bite: the trust acquires enforcers whose loyalty is not divided. The field’s major enforcement victories came this way — schoolteacher and association plaintiffs in</w:t>
      </w:r>
      <w:r>
        <w:t xml:space="preserve"> </w:t>
      </w:r>
      <w:r>
        <w:rPr>
          <w:i/>
        </w:rPr>
        <w:t xml:space="preserve">ASARCO</w:t>
      </w:r>
      <w:r>
        <w:t xml:space="preserve">, a beneficiary school district in</w:t>
      </w:r>
      <w:r>
        <w:t xml:space="preserve"> </w:t>
      </w:r>
      <w:r>
        <w:rPr>
          <w:i/>
        </w:rPr>
        <w:t xml:space="preserve">Branson</w:t>
      </w:r>
      <w:r>
        <w:t xml:space="preserve">, parent plaintiffs in Louisiana, schoolchildren beneficiaries in Oregon’s 2026 appellate ruling.</w:t>
      </w:r>
      <w:r>
        <w:rPr>
          <w:rStyle w:val="FootnoteReference"/>
        </w:rPr>
        <w:footnoteReference w:id="538"/>
      </w:r>
      <w:r>
        <w:t xml:space="preserve"> </w:t>
      </w:r>
      <w:r>
        <w:t xml:space="preserve">Chapter 13 develops the doctrine; the point here is functional: beneficiary standing is the field’s actual answer to the attorney general problem, everywhere a court has allowed it.</w:t>
      </w:r>
    </w:p>
    <w:p>
      <w:pPr>
        <w:pStyle w:val="BodyText"/>
      </w:pPr>
      <w:r>
        <w:rPr>
          <w:b/>
        </w:rPr>
        <w:t xml:space="preserve">(b) The private-attorney-general doctrine.</w:t>
      </w:r>
      <w:r>
        <w:t xml:space="preserve"> </w:t>
      </w:r>
      <w:r>
        <w:t xml:space="preserve">Montana’s high court, striking five trust-diverting statutes, adopted the private-attorney-general doctrine for school-trust litigation — a fee-shifting mechanism that makes private enforcement economically possible where the public enforcer is absent.</w:t>
      </w:r>
      <w:r>
        <w:rPr>
          <w:rStyle w:val="FootnoteReference"/>
        </w:rPr>
        <w:footnoteReference w:id="539"/>
      </w:r>
    </w:p>
    <w:p>
      <w:pPr>
        <w:pStyle w:val="BodyText"/>
      </w:pPr>
      <w:r>
        <w:rPr>
          <w:b/>
        </w:rPr>
        <w:t xml:space="preserve">(c) Structural separation on the trustee’s side.</w:t>
      </w:r>
      <w:r>
        <w:t xml:space="preserve"> </w:t>
      </w:r>
      <w:r>
        <w:t xml:space="preserve">Reform can shrink the occasions of conflict rather than re-staff the enforcement side: Utah’s 1994 creation of a single-mandate trust-lands administration separated from competing state policy goals, and New Mexico’s constitutional design vesting the trust in a single statewide elected fiduciary, both reduce the frequency with which the trustee and the sovereign need the same lawyer for adverse purposes.</w:t>
      </w:r>
      <w:r>
        <w:rPr>
          <w:rStyle w:val="FootnoteReference"/>
        </w:rPr>
        <w:footnoteReference w:id="540"/>
      </w:r>
      <w:r>
        <w:t xml:space="preserve"> </w:t>
      </w:r>
      <w:r>
        <w:t xml:space="preserve">Chapter 19 treats these models; neither, it bears noting, touches the enforcement side directly — Utah’s reform did not create an independent trust enforcer, and New Mexico’s elected commissioner litigates with the attorney general’s office like any other officer.</w:t>
      </w:r>
    </w:p>
    <w:p>
      <w:pPr>
        <w:pStyle w:val="BodyText"/>
      </w:pPr>
      <w:r>
        <w:rPr>
          <w:b/>
        </w:rPr>
        <w:t xml:space="preserve">(d) The standing advocate and the special counsel.</w:t>
      </w:r>
      <w:r>
        <w:t xml:space="preserve"> </w:t>
      </w:r>
      <w:r>
        <w:t xml:space="preserve">The model act proposed in Chapter 20 would supply the enforcement side directly, through two interchangeable mechanisms: a permanent, independently funded Office of the Public Trust Advocate with investigation, subpoena, accounting-demand, and litigation authority, insulated by the proposal’s terms from direction or supervision by any public-trust trustee or by the attorney general; or, for states unwilling to fund a standing office, court-appointed special counsel triggered by a beneficiary’s verified petition or the attorney general’s own conflict certification. The proposal’s own commentary concedes that the special-counsel alternative is second-best — episodic counsel cannot monitor, accumulate expertise, or deter. Both are proposals, not law; Chapter 20 treats the act as landscape.</w:t>
      </w:r>
    </w:p>
    <w:p>
      <w:pPr>
        <w:pStyle w:val="BodyText"/>
      </w:pPr>
      <w:r>
        <w:rPr>
          <w:b/>
        </w:rPr>
        <w:t xml:space="preserve">(e) The federal backstop.</w:t>
      </w:r>
      <w:r>
        <w:t xml:space="preserve"> </w:t>
      </w:r>
      <w:r>
        <w:t xml:space="preserve">Under the 1910 instruments the Attorney General of the United States is an express trust enforcer against the state — an enforcement channel wholly outside the state office’s conflict. Chapter 15 treats it, including its real-world rarity.</w:t>
      </w:r>
    </w:p>
    <w:p>
      <w:pPr>
        <w:pStyle w:val="Heading3"/>
      </w:pPr>
      <w:bookmarkStart w:id="541" w:name="X5b59e6c304fdb280d9215b80c0df77335b85e36"/>
      <w:r>
        <w:t xml:space="preserve">§ 14.6 The state’s position, stated at full strength</w:t>
      </w:r>
      <w:bookmarkEnd w:id="541"/>
    </w:p>
    <w:p>
      <w:pPr>
        <w:pStyle w:val="FirstParagraph"/>
      </w:pPr>
      <w:r>
        <w:t xml:space="preserve">The defense of the existing arrangement is serious, and a lawyer who cannot state it has not understood the problem.</w:t>
      </w:r>
    </w:p>
    <w:p>
      <w:pPr>
        <w:pStyle w:val="BodyText"/>
      </w:pPr>
      <w:r>
        <w:rPr>
          <w:b/>
        </w:rPr>
        <w:t xml:space="preserve">First, the dual role is the design, not a defect.</w:t>
      </w:r>
      <w:r>
        <w:t xml:space="preserve"> </w:t>
      </w:r>
      <w:r>
        <w:t xml:space="preserve">Attorneys general everywhere both advise and represent state agencies and hold charitable-trust enforcement authority — the standard allocation the Restatement records — and legislatures have maintained that combination with full knowledge of it.</w:t>
      </w:r>
      <w:r>
        <w:rPr>
          <w:rStyle w:val="FootnoteReference"/>
        </w:rPr>
        <w:footnoteReference w:id="542"/>
      </w:r>
      <w:r>
        <w:t xml:space="preserve"> </w:t>
      </w:r>
      <w:r>
        <w:t xml:space="preserve">An objection that proves the combination intolerable proves too much — it would disable attorney-general charitable-trust enforcement generally, a regime no American jurisdiction has abandoned.</w:t>
      </w:r>
    </w:p>
    <w:p>
      <w:pPr>
        <w:pStyle w:val="BodyText"/>
      </w:pPr>
      <w:r>
        <w:rPr>
          <w:b/>
        </w:rPr>
        <w:t xml:space="preserve">Second, the charitable-trust channel is considered doctrine, not oversight.</w:t>
      </w:r>
      <w:r>
        <w:t xml:space="preserve"> </w:t>
      </w:r>
      <w:r>
        <w:t xml:space="preserve">The</w:t>
      </w:r>
      <w:r>
        <w:t xml:space="preserve"> </w:t>
      </w:r>
      <w:r>
        <w:rPr>
          <w:i/>
        </w:rPr>
        <w:t xml:space="preserve">Forest Guardians</w:t>
      </w:r>
      <w:r>
        <w:t xml:space="preserve"> </w:t>
      </w:r>
      <w:r>
        <w:t xml:space="preserve">majority is a reasoned holding by an appellate court that weighed beneficiary standing and rejected it; on the majority’s premises, channeling enforcement to a politically accountable constitutional officer is how the people of the state supervise their own trustee, and diffuse beneficiary litigation is the thing to be avoided, not the safeguard to be celebrated.</w:t>
      </w:r>
      <w:r>
        <w:rPr>
          <w:rStyle w:val="FootnoteReference"/>
        </w:rPr>
        <w:footnoteReference w:id="543"/>
      </w:r>
    </w:p>
    <w:p>
      <w:pPr>
        <w:pStyle w:val="BodyText"/>
      </w:pPr>
      <w:r>
        <w:rPr>
          <w:b/>
        </w:rPr>
        <w:t xml:space="preserve">Third, the record shows the office protecting the trust.</w:t>
      </w:r>
      <w:r>
        <w:t xml:space="preserve"> </w:t>
      </w:r>
      <w:r>
        <w:t xml:space="preserve">The Oregon opinion canon of § 14.2 is the state’s own exhibit: for six decades the office stated strict duties against the convenience of its client agencies, in formal public opinions any beneficiary could invoke. An office capable of writing the 1992 opinion is not structurally incapable of loyalty to the trust.</w:t>
      </w:r>
    </w:p>
    <w:p>
      <w:pPr>
        <w:pStyle w:val="BodyText"/>
      </w:pPr>
      <w:r>
        <w:rPr>
          <w:b/>
        </w:rPr>
        <w:t xml:space="preserve">Fourth, the advisory and litigating roles differ in kind.</w:t>
      </w:r>
      <w:r>
        <w:t xml:space="preserve"> </w:t>
      </w:r>
      <w:r>
        <w:t xml:space="preserve">A formal opinion is the office’s institutional judgment; a brief is advocacy for a client the office is, by statute, required to represent. Representing the trustee in litigation no more commits the office against the trust than a court-appointed defense lawyer is committed against the law. And if the reported A177308 ruling is verified as described — that the office may defend state officials without also defending the trust because the trust instrument did not demand it — the state would hold an appellate holding that the dual role breaches no legal duty. That ruling remains under verification and is not stated as law here (§ 14.3).</w:t>
      </w:r>
    </w:p>
    <w:p>
      <w:pPr>
        <w:pStyle w:val="BodyText"/>
      </w:pPr>
      <w:r>
        <w:rPr>
          <w:b/>
        </w:rPr>
        <w:t xml:space="preserve">Fifth, the remedies have costs.</w:t>
      </w:r>
      <w:r>
        <w:t xml:space="preserve"> </w:t>
      </w:r>
      <w:r>
        <w:t xml:space="preserve">A standing advocate is a permanent budget line and a new litigation-generating office; automatic disqualification invites collateral fights over its objective triggers; both reallocate enforcement from an accountable elected officer to appointees. Whether those costs are worth paying is a legislative judgment, and as of this writing no state has enacted the machinery the model act of Chapter 20 proposes [VERIFY enactment status at publication].</w:t>
      </w:r>
    </w:p>
    <w:p>
      <w:pPr>
        <w:pStyle w:val="BodyText"/>
      </w:pPr>
      <w:r>
        <w:t xml:space="preserve">The honest synthesis: the conflict is real, structural, and documented; the existing system’s answer to it is beneficiary standing where courts allow it, and nothing where they do not. The states’ best argument is that the gap is for legislatures to close; the beneficiaries’ best argument is Judge Bustamante’s — that a trust provision no one can enforce has been voided in everything but name.</w:t>
      </w:r>
    </w:p>
    <w:p>
      <w:r>
        <w:pict>
          <v:rect style="width:0;height:1.5pt" o:hralign="center" o:hrstd="t" o:hr="t"/>
        </w:pict>
      </w:r>
    </w:p>
    <w:p>
      <w:pPr>
        <w:pStyle w:val="FirstParagraph"/>
      </w:pPr>
      <w:r>
        <w:rPr>
          <w:i/>
        </w:rPr>
        <w:t xml:space="preserve">End of Chapter 14 v1 (formerly Chapter 13 v0). Citation pass 2026-06-07 (this version): the § 14.1 structural objection rewritten in the treatise’s own voice, anchored in Restatement (Second) of Trusts § 391 and Restatement (Third) of Trusts § 94 in place of the model-act commentary quotation; all model-act provisions and commentary converted from footnoted citations to plain-text subject references (§§ 14.4, 14.5(d), 14.6 Fifth); the Oregon Annex reference removed; the no-AG-opinion observation re-anchored to the filed motion itself with a direct-confirmation flag; footnotes converted to named keys. Cross-references: Chapter 5 (two capacities), Chapter 13 (who may sue), Chapter 15 (federal enforcement), Chapter 19 (structural reform), Chapter 20 (the model act). Verification queue: the A177308 opinion (Register G-1 — the chapter’s lead exhibit may not be stated as law until retrieved); Restatement (Second) § 391 pin and text; Op. No. 8223 signatory (Crookham, pending signature check); the Combs Sept. 5, 2025 predates-the-office observation against the opinion text; the State’s-motion-cites-no-AG-opinion observation against the filed motion; the Forest Guardians majority’s stated rationale; Advocates v. State review-petition status; the 20-state AG-opinion sweep (Register G-7) before § 14.2’s Oregon-grounded generalizations are generalized further.</w:t>
      </w:r>
    </w:p>
    <w:p>
      <w:r>
        <w:br w:type="page"/>
      </w:r>
    </w:p>
    <w:p>
      <w:pPr>
        <w:pStyle w:val="Heading1"/>
      </w:pPr>
      <w:bookmarkStart w:id="544" w:name="Xec77e89672e492f2b2b1d81e8b842d355306e2b"/>
      <w:r>
        <w:t xml:space="preserve">Chapter 15 — Federal Enforcement and the United States’ Continuing Interest (v1)</w:t>
      </w:r>
      <w:bookmarkEnd w:id="544"/>
    </w:p>
    <w:p>
      <w:pPr>
        <w:pStyle w:val="FirstParagraph"/>
      </w:pPr>
      <w:r>
        <w:rPr>
          <w:i/>
        </w:rPr>
        <w:t xml:space="preserve">Status: v1 (formerly Chapter 14 in the v0 numbering). Renumbered to the consolidated twenty-chapter scheme; numeric footnotes converted to named keys per the project citation standard; the Ervien quotations re-pinned against the verified full opinion; the enabling-act citekey normalized to the project-wide form; [VERIFY] flags mark items awaiting primary-source confirmation under quality gate G3.</w:t>
      </w:r>
    </w:p>
    <w:p>
      <w:r>
        <w:pict>
          <v:rect style="width:0;height:1.5pt" o:hralign="center" o:hrstd="t" o:hr="t"/>
        </w:pict>
      </w:r>
    </w:p>
    <w:p>
      <w:pPr>
        <w:pStyle w:val="Heading3"/>
      </w:pPr>
      <w:bookmarkStart w:id="545" w:name="the-united-states-three-roles"/>
      <w:r>
        <w:t xml:space="preserve">§ 15.1 The United States’ three roles</w:t>
      </w:r>
      <w:bookmarkEnd w:id="545"/>
    </w:p>
    <w:p>
      <w:pPr>
        <w:pStyle w:val="FirstParagraph"/>
      </w:pPr>
      <w:r>
        <w:t xml:space="preserve">The United States is not a bystander to the trusts it created. It appears in the field in three distinct roles, and the practitioner should keep them separate, because each generates a different body of law. As</w:t>
      </w:r>
      <w:r>
        <w:t xml:space="preserve"> </w:t>
      </w:r>
      <w:r>
        <w:rPr>
          <w:i/>
        </w:rPr>
        <w:t xml:space="preserve">express enforcer</w:t>
      </w:r>
      <w:r>
        <w:t xml:space="preserve">, under the 1910 New Mexico–Arizona instrument, the Attorney General of the United States is authorized to sue the state for breach of the trust (§ 15.2). As</w:t>
      </w:r>
      <w:r>
        <w:t xml:space="preserve"> </w:t>
      </w:r>
      <w:r>
        <w:rPr>
          <w:i/>
        </w:rPr>
        <w:t xml:space="preserve">continuing party in interest</w:t>
      </w:r>
      <w:r>
        <w:t xml:space="preserve">, under instruments of every generation, the United States retains a stake in the administration of both the lands and the funds, and remains itself bound — and suable — as the other party to a bilateral compact (§ 15.3). And as the</w:t>
      </w:r>
      <w:r>
        <w:t xml:space="preserve"> </w:t>
      </w:r>
      <w:r>
        <w:rPr>
          <w:i/>
        </w:rPr>
        <w:t xml:space="preserve">source of supreme law</w:t>
      </w:r>
      <w:r>
        <w:t xml:space="preserve">, the federal instruments set a floor under state administration that no state statute or constitutional amendment can dig beneath (§ 15.4). The chapter closes with the question the earlier instruments leave open — what the absence of an express enforcement clause does and does not imply (§ 15.5) — and a practitioner’s synthesis (§ 15.6).</w:t>
      </w:r>
    </w:p>
    <w:p>
      <w:pPr>
        <w:pStyle w:val="BodyText"/>
      </w:pPr>
      <w:r>
        <w:t xml:space="preserve">The roles trace to the beginning. The compact framework of the Northwest Ordinance of 1787 declared that</w:t>
      </w:r>
      <w:r>
        <w:t xml:space="preserve"> </w:t>
      </w:r>
      <w:r>
        <w:t xml:space="preserve">“</w:t>
      </w:r>
      <w:r>
        <w:t xml:space="preserve">schools and the means of education shall forever be encouraged</w:t>
      </w:r>
      <w:r>
        <w:t xml:space="preserve">”</w:t>
      </w:r>
      <w:r>
        <w:t xml:space="preserve"> </w:t>
      </w:r>
      <w:r>
        <w:t xml:space="preserve">within a set of articles framed as a compact to</w:t>
      </w:r>
      <w:r>
        <w:t xml:space="preserve"> </w:t>
      </w:r>
      <w:r>
        <w:t xml:space="preserve">“</w:t>
      </w:r>
      <w:r>
        <w:t xml:space="preserve">forever remain unalterable, unless by common consent.</w:t>
      </w:r>
      <w:r>
        <w:t xml:space="preserve">”</w:t>
      </w:r>
      <w:r>
        <w:rPr>
          <w:rStyle w:val="FootnoteReference"/>
        </w:rPr>
        <w:footnoteReference w:id="546"/>
      </w:r>
      <w:r>
        <w:t xml:space="preserve"> </w:t>
      </w:r>
      <w:r>
        <w:t xml:space="preserve">A dedication</w:t>
      </w:r>
      <w:r>
        <w:t xml:space="preserve"> </w:t>
      </w:r>
      <w:r>
        <w:t xml:space="preserve">“</w:t>
      </w:r>
      <w:r>
        <w:t xml:space="preserve">forever unalterable</w:t>
      </w:r>
      <w:r>
        <w:t xml:space="preserve">”</w:t>
      </w:r>
      <w:r>
        <w:t xml:space="preserve"> </w:t>
      </w:r>
      <w:r>
        <w:t xml:space="preserve">without one party’s consent presupposes that the party retains an interest in the dedication’s keeping; the rest of this chapter is the case law of that presupposition.</w:t>
      </w:r>
    </w:p>
    <w:p>
      <w:pPr>
        <w:pStyle w:val="Heading3"/>
      </w:pPr>
      <w:bookmarkStart w:id="547" w:name="X58499978102cf5ab678ca1c8abe4bb0aa2af37c"/>
      <w:r>
        <w:t xml:space="preserve">§ 15.2 The express enforcement clause: the 1910 high-water mark</w:t>
      </w:r>
      <w:bookmarkEnd w:id="547"/>
    </w:p>
    <w:p>
      <w:pPr>
        <w:pStyle w:val="FirstParagraph"/>
      </w:pPr>
      <w:r>
        <w:t xml:space="preserve">Congress wrote the United States’ enforcement role explicitly exactly once, and wrote it completely. Section 10 of the New Mexico–Arizona Enabling Act of June 20, 1910, characterizes the granted lands as held</w:t>
      </w:r>
      <w:r>
        <w:t xml:space="preserve"> </w:t>
      </w:r>
      <w:r>
        <w:t xml:space="preserve">“</w:t>
      </w:r>
      <w:r>
        <w:t xml:space="preserve">in trust</w:t>
      </w:r>
      <w:r>
        <w:t xml:space="preserve">”</w:t>
      </w:r>
      <w:r>
        <w:t xml:space="preserve">; voids any disposition not made in substantial conformity with the act; declares non-conforming disposition a</w:t>
      </w:r>
      <w:r>
        <w:t xml:space="preserve"> </w:t>
      </w:r>
      <w:r>
        <w:t xml:space="preserve">“</w:t>
      </w:r>
      <w:r>
        <w:t xml:space="preserve">breach of trust</w:t>
      </w:r>
      <w:r>
        <w:t xml:space="preserve">”</w:t>
      </w:r>
      <w:r>
        <w:t xml:space="preserve">; and authorizes the Attorney General of the United States to maintain suits against the state to enforce the trust.</w:t>
      </w:r>
      <w:r>
        <w:rPr>
          <w:rStyle w:val="FootnoteReference"/>
        </w:rPr>
        <w:footnoteReference w:id="548"/>
      </w:r>
      <w:r>
        <w:t xml:space="preserve"> </w:t>
      </w:r>
      <w:r>
        <w:t xml:space="preserve">The operative trust language:</w:t>
      </w:r>
    </w:p>
    <w:p>
      <w:pPr>
        <w:pStyle w:val="BlockText"/>
      </w:pPr>
      <w:r>
        <w:t xml:space="preserve">“</w:t>
      </w:r>
      <w:r>
        <w:t xml:space="preserve">All lands hereby granted … shall be by the said State held in trust, to be disposed of in whole or in part only in manner as herein provided and for the several objects specified in the respective granting and confirmatory provisions, and … the natural products and money proceeds of any of said lands shall be subject to the same trusts as the lands producing the same. … Every sale, lease, conveyance, or contract of or concerning any of the lands hereby granted or confirmed, or the use thereof or the natural products thereof, not made in substantial conformity with the provisions of this Act shall be null and void.</w:t>
      </w:r>
      <w:r>
        <w:t xml:space="preserve">”</w:t>
      </w:r>
      <w:r>
        <w:rPr>
          <w:rStyle w:val="FootnoteReference"/>
        </w:rPr>
        <w:footnoteReference w:id="549"/>
      </w:r>
    </w:p>
    <w:p>
      <w:pPr>
        <w:pStyle w:val="FirstParagraph"/>
      </w:pPr>
      <w:r>
        <w:t xml:space="preserve">The clause was used, early and decisively. In</w:t>
      </w:r>
      <w:r>
        <w:t xml:space="preserve"> </w:t>
      </w:r>
      <w:r>
        <w:rPr>
          <w:i/>
        </w:rPr>
        <w:t xml:space="preserve">Ervien v. United States</w:t>
      </w:r>
      <w:r>
        <w:t xml:space="preserve"> </w:t>
      </w:r>
      <w:r>
        <w:t xml:space="preserve">the United States sued to stop New Mexico’s expenditure of trust-land income — up to three percent annually, under a 1915 state statute — to advertise the state’s resources to homeseekers and investors. The Supreme Court unanimously held the diversion an unlawful breach of trust enforceable by the United States. Justice McKenna wrote that</w:t>
      </w:r>
      <w:r>
        <w:t xml:space="preserve"> </w:t>
      </w:r>
      <w:r>
        <w:t xml:space="preserve">“</w:t>
      </w:r>
      <w:r>
        <w:t xml:space="preserve">[t]here is in the Enabling Act a specific enumeration of the purposes for which the lands were granted and the enumeration is necessarily exclusive of any other purpose,</w:t>
      </w:r>
      <w:r>
        <w:t xml:space="preserve">”</w:t>
      </w:r>
      <w:r>
        <w:t xml:space="preserve"> </w:t>
      </w:r>
      <w:r>
        <w:t xml:space="preserve">and that</w:t>
      </w:r>
      <w:r>
        <w:t xml:space="preserve"> </w:t>
      </w:r>
      <w:r>
        <w:t xml:space="preserve">“</w:t>
      </w:r>
      <w:r>
        <w:t xml:space="preserve">[t]he dedication, we repeat, was special and exact, precluding any supplementary or aiding sense.</w:t>
      </w:r>
      <w:r>
        <w:t xml:space="preserve">”</w:t>
      </w:r>
      <w:r>
        <w:t xml:space="preserve"> </w:t>
      </w:r>
      <w:r>
        <w:t xml:space="preserve">To the state’s argument that promotion would ultimately enrich the trust, the Court answered that</w:t>
      </w:r>
      <w:r>
        <w:t xml:space="preserve"> </w:t>
      </w:r>
      <w:r>
        <w:t xml:space="preserve">“</w:t>
      </w:r>
      <w:r>
        <w:t xml:space="preserve">a private proprietor of the lands would without hesitation use their revenues to advertise their advantage and that that which was a wise administration of the property in him could not reach the odious dereliction of a breach of trust in the state.</w:t>
      </w:r>
      <w:r>
        <w:t xml:space="preserve">”</w:t>
      </w:r>
      <w:r>
        <w:rPr>
          <w:rStyle w:val="FootnoteReference"/>
        </w:rPr>
        <w:footnoteReference w:id="550"/>
      </w:r>
      <w:r>
        <w:rPr>
          <w:rStyle w:val="FootnoteReference"/>
        </w:rPr>
        <w:footnoteReference w:id="551"/>
      </w:r>
    </w:p>
    <w:p>
      <w:pPr>
        <w:pStyle w:val="BodyText"/>
      </w:pPr>
      <w:r>
        <w:t xml:space="preserve">Two features of the 1910 design deserve emphasis. First, the enforcement clause is belt-and-suspenders: the same section makes non-conforming dispositions</w:t>
      </w:r>
      <w:r>
        <w:t xml:space="preserve"> </w:t>
      </w:r>
      <w:r>
        <w:t xml:space="preserve">“</w:t>
      </w:r>
      <w:r>
        <w:t xml:space="preserve">null and void</w:t>
      </w:r>
      <w:r>
        <w:t xml:space="preserve">”</w:t>
      </w:r>
      <w:r>
        <w:t xml:space="preserve"> </w:t>
      </w:r>
      <w:r>
        <w:t xml:space="preserve">of their own force, so the trust is protected by automatic nullity even where no enforcer sues — the mechanism on which the beneficiary-side cases of § 15.4 actually proceed. Second, the clause names a federal officer precisely because the state’s own enforcement officer is conflicted in the manner Chapter 14 describes; the 1910 Congress, in effect, answered the attorney general problem by appointing a second attorney general.</w:t>
      </w:r>
    </w:p>
    <w:p>
      <w:pPr>
        <w:pStyle w:val="Heading3"/>
      </w:pPr>
      <w:bookmarkStart w:id="552" w:name="X40c81465d2e0adc9dc28ff4182d15c6449c5aaf"/>
      <w:r>
        <w:t xml:space="preserve">§ 15.3 The continuing interest in lands and funds</w:t>
      </w:r>
      <w:bookmarkEnd w:id="552"/>
    </w:p>
    <w:p>
      <w:pPr>
        <w:pStyle w:val="FirstParagraph"/>
      </w:pPr>
      <w:r>
        <w:rPr>
          <w:b/>
        </w:rPr>
        <w:t xml:space="preserve">Proceeds carry the trust, and the United States’ interest follows them.</w:t>
      </w:r>
      <w:r>
        <w:t xml:space="preserve"> </w:t>
      </w:r>
      <w:r>
        <w:t xml:space="preserve">The Supreme Court confirmed in</w:t>
      </w:r>
      <w:r>
        <w:t xml:space="preserve"> </w:t>
      </w:r>
      <w:r>
        <w:rPr>
          <w:i/>
        </w:rPr>
        <w:t xml:space="preserve">Alamo Land &amp; Cattle Co. v. Arizona</w:t>
      </w:r>
      <w:r>
        <w:t xml:space="preserve"> </w:t>
      </w:r>
      <w:r>
        <w:t xml:space="preserve">that proceeds of trust lands remain subject to the same trust as the lands themselves, and that the United States retains</w:t>
      </w:r>
      <w:r>
        <w:t xml:space="preserve"> </w:t>
      </w:r>
      <w:r>
        <w:t xml:space="preserve">“</w:t>
      </w:r>
      <w:r>
        <w:t xml:space="preserve">a continuing interest in the administration of both the lands and the funds which derive from them.</w:t>
      </w:r>
      <w:r>
        <w:t xml:space="preserve">”</w:t>
      </w:r>
      <w:r>
        <w:rPr>
          <w:rStyle w:val="FootnoteReference"/>
        </w:rPr>
        <w:footnoteReference w:id="553"/>
      </w:r>
      <w:r>
        <w:rPr>
          <w:rStyle w:val="FootnoteReference"/>
        </w:rPr>
        <w:footnoteReference w:id="554"/>
      </w:r>
      <w:r>
        <w:t xml:space="preserve"> </w:t>
      </w:r>
      <w:r>
        <w:t xml:space="preserve">The proposition matters practically because it defeats the laundering move: a state cannot convert restricted land into unrestricted money. Whatever the trust res becomes — sale proceeds, royalties, a permanent fund’s securities — the federal interest persists in it.</w:t>
      </w:r>
    </w:p>
    <w:p>
      <w:pPr>
        <w:pStyle w:val="BodyText"/>
      </w:pPr>
      <w:r>
        <w:rPr>
          <w:b/>
        </w:rPr>
        <w:t xml:space="preserve">The continuing statutory framework.</w:t>
      </w:r>
      <w:r>
        <w:t xml:space="preserve"> </w:t>
      </w:r>
      <w:r>
        <w:t xml:space="preserve">The granting acts did not exhaust the federal law of the field at admission. The school-grant statutes survive in their present form at 43 U.S.C. § 851 et seq., governing lieu (indemnity) selections where designated sections were lost to prior disposition or reservation.</w:t>
      </w:r>
      <w:r>
        <w:rPr>
          <w:rStyle w:val="FootnoteReference"/>
        </w:rPr>
        <w:footnoteReference w:id="555"/>
      </w:r>
      <w:r>
        <w:t xml:space="preserve"> </w:t>
      </w:r>
      <w:r>
        <w:t xml:space="preserve">Indemnity administration has produced the field’s main body of state-against-United-States litigation: the Tenth Circuit in</w:t>
      </w:r>
      <w:r>
        <w:t xml:space="preserve"> </w:t>
      </w:r>
      <w:r>
        <w:rPr>
          <w:i/>
        </w:rPr>
        <w:t xml:space="preserve">State of Utah v. Kleppe</w:t>
      </w:r>
      <w:r>
        <w:t xml:space="preserve"> </w:t>
      </w:r>
      <w:r>
        <w:t xml:space="preserve">held that the congressional land-grant program was</w:t>
      </w:r>
      <w:r>
        <w:t xml:space="preserve"> </w:t>
      </w:r>
      <w:r>
        <w:t xml:space="preserve">“</w:t>
      </w:r>
      <w:r>
        <w:t xml:space="preserve">bilateral</w:t>
      </w:r>
      <w:r>
        <w:t xml:space="preserve">”</w:t>
      </w:r>
      <w:r>
        <w:t xml:space="preserve"> </w:t>
      </w:r>
      <w:r>
        <w:t xml:space="preserve">in effect, its</w:t>
      </w:r>
      <w:r>
        <w:t xml:space="preserve"> </w:t>
      </w:r>
      <w:r>
        <w:t xml:space="preserve">“</w:t>
      </w:r>
      <w:r>
        <w:t xml:space="preserve">specific purpose</w:t>
      </w:r>
      <w:r>
        <w:t xml:space="preserve">”</w:t>
      </w:r>
      <w:r>
        <w:t xml:space="preserve"> </w:t>
      </w:r>
      <w:r>
        <w:t xml:space="preserve">being</w:t>
      </w:r>
      <w:r>
        <w:t xml:space="preserve"> </w:t>
      </w:r>
      <w:r>
        <w:t xml:space="preserve">“</w:t>
      </w:r>
      <w:r>
        <w:t xml:space="preserve">to create a binding permanent trust which would generate financial aid to support the public school systems of the</w:t>
      </w:r>
      <w:r>
        <w:t xml:space="preserve"> </w:t>
      </w:r>
      <w:r>
        <w:t xml:space="preserve">‘</w:t>
      </w:r>
      <w:r>
        <w:t xml:space="preserve">public land</w:t>
      </w:r>
      <w:r>
        <w:t xml:space="preserve">’</w:t>
      </w:r>
      <w:r>
        <w:t xml:space="preserve"> </w:t>
      </w:r>
      <w:r>
        <w:t xml:space="preserve">states,</w:t>
      </w:r>
      <w:r>
        <w:t xml:space="preserve">”</w:t>
      </w:r>
      <w:r>
        <w:t xml:space="preserve"> </w:t>
      </w:r>
      <w:r>
        <w:t xml:space="preserve">and ruled for the state on its selection rights (quotations verified verbatim against the full opinion, 2026-06-08); the District of Utah extended the bilateral-compact frame to imply state access across federal land to encircled trust sections, because</w:t>
      </w:r>
      <w:r>
        <w:t xml:space="preserve"> </w:t>
      </w:r>
      <w:r>
        <w:t xml:space="preserve">“</w:t>
      </w:r>
      <w:r>
        <w:t xml:space="preserve">[w]ithout access the state could not develop the trust lands in any fashion and they would become economically worthless. This Congress did not intend.</w:t>
      </w:r>
      <w:r>
        <w:t xml:space="preserve">”</w:t>
      </w:r>
      <w:r>
        <w:rPr>
          <w:rStyle w:val="FootnoteReference"/>
        </w:rPr>
        <w:footnoteReference w:id="556"/>
      </w:r>
      <w:r>
        <w:t xml:space="preserve"> </w:t>
      </w:r>
      <w:r>
        <w:t xml:space="preserve">The Supreme Court’s</w:t>
      </w:r>
      <w:r>
        <w:t xml:space="preserve"> </w:t>
      </w:r>
      <w:r>
        <w:rPr>
          <w:i/>
        </w:rPr>
        <w:t xml:space="preserve">Andrus v. Utah</w:t>
      </w:r>
      <w:r>
        <w:t xml:space="preserve"> </w:t>
      </w:r>
      <w:r>
        <w:t xml:space="preserve">then marked the doctrine’s boundary in the other direction: the Court upheld the Secretary of the Interior’s</w:t>
      </w:r>
      <w:r>
        <w:t xml:space="preserve"> </w:t>
      </w:r>
      <w:r>
        <w:t xml:space="preserve">“</w:t>
      </w:r>
      <w:r>
        <w:t xml:space="preserve">grossly disparate value</w:t>
      </w:r>
      <w:r>
        <w:t xml:space="preserve">”</w:t>
      </w:r>
      <w:r>
        <w:t xml:space="preserve"> </w:t>
      </w:r>
      <w:r>
        <w:t xml:space="preserve">indemnity policy as a lawful exercise of discretion under section 7 of the Taylor Grazing Act — a holding</w:t>
      </w:r>
      <w:r>
        <w:t xml:space="preserve"> </w:t>
      </w:r>
      <w:r>
        <w:rPr>
          <w:i/>
        </w:rPr>
        <w:t xml:space="preserve">for</w:t>
      </w:r>
      <w:r>
        <w:t xml:space="preserve"> </w:t>
      </w:r>
      <w:r>
        <w:t xml:space="preserve">the federal administrator, reached within a framing that treated the grant as a</w:t>
      </w:r>
      <w:r>
        <w:t xml:space="preserve"> </w:t>
      </w:r>
      <w:r>
        <w:t xml:space="preserve">“</w:t>
      </w:r>
      <w:r>
        <w:t xml:space="preserve">solemn agreement</w:t>
      </w:r>
      <w:r>
        <w:t xml:space="preserve">”</w:t>
      </w:r>
      <w:r>
        <w:t xml:space="preserve"> </w:t>
      </w:r>
      <w:r>
        <w:t xml:space="preserve">whose indemnity right exists</w:t>
      </w:r>
      <w:r>
        <w:t xml:space="preserve"> </w:t>
      </w:r>
      <w:r>
        <w:t xml:space="preserve">“</w:t>
      </w:r>
      <w:r>
        <w:t xml:space="preserve">to give the State the benefit of the bargain.</w:t>
      </w:r>
      <w:r>
        <w:t xml:space="preserve">”</w:t>
      </w:r>
      <w:r>
        <w:rPr>
          <w:rStyle w:val="FootnoteReference"/>
        </w:rPr>
        <w:footnoteReference w:id="557"/>
      </w:r>
    </w:p>
    <w:p>
      <w:pPr>
        <w:pStyle w:val="BodyText"/>
      </w:pPr>
      <w:r>
        <w:rPr>
          <w:b/>
        </w:rPr>
        <w:t xml:space="preserve">The compact binds — and exposes — both sovereigns.</w:t>
      </w:r>
      <w:r>
        <w:t xml:space="preserve"> </w:t>
      </w:r>
      <w:r>
        <w:t xml:space="preserve">The lesson of the indemnity cases is that the bilateral compact runs in both directions: the United States owes performance and can be sued for it, and the United States has also appeared as plaintiff in school-lands litigation under pre-1910 instruments — the corpus’s example is the District of Utah’s</w:t>
      </w:r>
      <w:r>
        <w:t xml:space="preserve"> </w:t>
      </w:r>
      <w:r>
        <w:rPr>
          <w:i/>
        </w:rPr>
        <w:t xml:space="preserve">Cotter</w:t>
      </w:r>
      <w:r>
        <w:t xml:space="preserve"> </w:t>
      </w:r>
      <w:r>
        <w:t xml:space="preserve">litigation, against a private party, under the 1894 Utah act’s framework, articulating the rule that special school-land legislation prevails over later general legislation.</w:t>
      </w:r>
      <w:r>
        <w:rPr>
          <w:rStyle w:val="FootnoteReference"/>
        </w:rPr>
        <w:footnoteReference w:id="558"/>
      </w:r>
      <w:r>
        <w:t xml:space="preserve"> </w:t>
      </w:r>
      <w:r>
        <w:t xml:space="preserve">Justice Powell’s formulation in</w:t>
      </w:r>
      <w:r>
        <w:t xml:space="preserve"> </w:t>
      </w:r>
      <w:r>
        <w:rPr>
          <w:i/>
        </w:rPr>
        <w:t xml:space="preserve">Andrus</w:t>
      </w:r>
      <w:r>
        <w:t xml:space="preserve"> </w:t>
      </w:r>
      <w:r>
        <w:t xml:space="preserve">states the structure the cases assume: the grants were</w:t>
      </w:r>
      <w:r>
        <w:t xml:space="preserve"> </w:t>
      </w:r>
      <w:r>
        <w:t xml:space="preserve">“</w:t>
      </w:r>
      <w:r>
        <w:t xml:space="preserve">solemn bilateral compacts between each State and the Federal Government,</w:t>
      </w:r>
      <w:r>
        <w:t xml:space="preserve">”</w:t>
      </w:r>
      <w:r>
        <w:t xml:space="preserve"> </w:t>
      </w:r>
      <w:r>
        <w:t xml:space="preserve">imposing</w:t>
      </w:r>
      <w:r>
        <w:t xml:space="preserve"> </w:t>
      </w:r>
      <w:r>
        <w:t xml:space="preserve">“</w:t>
      </w:r>
      <w:r>
        <w:t xml:space="preserve">upon the State a binding and perpetual obligation to use the granted lands for the support of public education.</w:t>
      </w:r>
      <w:r>
        <w:t xml:space="preserve">”</w:t>
      </w:r>
      <w:r>
        <w:rPr>
          <w:rStyle w:val="FootnoteReference"/>
        </w:rPr>
        <w:footnoteReference w:id="559"/>
      </w:r>
    </w:p>
    <w:p>
      <w:pPr>
        <w:pStyle w:val="BodyText"/>
      </w:pPr>
      <w:r>
        <w:rPr>
          <w:b/>
        </w:rPr>
        <w:t xml:space="preserve">Amendment requires the grantor’s consent.</w:t>
      </w:r>
      <w:r>
        <w:t xml:space="preserve"> </w:t>
      </w:r>
      <w:r>
        <w:t xml:space="preserve">The bilateral character has a live constitutional consequence: a state cannot unilaterally alter the trust’s terms even by amending its own constitution. The corpus’s contemporary instance is New Mexico’s 2022 amendment adding early-childhood education as a permanent-fund distribution destination, which required congressional consent under the federal compact.</w:t>
      </w:r>
      <w:r>
        <w:rPr>
          <w:rStyle w:val="FootnoteReference"/>
        </w:rPr>
        <w:footnoteReference w:id="560"/>
      </w:r>
      <w:r>
        <w:t xml:space="preserve"> </w:t>
      </w:r>
      <w:r>
        <w:t xml:space="preserve">The doctrinal root is</w:t>
      </w:r>
      <w:r>
        <w:t xml:space="preserve"> </w:t>
      </w:r>
      <w:r>
        <w:rPr>
          <w:i/>
        </w:rPr>
        <w:t xml:space="preserve">Cooper v. Roberts</w:t>
      </w:r>
      <w:r>
        <w:t xml:space="preserve">: the section-sixteen grant is a compact</w:t>
      </w:r>
      <w:r>
        <w:t xml:space="preserve"> </w:t>
      </w:r>
      <w:r>
        <w:t xml:space="preserve">“</w:t>
      </w:r>
      <w:r>
        <w:t xml:space="preserve">unalterable except by consent,</w:t>
      </w:r>
      <w:r>
        <w:t xml:space="preserve">”</w:t>
      </w:r>
      <w:r>
        <w:t xml:space="preserve"> </w:t>
      </w:r>
      <w:r>
        <w:t xml:space="preserve">resting a</w:t>
      </w:r>
      <w:r>
        <w:t xml:space="preserve"> </w:t>
      </w:r>
      <w:r>
        <w:t xml:space="preserve">“</w:t>
      </w:r>
      <w:r>
        <w:t xml:space="preserve">sacred obligation</w:t>
      </w:r>
      <w:r>
        <w:t xml:space="preserve">”</w:t>
      </w:r>
      <w:r>
        <w:t xml:space="preserve"> </w:t>
      </w:r>
      <w:r>
        <w:t xml:space="preserve">on the receiving state’s public faith.</w:t>
      </w:r>
      <w:r>
        <w:rPr>
          <w:rStyle w:val="FootnoteReference"/>
        </w:rPr>
        <w:footnoteReference w:id="561"/>
      </w:r>
    </w:p>
    <w:p>
      <w:pPr>
        <w:pStyle w:val="Heading3"/>
      </w:pPr>
      <w:bookmarkStart w:id="562" w:name="X3e0070346043fc10fea5aaafb698199a6d1c715"/>
      <w:r>
        <w:t xml:space="preserve">§ 15.4 Supremacy as the floor under state administration</w:t>
      </w:r>
      <w:bookmarkEnd w:id="562"/>
    </w:p>
    <w:p>
      <w:pPr>
        <w:pStyle w:val="FirstParagraph"/>
      </w:pPr>
      <w:r>
        <w:t xml:space="preserve">The third federal role operates in every case, whether or not the United States appears: the granting instruments are federal law, and state administration sits on top of them.</w:t>
      </w:r>
    </w:p>
    <w:p>
      <w:pPr>
        <w:pStyle w:val="BodyText"/>
      </w:pPr>
      <w:r>
        <w:rPr>
          <w:b/>
        </w:rPr>
        <w:t xml:space="preserve">The construction of the grants is a federal question.</w:t>
      </w:r>
      <w:r>
        <w:t xml:space="preserve"> </w:t>
      </w:r>
      <w:r>
        <w:t xml:space="preserve">“</w:t>
      </w:r>
      <w:r>
        <w:t xml:space="preserve">[A] question which concerns the … effect of an act done by the United States</w:t>
      </w:r>
      <w:r>
        <w:t xml:space="preserve">”</w:t>
      </w:r>
      <w:r>
        <w:t xml:space="preserve"> </w:t>
      </w:r>
      <w:r>
        <w:t xml:space="preserve">is</w:t>
      </w:r>
      <w:r>
        <w:t xml:space="preserve"> </w:t>
      </w:r>
      <w:r>
        <w:t xml:space="preserve">“</w:t>
      </w:r>
      <w:r>
        <w:t xml:space="preserve">necessarily a federal question.</w:t>
      </w:r>
      <w:r>
        <w:t xml:space="preserve">”</w:t>
      </w:r>
      <w:r>
        <w:rPr>
          <w:rStyle w:val="FootnoteReference"/>
        </w:rPr>
        <w:footnoteReference w:id="563"/>
      </w:r>
      <w:r>
        <w:t xml:space="preserve"> </w:t>
      </w:r>
      <w:r>
        <w:t xml:space="preserve">And the federal construction is uniform across the states:</w:t>
      </w:r>
      <w:r>
        <w:t xml:space="preserve"> </w:t>
      </w:r>
      <w:r>
        <w:rPr>
          <w:i/>
        </w:rPr>
        <w:t xml:space="preserve">United States v. Morrison</w:t>
      </w:r>
      <w:r>
        <w:t xml:space="preserve">, reviewing the Oregon grant, treated the</w:t>
      </w:r>
      <w:r>
        <w:t xml:space="preserve"> </w:t>
      </w:r>
      <w:r>
        <w:rPr>
          <w:i/>
        </w:rPr>
        <w:t xml:space="preserve">Heydenfeldt</w:t>
      </w:r>
      <w:r>
        <w:t xml:space="preserve"> </w:t>
      </w:r>
      <w:r>
        <w:t xml:space="preserve">decision</w:t>
      </w:r>
      <w:r>
        <w:t xml:space="preserve"> </w:t>
      </w:r>
      <w:r>
        <w:t xml:space="preserve">“</w:t>
      </w:r>
      <w:r>
        <w:t xml:space="preserve">as establishing a definite rule of construction</w:t>
      </w:r>
      <w:r>
        <w:t xml:space="preserve">”</w:t>
      </w:r>
      <w:r>
        <w:t xml:space="preserve"> </w:t>
      </w:r>
      <w:r>
        <w:t xml:space="preserve">for the school grants — Congress</w:t>
      </w:r>
      <w:r>
        <w:t xml:space="preserve"> </w:t>
      </w:r>
      <w:r>
        <w:t xml:space="preserve">“</w:t>
      </w:r>
      <w:r>
        <w:t xml:space="preserve">used the same phrase substantially in nearly every one of the school grants,</w:t>
      </w:r>
      <w:r>
        <w:t xml:space="preserve">”</w:t>
      </w:r>
      <w:r>
        <w:t xml:space="preserve"> </w:t>
      </w:r>
      <w:r>
        <w:t xml:space="preserve">and it was</w:t>
      </w:r>
      <w:r>
        <w:t xml:space="preserve"> </w:t>
      </w:r>
      <w:r>
        <w:t xml:space="preserve">“</w:t>
      </w:r>
      <w:r>
        <w:t xml:space="preserve">the manifest intention to place the States on the same footing.</w:t>
      </w:r>
      <w:r>
        <w:t xml:space="preserve">”</w:t>
      </w:r>
      <w:r>
        <w:rPr>
          <w:rStyle w:val="FootnoteReference"/>
        </w:rPr>
        <w:footnoteReference w:id="564"/>
      </w:r>
      <w:r>
        <w:t xml:space="preserve"> </w:t>
      </w:r>
      <w:r>
        <w:t xml:space="preserve">The same-footing rule is what makes this volume’s cross-state method legally sound rather than merely comparative: a holding construing one instrument’s standard granting language speaks to them all.</w:t>
      </w:r>
    </w:p>
    <w:p>
      <w:pPr>
        <w:pStyle w:val="BodyText"/>
      </w:pPr>
      <w:r>
        <w:rPr>
          <w:b/>
        </w:rPr>
        <w:t xml:space="preserve">State law inconsistent with the instrument is void.</w:t>
      </w:r>
      <w:r>
        <w:t xml:space="preserve"> </w:t>
      </w:r>
      <w:r>
        <w:t xml:space="preserve">The capstone is</w:t>
      </w:r>
      <w:r>
        <w:t xml:space="preserve"> </w:t>
      </w:r>
      <w:r>
        <w:rPr>
          <w:i/>
        </w:rPr>
        <w:t xml:space="preserve">ASARCO Inc. v. Kadish</w:t>
      </w:r>
      <w:r>
        <w:t xml:space="preserve">: the Arizona Supreme Court invalidated a state mineral-leasing statute for nonconformity with the Enabling Act, and the Supreme Court of the United States affirmed, restating that Congress provided</w:t>
      </w:r>
      <w:r>
        <w:t xml:space="preserve"> </w:t>
      </w:r>
      <w:r>
        <w:t xml:space="preserve">“</w:t>
      </w:r>
      <w:r>
        <w:t xml:space="preserve">that the new State would hold those granted lands in trust and subject to the specific conditions set out in § 28 of the Act.</w:t>
      </w:r>
      <w:r>
        <w:t xml:space="preserve">”</w:t>
      </w:r>
      <w:r>
        <w:rPr>
          <w:rStyle w:val="FootnoteReference"/>
        </w:rPr>
        <w:footnoteReference w:id="565"/>
      </w:r>
      <w:r>
        <w:t xml:space="preserve"> </w:t>
      </w:r>
      <w:r>
        <w:t xml:space="preserve">The enforcement pattern deserves notice: the plaintiffs were a teachers’ association and individual schoolteachers, in state court; the supremacy floor did the substantive work while beneficiary standing supplied the engine. The federal floor operates independently of state constitutional interpretation — whatever a state’s courts make of their own education articles, the federal instrument’s conditions bind of their own force.</w:t>
      </w:r>
      <w:r>
        <w:rPr>
          <w:rStyle w:val="FootnoteReference"/>
        </w:rPr>
        <w:footnoteReference w:id="566"/>
      </w:r>
    </w:p>
    <w:p>
      <w:pPr>
        <w:pStyle w:val="BodyText"/>
      </w:pPr>
      <w:r>
        <w:rPr>
          <w:b/>
        </w:rPr>
        <w:t xml:space="preserve">The federal forum.</w:t>
      </w:r>
      <w:r>
        <w:t xml:space="preserve"> </w:t>
      </w:r>
      <w:r>
        <w:t xml:space="preserve">The compact is also litigable in federal court on its own terms: the Tenth Circuit in</w:t>
      </w:r>
      <w:r>
        <w:t xml:space="preserve"> </w:t>
      </w:r>
      <w:r>
        <w:rPr>
          <w:i/>
        </w:rPr>
        <w:t xml:space="preserve">Branson School District RE-82 v. Romer</w:t>
      </w:r>
      <w:r>
        <w:t xml:space="preserve"> </w:t>
      </w:r>
      <w:r>
        <w:t xml:space="preserve">entertained a school district’s Enabling Act challenge to Colorado’s 1996 constitutional reform, held the compact an enforceable trust rather than aspirational policy, and sustained the reform on the merits as within the trust.</w:t>
      </w:r>
      <w:r>
        <w:rPr>
          <w:rStyle w:val="FootnoteReference"/>
        </w:rPr>
        <w:footnoteReference w:id="567"/>
      </w:r>
      <w:r>
        <w:t xml:space="preserve"> </w:t>
      </w:r>
      <w:r>
        <w:rPr>
          <w:i/>
        </w:rPr>
        <w:t xml:space="preserve">Branson</w:t>
      </w:r>
      <w:r>
        <w:t xml:space="preserve"> </w:t>
      </w:r>
      <w:r>
        <w:t xml:space="preserve">is double-edged and should be cited with its result: the federal floor is real, and a state restructuring that respects it survives.</w:t>
      </w:r>
    </w:p>
    <w:p>
      <w:pPr>
        <w:pStyle w:val="Heading3"/>
      </w:pPr>
      <w:bookmarkStart w:id="568" w:name="the-silence-of-the-earlier-instruments"/>
      <w:r>
        <w:t xml:space="preserve">§ 15.5 The silence of the earlier instruments</w:t>
      </w:r>
      <w:bookmarkEnd w:id="568"/>
    </w:p>
    <w:p>
      <w:pPr>
        <w:pStyle w:val="FirstParagraph"/>
      </w:pPr>
      <w:r>
        <w:t xml:space="preserve">Only the 1910 act names a federal enforcer. Every earlier instrument — Oregon’s 1859 act included — is silent. What the silence implies is contested ground, and both readings deserve full statement.</w:t>
      </w:r>
    </w:p>
    <w:p>
      <w:pPr>
        <w:pStyle w:val="BodyText"/>
      </w:pPr>
      <w:r>
        <w:rPr>
          <w:b/>
        </w:rPr>
        <w:t xml:space="preserve">The state-side reading: expressio unius.</w:t>
      </w:r>
      <w:r>
        <w:t xml:space="preserve"> </w:t>
      </w:r>
      <w:r>
        <w:t xml:space="preserve">Congress demonstrated in 1910 that it knew how to write a trust declaration, a nullity rule, and a federal enforcement clause; its omission of them from the earlier instruments was therefore a choice, and the earlier grants carry only what they say. On this reading the federal enforcement role is a creature of the 1910 text, not of the grants’ nature, and the earlier-instrument states answer to their own constitutions and courts alone. The reading has appellate support of an unusual kind in the corpus: the reported Oregon Court of Appeals ruling in</w:t>
      </w:r>
      <w:r>
        <w:t xml:space="preserve"> </w:t>
      </w:r>
      <w:r>
        <w:rPr>
          <w:i/>
        </w:rPr>
        <w:t xml:space="preserve">Sullivan v. State</w:t>
      </w:r>
      <w:r>
        <w:t xml:space="preserve">, No. A177308 — carried in this volume only as a reported ruling under verification (see § 14.3 for the full entry and its verification flag) — is described as reasoning from the absence of an express enforcement clause in the granting instrument to the conclusion that the trust’s statutory enforcer owed the trust no defense.</w:t>
      </w:r>
      <w:r>
        <w:rPr>
          <w:rStyle w:val="FootnoteReference"/>
        </w:rPr>
        <w:footnoteReference w:id="569"/>
      </w:r>
    </w:p>
    <w:p>
      <w:pPr>
        <w:pStyle w:val="BodyText"/>
      </w:pPr>
      <w:r>
        <w:rPr>
          <w:b/>
        </w:rPr>
        <w:t xml:space="preserve">The contrary reading: the design was always the same; 1910 merely wrote it down.</w:t>
      </w:r>
      <w:r>
        <w:t xml:space="preserve"> </w:t>
      </w:r>
      <w:r>
        <w:t xml:space="preserve">Three lines of authority resist the negative inference. First, the Supreme Court enforced educational-grant trusts long before 1910 and without any enforcement clause: the 1852</w:t>
      </w:r>
      <w:r>
        <w:t xml:space="preserve"> </w:t>
      </w:r>
      <w:r>
        <w:rPr>
          <w:i/>
        </w:rPr>
        <w:t xml:space="preserve">Vincennes</w:t>
      </w:r>
      <w:r>
        <w:t xml:space="preserve"> </w:t>
      </w:r>
      <w:r>
        <w:t xml:space="preserve">decision protected an educational grant against state appropriation — title</w:t>
      </w:r>
      <w:r>
        <w:t xml:space="preserve"> </w:t>
      </w:r>
      <w:r>
        <w:t xml:space="preserve">“</w:t>
      </w:r>
      <w:r>
        <w:t xml:space="preserve">has never been considered as vested in the State,</w:t>
      </w:r>
      <w:r>
        <w:t xml:space="preserve">”</w:t>
      </w:r>
      <w:r>
        <w:t xml:space="preserve"> </w:t>
      </w:r>
      <w:r>
        <w:t xml:space="preserve">which has</w:t>
      </w:r>
      <w:r>
        <w:t xml:space="preserve"> </w:t>
      </w:r>
      <w:r>
        <w:t xml:space="preserve">“</w:t>
      </w:r>
      <w:r>
        <w:t xml:space="preserve">no inherent power to sell them, or appropriate them to any other purpose than for the benefit of schools</w:t>
      </w:r>
      <w:r>
        <w:t xml:space="preserve">”</w:t>
      </w:r>
      <w:r>
        <w:t xml:space="preserve"> </w:t>
      </w:r>
      <w:r>
        <w:t xml:space="preserve">— and</w:t>
      </w:r>
      <w:r>
        <w:t xml:space="preserve"> </w:t>
      </w:r>
      <w:r>
        <w:rPr>
          <w:i/>
        </w:rPr>
        <w:t xml:space="preserve">Cooper</w:t>
      </w:r>
      <w:r>
        <w:t xml:space="preserve"> </w:t>
      </w:r>
      <w:r>
        <w:t xml:space="preserve">made the section-sixteen grant an unalterable compact in 1855.</w:t>
      </w:r>
      <w:r>
        <w:rPr>
          <w:rStyle w:val="FootnoteReference"/>
        </w:rPr>
        <w:footnoteReference w:id="570"/>
      </w:r>
      <w:r>
        <w:t xml:space="preserve"> </w:t>
      </w:r>
      <w:r>
        <w:t xml:space="preserve">Second,</w:t>
      </w:r>
      <w:r>
        <w:t xml:space="preserve"> </w:t>
      </w:r>
      <w:r>
        <w:rPr>
          <w:i/>
        </w:rPr>
        <w:t xml:space="preserve">Morrison</w:t>
      </w:r>
      <w:r>
        <w:t xml:space="preserve">’s same-footing rule cuts directly against reading the 1910 act as creating a different kind of trust: the granting phrase is</w:t>
      </w:r>
      <w:r>
        <w:t xml:space="preserve"> </w:t>
      </w:r>
      <w:r>
        <w:t xml:space="preserve">“</w:t>
      </w:r>
      <w:r>
        <w:t xml:space="preserve">the same phrase substantially in nearly every one of the school grants,</w:t>
      </w:r>
      <w:r>
        <w:t xml:space="preserve">”</w:t>
      </w:r>
      <w:r>
        <w:t xml:space="preserve"> </w:t>
      </w:r>
      <w:r>
        <w:t xml:space="preserve">and the 1910-act cases have accordingly supplied the doctrinal floor that courts of the earlier-instrument states apply to their own grants.</w:t>
      </w:r>
      <w:r>
        <w:rPr>
          <w:rStyle w:val="FootnoteReference"/>
        </w:rPr>
        <w:footnoteReference w:id="571"/>
      </w:r>
      <w:r>
        <w:t xml:space="preserve"> </w:t>
      </w:r>
      <w:r>
        <w:t xml:space="preserve">Third, the United States’ litigating history does not respect the line: it has sued and been sued over the grants’ administration under pre-1910 instruments without express authorization (§ 15.3).</w:t>
      </w:r>
      <w:r>
        <w:rPr>
          <w:rStyle w:val="FootnoteReference"/>
        </w:rPr>
        <w:footnoteReference w:id="572"/>
      </w:r>
    </w:p>
    <w:p>
      <w:pPr>
        <w:pStyle w:val="BodyText"/>
      </w:pPr>
      <w:r>
        <w:t xml:space="preserve">Candor about the corpus: no decision in the verified files squarely holds that the United States may — or may not — sue a state for breach of a pre-1910 school grant.</w:t>
      </w:r>
      <w:r>
        <w:t xml:space="preserve"> </w:t>
      </w:r>
      <w:r>
        <w:rPr>
          <w:i/>
        </w:rPr>
        <w:t xml:space="preserve">Ervien</w:t>
      </w:r>
      <w:r>
        <w:t xml:space="preserve"> </w:t>
      </w:r>
      <w:r>
        <w:t xml:space="preserve">proceeded under the express clause; the pre-1910 federal appearances in the corpus are indemnity suits and litigation against private parties. The question is open in the case law this volume has verified, and the honest statement is that the supremacy floor of § 15.4 — enforced in practice by beneficiaries — has carried the weight that federal enforcement suits might otherwise have carried.</w:t>
      </w:r>
      <w:r>
        <w:rPr>
          <w:rStyle w:val="FootnoteReference"/>
        </w:rPr>
        <w:footnoteReference w:id="573"/>
      </w:r>
    </w:p>
    <w:p>
      <w:pPr>
        <w:pStyle w:val="Heading3"/>
      </w:pPr>
      <w:bookmarkStart w:id="574" w:name="practitioners-synthesis"/>
      <w:r>
        <w:t xml:space="preserve">§ 15.6 Practitioner’s synthesis</w:t>
      </w:r>
      <w:bookmarkEnd w:id="574"/>
    </w:p>
    <w:p>
      <w:pPr>
        <w:numPr>
          <w:ilvl w:val="0"/>
          <w:numId w:val="1014"/>
        </w:numPr>
      </w:pPr>
      <w:r>
        <w:rPr>
          <w:b/>
        </w:rPr>
        <w:t xml:space="preserve">In a 1910-act state</w:t>
      </w:r>
      <w:r>
        <w:t xml:space="preserve">, the United States is an express enforcer, non-conforming dispositions are null and void of their own force, and</w:t>
      </w:r>
      <w:r>
        <w:t xml:space="preserve"> </w:t>
      </w:r>
      <w:r>
        <w:rPr>
          <w:i/>
        </w:rPr>
        <w:t xml:space="preserve">Ervien</w:t>
      </w:r>
      <w:r>
        <w:t xml:space="preserve"> </w:t>
      </w:r>
      <w:r>
        <w:t xml:space="preserve">shows the clause is no dead letter — but the corpus records no modern federal enforcement suit, and a practitioner should treat the United States Attorney General as a theoretical rather than an expected ally [VERIFY: a deliberate search for post-</w:t>
      </w:r>
      <w:r>
        <w:rPr>
          <w:i/>
        </w:rPr>
        <w:t xml:space="preserve">Ervien</w:t>
      </w:r>
      <w:r>
        <w:t xml:space="preserve"> </w:t>
      </w:r>
      <w:r>
        <w:t xml:space="preserve">federal enforcement suits has not yet been run].</w:t>
      </w:r>
    </w:p>
    <w:p>
      <w:pPr>
        <w:numPr>
          <w:ilvl w:val="0"/>
          <w:numId w:val="1014"/>
        </w:numPr>
      </w:pPr>
      <w:r>
        <w:rPr>
          <w:b/>
        </w:rPr>
        <w:t xml:space="preserve">In every state</w:t>
      </w:r>
      <w:r>
        <w:t xml:space="preserve">, the supremacy floor is live, modern law:</w:t>
      </w:r>
      <w:r>
        <w:t xml:space="preserve"> </w:t>
      </w:r>
      <w:r>
        <w:rPr>
          <w:i/>
        </w:rPr>
        <w:t xml:space="preserve">ASARCO</w:t>
      </w:r>
      <w:r>
        <w:t xml:space="preserve"> </w:t>
      </w:r>
      <w:r>
        <w:t xml:space="preserve">affirmed the invalidation of a state statute for nonconformity with the instrument in 1989, on beneficiary initiative. The practical enforcement engine of the federal trust is the beneficiary suit (Chapter 13) wielding the federal floor — not the federal plaintiff.</w:t>
      </w:r>
    </w:p>
    <w:p>
      <w:pPr>
        <w:numPr>
          <w:ilvl w:val="0"/>
          <w:numId w:val="1014"/>
        </w:numPr>
      </w:pPr>
      <w:r>
        <w:rPr>
          <w:b/>
        </w:rPr>
        <w:t xml:space="preserve">The United States’ continuing interest in lands and funds</w:t>
      </w:r>
      <w:r>
        <w:t xml:space="preserve"> </w:t>
      </w:r>
      <w:r>
        <w:t xml:space="preserve">(</w:t>
      </w:r>
      <w:r>
        <w:rPr>
          <w:i/>
        </w:rPr>
        <w:t xml:space="preserve">Alamo</w:t>
      </w:r>
      <w:r>
        <w:t xml:space="preserve">) defeats conversion arguments — proceeds, royalties, and funds remain trust property — and the bilateral compact means amendment of the trust’s terms runs through Congress, not through the state’s own constitutional machinery alone.</w:t>
      </w:r>
    </w:p>
    <w:p>
      <w:pPr>
        <w:numPr>
          <w:ilvl w:val="0"/>
          <w:numId w:val="1014"/>
        </w:numPr>
      </w:pPr>
      <w:r>
        <w:rPr>
          <w:b/>
        </w:rPr>
        <w:t xml:space="preserve">The enforcement-clause silence of the earlier instruments</w:t>
      </w:r>
      <w:r>
        <w:t xml:space="preserve"> </w:t>
      </w:r>
      <w:r>
        <w:t xml:space="preserve">is the field’s open federal question, currently pressed in state litigation rather than federal (§ 15.5); the same interpretive move appears on the state-officer side in Chapter 14’s lead exhibit. The two chapters should be read together: they are one question —</w:t>
      </w:r>
      <w:r>
        <w:t xml:space="preserve"> </w:t>
      </w:r>
      <w:r>
        <w:rPr>
          <w:i/>
        </w:rPr>
        <w:t xml:space="preserve">who must answer for the trust</w:t>
      </w:r>
      <w:r>
        <w:t xml:space="preserve"> </w:t>
      </w:r>
      <w:r>
        <w:t xml:space="preserve">— asked of two governments.</w:t>
      </w:r>
    </w:p>
    <w:p>
      <w:r>
        <w:pict>
          <v:rect style="width:0;height:1.5pt" o:hralign="center" o:hrstd="t" o:hr="t"/>
        </w:pict>
      </w:r>
    </w:p>
    <w:p>
      <w:pPr>
        <w:pStyle w:val="FirstParagraph"/>
      </w:pPr>
      <w:r>
        <w:rPr>
          <w:i/>
        </w:rPr>
        <w:t xml:space="preserve">End of Chapter 15 v1 (formerly Chapter 14 v0). Citation pass 2026-06-07 (this version): footnotes converted to named keys; the enabling-act citekey normalized from</w:t>
      </w:r>
      <w:r>
        <w:rPr>
          <w:i/>
        </w:rPr>
        <w:t xml:space="preserve"> </w:t>
      </w:r>
      <w:r>
        <w:rPr>
          <w:i/>
        </w:rPr>
        <w:t xml:space="preserve">@act-nm-az-1910</w:t>
      </w:r>
      <w:r>
        <w:rPr>
          <w:i/>
        </w:rPr>
        <w:t xml:space="preserve"> </w:t>
      </w:r>
      <w:r>
        <w:rPr>
          <w:i/>
        </w:rPr>
        <w:t xml:space="preserve">to the project-wide</w:t>
      </w:r>
      <w:r>
        <w:rPr>
          <w:i/>
        </w:rPr>
        <w:t xml:space="preserve"> </w:t>
      </w:r>
      <w:r>
        <w:rPr>
          <w:i/>
        </w:rPr>
        <w:t xml:space="preserve">@act-nm-az-1910</w:t>
      </w:r>
      <w:r>
        <w:rPr>
          <w:i/>
        </w:rPr>
        <w:t xml:space="preserve">; the Ervien pin corrected to 47-48 with the</w:t>
      </w:r>
      <w:r>
        <w:rPr>
          <w:i/>
        </w:rPr>
        <w:t xml:space="preserve"> </w:t>
      </w:r>
      <w:r>
        <w:rPr>
          <w:i/>
        </w:rPr>
        <w:t xml:space="preserve">“</w:t>
      </w:r>
      <w:r>
        <w:rPr>
          <w:i/>
        </w:rPr>
        <w:t xml:space="preserve">odious dereliction</w:t>
      </w:r>
      <w:r>
        <w:rPr>
          <w:i/>
        </w:rPr>
        <w:t xml:space="preserve">”</w:t>
      </w:r>
      <w:r>
        <w:rPr>
          <w:i/>
        </w:rPr>
        <w:t xml:space="preserve"> </w:t>
      </w:r>
      <w:r>
        <w:rPr>
          <w:i/>
        </w:rPr>
        <w:t xml:space="preserve">passage placed at 48, and the spurious</w:t>
      </w:r>
      <w:r>
        <w:rPr>
          <w:i/>
        </w:rPr>
        <w:t xml:space="preserve"> </w:t>
      </w:r>
      <w:r>
        <w:rPr>
          <w:i/>
        </w:rPr>
        <w:t xml:space="preserve">“</w:t>
      </w:r>
      <w:r>
        <w:rPr>
          <w:i/>
        </w:rPr>
        <w:t xml:space="preserve">admit of no substitution</w:t>
      </w:r>
      <w:r>
        <w:rPr>
          <w:i/>
        </w:rPr>
        <w:t xml:space="preserve">”</w:t>
      </w:r>
      <w:r>
        <w:rPr>
          <w:i/>
        </w:rPr>
        <w:t xml:space="preserve"> </w:t>
      </w:r>
      <w:r>
        <w:rPr>
          <w:i/>
        </w:rPr>
        <w:t xml:space="preserve">sentence flagged as absent from the opinion; the National Parks proceeds-and-use quotation pinned at 869 P.2d at 920 (verified); federal-collection citations re-labeled to the filed Response as a record document. Cross-references: Chapter 2 (the instruments), Chapter 4 (trust character), Chapter 13 (who may sue), Chapter 14 (the attorney general problem), Chapter 19 (reform tested in federal court). Verification queue (updated by the 2026-06-07 L0 verification pass — the 1787 Ordinance language, Morrison, Papasan, Borax, Alamo, and the D. Utah access quotation are now verified against held primaries; the Morrison</w:t>
      </w:r>
      <w:r>
        <w:rPr>
          <w:i/>
        </w:rPr>
        <w:t xml:space="preserve"> </w:t>
      </w:r>
      <w:r>
        <w:rPr>
          <w:i/>
        </w:rPr>
        <w:t xml:space="preserve">“</w:t>
      </w:r>
      <w:r>
        <w:rPr>
          <w:i/>
        </w:rPr>
        <w:t xml:space="preserve">definite rule</w:t>
      </w:r>
      <w:r>
        <w:rPr>
          <w:i/>
        </w:rPr>
        <w:t xml:space="preserve">”</w:t>
      </w:r>
      <w:r>
        <w:rPr>
          <w:i/>
        </w:rPr>
        <w:t xml:space="preserve"> </w:t>
      </w:r>
      <w:r>
        <w:rPr>
          <w:i/>
        </w:rPr>
        <w:t xml:space="preserve">wording and the ASARCO quotation attribution were corrected; Papasan now carries its Eleventh Amendment caution; the Kleppe formulations were downgraded to digest level pending the full pull): primary pulls for Savage, Cotter, and the full Kleppe opinion (Register G-3); United States v. Ervien, 246 F. 277 (8th Cir. 1917) (origin hunt for the disputed sentence); the post-Ervien federal-enforcement-suit search; the pre-1910 United States enforcement accord hunt; the A177308 opinion (Register G-1).</w:t>
      </w:r>
    </w:p>
    <w:p>
      <w:r>
        <w:br w:type="page"/>
      </w:r>
    </w:p>
    <w:p>
      <w:pPr>
        <w:pStyle w:val="Heading1"/>
      </w:pPr>
      <w:bookmarkStart w:id="575" w:name="X2ffde10a09d80298fd2aa974984fdb5118306c2"/>
      <w:r>
        <w:t xml:space="preserve">Chapter 16 — Justiciability of Trust Claims (v1)</w:t>
      </w:r>
      <w:bookmarkEnd w:id="575"/>
    </w:p>
    <w:p>
      <w:pPr>
        <w:pStyle w:val="FirstParagraph"/>
      </w:pPr>
      <w:r>
        <w:rPr>
          <w:i/>
        </w:rPr>
        <w:t xml:space="preserve">Status: v1 — renumbered (formerly Chapter 15) and converted to named citation keys under</w:t>
      </w:r>
      <w:r>
        <w:rPr>
          <w:i/>
        </w:rPr>
        <w:t xml:space="preserve"> </w:t>
      </w:r>
      <w:r>
        <w:rPr>
          <w:rStyle w:val="VerbatimChar"/>
          <w:i/>
        </w:rPr>
        <w:t xml:space="preserve">_tools/CITATION_STANDARD.md</w:t>
      </w:r>
      <w:r>
        <w:rPr>
          <w:i/>
        </w:rPr>
        <w:t xml:space="preserve"> </w:t>
      </w:r>
      <w:r>
        <w:rPr>
          <w:i/>
        </w:rPr>
        <w:t xml:space="preserve">in the 2026-06-07 citation pass. Corpus-bounded draft; [VERIFY] flags mark items awaiting primary-source confirmation under quality gate G3. Passages touching the pending Oregon litigation (24CV38372) are drawn from the public record only and carry [COUNSEL REVIEW] flags.</w:t>
      </w:r>
    </w:p>
    <w:p>
      <w:r>
        <w:pict>
          <v:rect style="width:0;height:1.5pt" o:hralign="center" o:hrstd="t" o:hr="t"/>
        </w:pict>
      </w:r>
    </w:p>
    <w:p>
      <w:pPr>
        <w:pStyle w:val="Heading3"/>
      </w:pPr>
      <w:bookmarkStart w:id="576" w:name="the-threshold-defenses-mapped"/>
      <w:r>
        <w:t xml:space="preserve">§ 16.1 The threshold defenses mapped</w:t>
      </w:r>
      <w:bookmarkEnd w:id="576"/>
    </w:p>
    <w:p>
      <w:pPr>
        <w:pStyle w:val="FirstParagraph"/>
      </w:pPr>
      <w:r>
        <w:t xml:space="preserve">A school-trust suit that has answered Part VI’s who-may-sue questions next meets a cluster of defenses aimed not at the plaintiff but at the court itself: the claim presents a political question; the management of trust assets is committed to legislative or executive discretion; the judiciary may not supervise a coordinate branch of government; and — the subject of Chapter 17 — sovereign immunity and its claims-statute machinery bar the action. These defenses arrive together, ordinarily in the same dispositive motion, which is why this Part treats them together rather than with standing (the plaintiff’s threshold problem, treated in Chapter 13).</w:t>
      </w:r>
    </w:p>
    <w:p>
      <w:pPr>
        <w:pStyle w:val="BodyText"/>
      </w:pPr>
      <w:r>
        <w:t xml:space="preserve">The justiciability question in this field has a distinctive shape. The defendant is a government engaged in governmental-looking activity — adopting budgets, setting leasing policy, designating land uses — and the vocabulary of political questions and legislative discretion fits such activity comfortably. But the same activity is also the administration of a trust, and judicial review of trustee conduct is among the oldest functions courts of equity perform. Whether the court sees a sovereign making policy or a trustee being audited is, in most cases, the entire fight. This chapter states both characterizations at full strength and maps where the decided cases draw the line.</w:t>
      </w:r>
    </w:p>
    <w:p>
      <w:pPr>
        <w:pStyle w:val="Heading3"/>
      </w:pPr>
      <w:bookmarkStart w:id="577" w:name="Xa2d16fedb8f04a994198ec5f4393733f23be5e7"/>
      <w:r>
        <w:t xml:space="preserve">§ 16.2 Equitable review of trustee conduct: the historical core</w:t>
      </w:r>
      <w:bookmarkEnd w:id="577"/>
    </w:p>
    <w:p>
      <w:pPr>
        <w:pStyle w:val="FirstParagraph"/>
      </w:pPr>
      <w:r>
        <w:t xml:space="preserve">The short answer to any categorical nonjusticiability argument is the existence of this volume. Every doctrinal chapter in Parts II through V rests on decisions in which a court took jurisdiction over a state’s management of school-trust assets and adjudicated the merits — sustaining the state in some, condemning it in others, but in all of them treating trustee conduct as judicially measurable against legal standards. The Oregon Supreme Court conducted transactional fiduciary review of the Land Board’s loans of school-fund monies in 1931, describing the Board as acting</w:t>
      </w:r>
      <w:r>
        <w:t xml:space="preserve"> </w:t>
      </w:r>
      <w:r>
        <w:t xml:space="preserve">“</w:t>
      </w:r>
      <w:r>
        <w:t xml:space="preserve">in the execution of a trust of the highest nature, which has been created by the fundamental law of this state.</w:t>
      </w:r>
      <w:r>
        <w:t xml:space="preserve">”</w:t>
      </w:r>
      <w:r>
        <w:rPr>
          <w:rStyle w:val="FootnoteReference"/>
        </w:rPr>
        <w:footnoteReference w:id="578"/>
      </w:r>
      <w:r>
        <w:t xml:space="preserve"> </w:t>
      </w:r>
      <w:r>
        <w:t xml:space="preserve">The Nebraska Supreme Court measured a leasing statute against the constitutionalized trust standards and struck it; Oklahoma, Montana, Idaho, South Dakota, Washington, Alaska, Utah, and New Mexico courts have done the same work in their own settings; and the Supreme Court of the United States affirmed an Arizona judgment invalidating a state mineral-leasing statute for nonconformity with the trust conditions of the granting act.</w:t>
      </w:r>
      <w:r>
        <w:rPr>
          <w:rStyle w:val="FootnoteReference"/>
        </w:rPr>
        <w:footnoteReference w:id="579"/>
      </w:r>
      <w:r>
        <w:t xml:space="preserve"> </w:t>
      </w:r>
      <w:r>
        <w:t xml:space="preserve">None of these decisions treats the subject matter as beyond judicial reach, and the verified corpus contains no decision holding school-trust administration categorically nonjusticiable.</w:t>
      </w:r>
    </w:p>
    <w:p>
      <w:pPr>
        <w:pStyle w:val="BodyText"/>
      </w:pPr>
      <w:r>
        <w:t xml:space="preserve">The doctrinal foundation beneath the practice is the equity tradition itself. Supervision of trustees — compelling accounts, reviewing transactions, voiding self-dealing, enforcing the terms of the instrument — is not an exotic judicial intrusion into administration; it is the historic core of equitable jurisdiction, and the public character of the trustee has never been understood to oust it. The Supreme Court’s public-trust formulation runs in the same channel: there can be no</w:t>
      </w:r>
      <w:r>
        <w:t xml:space="preserve"> </w:t>
      </w:r>
      <w:r>
        <w:t xml:space="preserve">“</w:t>
      </w:r>
      <w:r>
        <w:t xml:space="preserve">irrepealable contract in a conveyance of property by a grantor in disregard of a public trust</w:t>
      </w:r>
      <w:r>
        <w:t xml:space="preserve">”</w:t>
      </w:r>
      <w:r>
        <w:t xml:space="preserve"> </w:t>
      </w:r>
      <w:r>
        <w:t xml:space="preserve">— a government cannot legislate away trust obligations it has assumed.</w:t>
      </w:r>
      <w:r>
        <w:rPr>
          <w:rStyle w:val="FootnoteReference"/>
        </w:rPr>
        <w:footnoteReference w:id="580"/>
      </w:r>
      <w:r>
        <w:t xml:space="preserve"> </w:t>
      </w:r>
      <w:r>
        <w:t xml:space="preserve">A school-trust plaintiff who asks a court to measure the trustee-state’s conduct against the granting instrument, the receiving constitution, and the incorporated rules of trust administration (§ 4.3) is invoking that tradition, not asking the court to make land-management policy.</w:t>
      </w:r>
    </w:p>
    <w:p>
      <w:pPr>
        <w:pStyle w:val="Heading3"/>
      </w:pPr>
      <w:bookmarkStart w:id="581" w:name="the-defenses-stated-at-full-strength"/>
      <w:r>
        <w:t xml:space="preserve">§ 16.3 The defenses stated at full strength</w:t>
      </w:r>
      <w:bookmarkEnd w:id="581"/>
    </w:p>
    <w:p>
      <w:pPr>
        <w:pStyle w:val="FirstParagraph"/>
      </w:pPr>
      <w:r>
        <w:t xml:space="preserve">The political-question and legislative-discretion defenses are not strawmen. They have genuine doctrinal footing, and the practitioner who underestimates them will be surprised at the motion hearing. Oregon supplies the worked example, because its corpus on these defenses is the deepest in the field and because the defenses are being pressed there in live litigation. Three strands deserve full statement.</w:t>
      </w:r>
    </w:p>
    <w:p>
      <w:pPr>
        <w:pStyle w:val="BodyText"/>
      </w:pPr>
      <w:r>
        <w:rPr>
          <w:b/>
        </w:rPr>
        <w:t xml:space="preserve">The political-question strand.</w:t>
      </w:r>
      <w:r>
        <w:t xml:space="preserve"> </w:t>
      </w:r>
      <w:r>
        <w:t xml:space="preserve">In</w:t>
      </w:r>
      <w:r>
        <w:t xml:space="preserve"> </w:t>
      </w:r>
      <w:r>
        <w:rPr>
          <w:i/>
        </w:rPr>
        <w:t xml:space="preserve">Putnam v. Norblad</w:t>
      </w:r>
      <w:r>
        <w:t xml:space="preserve">, the Oregon Supreme Court held that</w:t>
      </w:r>
      <w:r>
        <w:t xml:space="preserve"> </w:t>
      </w:r>
      <w:r>
        <w:t xml:space="preserve">“</w:t>
      </w:r>
      <w:r>
        <w:t xml:space="preserve">political questions are not within the province of the judiciary, except to the extent that power to deal with such questions has been conferred by express constitutional or statutory provision,</w:t>
      </w:r>
      <w:r>
        <w:t xml:space="preserve">”</w:t>
      </w:r>
      <w:r>
        <w:t xml:space="preserve"> </w:t>
      </w:r>
      <w:r>
        <w:t xml:space="preserve">and held that the duty the petitioner sought to compel — a</w:t>
      </w:r>
      <w:r>
        <w:t xml:space="preserve"> </w:t>
      </w:r>
      <w:r>
        <w:t xml:space="preserve">“</w:t>
      </w:r>
      <w:r>
        <w:t xml:space="preserve">matter of judgment and discretion</w:t>
      </w:r>
      <w:r>
        <w:t xml:space="preserve">”</w:t>
      </w:r>
      <w:r>
        <w:t xml:space="preserve"> </w:t>
      </w:r>
      <w:r>
        <w:t xml:space="preserve">for the Governor — was</w:t>
      </w:r>
      <w:r>
        <w:t xml:space="preserve"> </w:t>
      </w:r>
      <w:r>
        <w:t xml:space="preserve">“</w:t>
      </w:r>
      <w:r>
        <w:t xml:space="preserve">at least, analogous to a political question.</w:t>
      </w:r>
      <w:r>
        <w:t xml:space="preserve">”</w:t>
      </w:r>
      <w:r>
        <w:rPr>
          <w:rStyle w:val="FootnoteReference"/>
        </w:rPr>
        <w:footnoteReference w:id="582"/>
      </w:r>
      <w:r>
        <w:t xml:space="preserve"> </w:t>
      </w:r>
      <w:r>
        <w:rPr>
          <w:i/>
        </w:rPr>
        <w:t xml:space="preserve">Putnam</w:t>
      </w:r>
      <w:r>
        <w:t xml:space="preserve"> </w:t>
      </w:r>
      <w:r>
        <w:t xml:space="preserve">was a mandamus proceeding by a private citizen seeking to compel the governor to call an immediate special election; the court denied the writ, holding that the election’s timing rested in executive judgment and discretion. A state defending a trust suit reads</w:t>
      </w:r>
      <w:r>
        <w:t xml:space="preserve"> </w:t>
      </w:r>
      <w:r>
        <w:rPr>
          <w:i/>
        </w:rPr>
        <w:t xml:space="preserve">Putnam</w:t>
      </w:r>
      <w:r>
        <w:t xml:space="preserve"> </w:t>
      </w:r>
      <w:r>
        <w:t xml:space="preserve">for the proposition that discretionary executive decisions — a land board’s budget vote, a leasing-policy choice — are committed to the political branches. Because trustee duties also involve</w:t>
      </w:r>
      <w:r>
        <w:t xml:space="preserve"> </w:t>
      </w:r>
      <w:r>
        <w:t xml:space="preserve">“</w:t>
      </w:r>
      <w:r>
        <w:t xml:space="preserve">judgment and discretion,</w:t>
      </w:r>
      <w:r>
        <w:t xml:space="preserve">”</w:t>
      </w:r>
      <w:r>
        <w:t xml:space="preserve"> </w:t>
      </w:r>
      <w:r>
        <w:t xml:space="preserve">the argument runs, their performance is a political question.</w:t>
      </w:r>
    </w:p>
    <w:p>
      <w:pPr>
        <w:pStyle w:val="BodyText"/>
      </w:pPr>
      <w:r>
        <w:rPr>
          <w:b/>
        </w:rPr>
        <w:t xml:space="preserve">The coordinate-branch strand.</w:t>
      </w:r>
      <w:r>
        <w:t xml:space="preserve"> </w:t>
      </w:r>
      <w:r>
        <w:t xml:space="preserve">Older still is the formulation of</w:t>
      </w:r>
      <w:r>
        <w:t xml:space="preserve"> </w:t>
      </w:r>
      <w:r>
        <w:rPr>
          <w:i/>
        </w:rPr>
        <w:t xml:space="preserve">Corpe v. Brooks</w:t>
      </w:r>
      <w:r>
        <w:t xml:space="preserve"> </w:t>
      </w:r>
      <w:r>
        <w:t xml:space="preserve">(1880), describing Oregon’s State Land Board as a body that</w:t>
      </w:r>
      <w:r>
        <w:t xml:space="preserve"> </w:t>
      </w:r>
      <w:r>
        <w:t xml:space="preserve">“</w:t>
      </w:r>
      <w:r>
        <w:t xml:space="preserve">exercises its powers independent of the judiciary department</w:t>
      </w:r>
      <w:r>
        <w:t xml:space="preserve">”</w:t>
      </w:r>
      <w:r>
        <w:t xml:space="preserve"> </w:t>
      </w:r>
      <w:r>
        <w:t xml:space="preserve">and</w:t>
      </w:r>
      <w:r>
        <w:t xml:space="preserve"> </w:t>
      </w:r>
      <w:r>
        <w:t xml:space="preserve">“</w:t>
      </w:r>
      <w:r>
        <w:t xml:space="preserve">is not in any sense an inferior court or tribunal over which the circuit courts have a supervisory control, but a co-ordinate department of the state government, whose discretion and decisions the courts can not control.</w:t>
      </w:r>
      <w:r>
        <w:t xml:space="preserve">”</w:t>
      </w:r>
      <w:r>
        <w:rPr>
          <w:rStyle w:val="FootnoteReference"/>
        </w:rPr>
        <w:footnoteReference w:id="583"/>
      </w:r>
      <w:r>
        <w:t xml:space="preserve"> </w:t>
      </w:r>
      <w:r>
        <w:t xml:space="preserve">The modern descendants are separation-of-powers cases requiring that any violation be</w:t>
      </w:r>
      <w:r>
        <w:t xml:space="preserve"> </w:t>
      </w:r>
      <w:r>
        <w:t xml:space="preserve">“</w:t>
      </w:r>
      <w:r>
        <w:t xml:space="preserve">clear</w:t>
      </w:r>
      <w:r>
        <w:t xml:space="preserve">”</w:t>
      </w:r>
      <w:r>
        <w:t xml:space="preserve"> </w:t>
      </w:r>
      <w:r>
        <w:t xml:space="preserve">before a court will find one branch to have intruded on another.</w:t>
      </w:r>
      <w:r>
        <w:rPr>
          <w:rStyle w:val="FootnoteReference"/>
        </w:rPr>
        <w:footnoteReference w:id="584"/>
      </w:r>
    </w:p>
    <w:p>
      <w:pPr>
        <w:pStyle w:val="BodyText"/>
      </w:pPr>
      <w:r>
        <w:rPr>
          <w:b/>
        </w:rPr>
        <w:t xml:space="preserve">The legislative-discretion strand.</w:t>
      </w:r>
      <w:r>
        <w:t xml:space="preserve"> </w:t>
      </w:r>
      <w:r>
        <w:t xml:space="preserve">The strongest of the three, because its authorities are modern and squarely in the school-trust domain. The Oregon Supreme Court has held that</w:t>
      </w:r>
      <w:r>
        <w:t xml:space="preserve"> </w:t>
      </w:r>
      <w:r>
        <w:t xml:space="preserve">“</w:t>
      </w:r>
      <w:r>
        <w:t xml:space="preserve">the determination of the proper use of common school funds is a legislative one, subject to the overall requirement that the use have as its goal the greater public benefit,</w:t>
      </w:r>
      <w:r>
        <w:t xml:space="preserve">”</w:t>
      </w:r>
      <w:r>
        <w:t xml:space="preserve"> </w:t>
      </w:r>
      <w:r>
        <w:t xml:space="preserve">and in 2019 it rejected the argument that the Admission Act vests the Land Board with a</w:t>
      </w:r>
      <w:r>
        <w:t xml:space="preserve"> </w:t>
      </w:r>
      <w:r>
        <w:t xml:space="preserve">“</w:t>
      </w:r>
      <w:r>
        <w:t xml:space="preserve">core function</w:t>
      </w:r>
      <w:r>
        <w:t xml:space="preserve">”</w:t>
      </w:r>
      <w:r>
        <w:t xml:space="preserve"> </w:t>
      </w:r>
      <w:r>
        <w:t xml:space="preserve">of net-revenue maximization that would invalidate a statute withdrawing certain lands from sale.</w:t>
      </w:r>
      <w:r>
        <w:rPr>
          <w:rStyle w:val="FootnoteReference"/>
        </w:rPr>
        <w:footnoteReference w:id="585"/>
      </w:r>
      <w:r>
        <w:t xml:space="preserve"> </w:t>
      </w:r>
      <w:r>
        <w:t xml:space="preserve">A defendant can fairly read these cases as committing substantial management design — including choices a beneficiary would call underperformance — to the legislature rather than the courts. Sister-state analogues exist: the Tenth Circuit sustained Colorado’s restructuring of its land board against compact challenge, and Montana’s high court sustained a commingling statute over a vigorous dissent.</w:t>
      </w:r>
      <w:r>
        <w:rPr>
          <w:rStyle w:val="FootnoteReference"/>
        </w:rPr>
        <w:footnoteReference w:id="586"/>
      </w:r>
    </w:p>
    <w:p>
      <w:pPr>
        <w:pStyle w:val="BodyText"/>
      </w:pPr>
      <w:r>
        <w:t xml:space="preserve">In the pending Oregon litigation, the State’s 2026 summary-judgment briefing deploys all three strands —</w:t>
      </w:r>
      <w:r>
        <w:t xml:space="preserve"> </w:t>
      </w:r>
      <w:r>
        <w:rPr>
          <w:i/>
        </w:rPr>
        <w:t xml:space="preserve">Putnam</w:t>
      </w:r>
      <w:r>
        <w:t xml:space="preserve"> </w:t>
      </w:r>
      <w:r>
        <w:t xml:space="preserve">and</w:t>
      </w:r>
      <w:r>
        <w:t xml:space="preserve"> </w:t>
      </w:r>
      <w:r>
        <w:rPr>
          <w:i/>
        </w:rPr>
        <w:t xml:space="preserve">Corpe</w:t>
      </w:r>
      <w:r>
        <w:t xml:space="preserve"> </w:t>
      </w:r>
      <w:r>
        <w:t xml:space="preserve">for nonjusticiability of a land-board budget vote, the modern separation-of-powers standard, and</w:t>
      </w:r>
      <w:r>
        <w:t xml:space="preserve"> </w:t>
      </w:r>
      <w:r>
        <w:rPr>
          <w:i/>
        </w:rPr>
        <w:t xml:space="preserve">Johnson</w:t>
      </w:r>
      <w:r>
        <w:t xml:space="preserve"> </w:t>
      </w:r>
      <w:r>
        <w:t xml:space="preserve">and</w:t>
      </w:r>
      <w:r>
        <w:t xml:space="preserve"> </w:t>
      </w:r>
      <w:r>
        <w:rPr>
          <w:i/>
        </w:rPr>
        <w:t xml:space="preserve">Cascadia</w:t>
      </w:r>
      <w:r>
        <w:t xml:space="preserve"> </w:t>
      </w:r>
      <w:r>
        <w:t xml:space="preserve">for legislative commitment of fund-use determinations. The plaintiffs respond that review of fiduciary compliance is precisely the kind of legal question courts decide. Both positions are attributed as positions; the questions are unadjudicated as this volume is written. [COUNSEL REVIEW — this paragraph characterizes the parties’ positions in 24CV38372 from public filings.]</w:t>
      </w:r>
      <w:r>
        <w:rPr>
          <w:rStyle w:val="FootnoteReference"/>
        </w:rPr>
        <w:footnoteReference w:id="587"/>
      </w:r>
    </w:p>
    <w:p>
      <w:pPr>
        <w:pStyle w:val="Heading3"/>
      </w:pPr>
      <w:bookmarkStart w:id="588" w:name="Xa5b2198c84327f692cd62b4521e81cdb63bbe51"/>
      <w:r>
        <w:t xml:space="preserve">§ 16.4 The answer: compliance review is not policy choice</w:t>
      </w:r>
      <w:bookmarkEnd w:id="588"/>
    </w:p>
    <w:p>
      <w:pPr>
        <w:pStyle w:val="FirstParagraph"/>
      </w:pPr>
      <w:r>
        <w:t xml:space="preserve">Four observations, each grounded in decided cases, mark the limits of the threshold defenses.</w:t>
      </w:r>
    </w:p>
    <w:p>
      <w:pPr>
        <w:pStyle w:val="BodyText"/>
      </w:pPr>
      <w:r>
        <w:rPr>
          <w:b/>
        </w:rPr>
        <w:t xml:space="preserve">(a) The old cases contain their own limits.</w:t>
      </w:r>
      <w:r>
        <w:t xml:space="preserve"> </w:t>
      </w:r>
      <w:r>
        <w:rPr>
          <w:i/>
        </w:rPr>
        <w:t xml:space="preserve">Putnam</w:t>
      </w:r>
      <w:r>
        <w:t xml:space="preserve">’s rule is expressly conditional: political questions are beyond the judiciary</w:t>
      </w:r>
      <w:r>
        <w:t xml:space="preserve"> </w:t>
      </w:r>
      <w:r>
        <w:t xml:space="preserve">“</w:t>
      </w:r>
      <w:r>
        <w:t xml:space="preserve">except to the extent that power to deal with such questions has been conferred by express constitutional or statutory provision</w:t>
      </w:r>
      <w:r>
        <w:t xml:space="preserve">”</w:t>
      </w:r>
      <w:r>
        <w:t xml:space="preserve"> </w:t>
      </w:r>
      <w:r>
        <w:t xml:space="preserve">— and the school-trust plaintiff’s claim is, by construction, that the constitution and the granting act confer exactly that law to apply. The 1930 court also preserved the ministerial exception:</w:t>
      </w:r>
      <w:r>
        <w:t xml:space="preserve"> </w:t>
      </w:r>
      <w:r>
        <w:t xml:space="preserve">“</w:t>
      </w:r>
      <w:r>
        <w:t xml:space="preserve">where the duty to be performed is purely ministerial and not political and not otherwise objectional, the courts, in a proper case, may exercise their authority.</w:t>
      </w:r>
      <w:r>
        <w:t xml:space="preserve">”</w:t>
      </w:r>
      <w:r>
        <w:rPr>
          <w:rStyle w:val="FootnoteReference"/>
        </w:rPr>
        <w:footnoteReference w:id="589"/>
      </w:r>
      <w:r>
        <w:t xml:space="preserve"> </w:t>
      </w:r>
      <w:r>
        <w:t xml:space="preserve">And</w:t>
      </w:r>
      <w:r>
        <w:t xml:space="preserve"> </w:t>
      </w:r>
      <w:r>
        <w:rPr>
          <w:i/>
        </w:rPr>
        <w:t xml:space="preserve">Putnam</w:t>
      </w:r>
      <w:r>
        <w:t xml:space="preserve"> </w:t>
      </w:r>
      <w:r>
        <w:t xml:space="preserve">was a mandamus case about compelling a discretionary act in advance; a declaratory or equitable proceeding asking whether completed trustee conduct complied with legal standards presents a different judicial task.</w:t>
      </w:r>
      <w:r>
        <w:t xml:space="preserve"> </w:t>
      </w:r>
      <w:r>
        <w:rPr>
          <w:i/>
        </w:rPr>
        <w:t xml:space="preserve">Corpe v. Brooks</w:t>
      </w:r>
      <w:r>
        <w:t xml:space="preserve">, for its part, was decided in 1880 — before the modern framework of judicial review of administrative action — and its</w:t>
      </w:r>
      <w:r>
        <w:t xml:space="preserve"> </w:t>
      </w:r>
      <w:r>
        <w:t xml:space="preserve">“</w:t>
      </w:r>
      <w:r>
        <w:t xml:space="preserve">courts cannot control</w:t>
      </w:r>
      <w:r>
        <w:t xml:space="preserve">”</w:t>
      </w:r>
      <w:r>
        <w:t xml:space="preserve"> </w:t>
      </w:r>
      <w:r>
        <w:t xml:space="preserve">formulation does not describe current law in any state whose courts have since reviewed land-board action on the merits, as Oregon’s own Supreme Court has repeatedly done.</w:t>
      </w:r>
      <w:r>
        <w:rPr>
          <w:rStyle w:val="FootnoteReference"/>
        </w:rPr>
        <w:footnoteReference w:id="590"/>
      </w:r>
    </w:p>
    <w:p>
      <w:pPr>
        <w:pStyle w:val="BodyText"/>
      </w:pPr>
      <w:r>
        <w:rPr>
          <w:b/>
        </w:rPr>
        <w:t xml:space="preserve">(b) Modern doctrine eliminates constitutionalized justiciability floors.</w:t>
      </w:r>
      <w:r>
        <w:t xml:space="preserve"> </w:t>
      </w:r>
      <w:r>
        <w:t xml:space="preserve">The leading modern Oregon case on constitutional justiciability,</w:t>
      </w:r>
      <w:r>
        <w:t xml:space="preserve"> </w:t>
      </w:r>
      <w:r>
        <w:rPr>
          <w:i/>
        </w:rPr>
        <w:t xml:space="preserve">Couey v. Atkins</w:t>
      </w:r>
      <w:r>
        <w:t xml:space="preserve">, held that Oregon’s</w:t>
      </w:r>
      <w:r>
        <w:t xml:space="preserve"> </w:t>
      </w:r>
      <w:r>
        <w:t xml:space="preserve">“</w:t>
      </w:r>
      <w:r>
        <w:t xml:space="preserve">judicial power</w:t>
      </w:r>
      <w:r>
        <w:t xml:space="preserve">”</w:t>
      </w:r>
      <w:r>
        <w:t xml:space="preserve"> </w:t>
      </w:r>
      <w:r>
        <w:t xml:space="preserve">clause — Article VII (Amended), section 1 — imposes no case-or-controversy, mootness, or kindred justiciability limitations of the federal Article III variety, expressly disavowing</w:t>
      </w:r>
      <w:r>
        <w:t xml:space="preserve"> </w:t>
      </w:r>
      <w:r>
        <w:rPr>
          <w:i/>
        </w:rPr>
        <w:t xml:space="preserve">Yancy v. Shatzer</w:t>
      </w:r>
      <w:r>
        <w:t xml:space="preserve">, 337 Or 345 (2004); the practitioner opposing a</w:t>
      </w:r>
      <w:r>
        <w:t xml:space="preserve"> </w:t>
      </w:r>
      <w:r>
        <w:rPr>
          <w:i/>
        </w:rPr>
        <w:t xml:space="preserve">Putnam</w:t>
      </w:r>
      <w:r>
        <w:t xml:space="preserve">-based motion should brief that holding rather than accept the 1930 formulation as current.</w:t>
      </w:r>
      <w:r>
        <w:rPr>
          <w:rStyle w:val="FootnoteReference"/>
        </w:rPr>
        <w:footnoteReference w:id="591"/>
      </w:r>
    </w:p>
    <w:p>
      <w:pPr>
        <w:pStyle w:val="BodyText"/>
      </w:pPr>
      <w:r>
        <w:rPr>
          <w:b/>
        </w:rPr>
        <w:t xml:space="preserve">(c) What trust litigation asks is the</w:t>
      </w:r>
      <w:r>
        <w:rPr>
          <w:b/>
        </w:rPr>
        <w:t xml:space="preserve"> </w:t>
      </w:r>
      <w:r>
        <w:rPr>
          <w:i/>
          <w:b/>
        </w:rPr>
        <w:t xml:space="preserve">Marbury</w:t>
      </w:r>
      <w:r>
        <w:rPr>
          <w:b/>
        </w:rPr>
        <w:t xml:space="preserve"> </w:t>
      </w:r>
      <w:r>
        <w:rPr>
          <w:b/>
        </w:rPr>
        <w:t xml:space="preserve">question.</w:t>
      </w:r>
      <w:r>
        <w:t xml:space="preserve"> </w:t>
      </w:r>
      <w:r>
        <w:t xml:space="preserve">The question put in a trust suit is not</w:t>
      </w:r>
      <w:r>
        <w:t xml:space="preserve"> </w:t>
      </w:r>
      <w:r>
        <w:t xml:space="preserve">“</w:t>
      </w:r>
      <w:r>
        <w:t xml:space="preserve">was this wise policy?</w:t>
      </w:r>
      <w:r>
        <w:t xml:space="preserve">”</w:t>
      </w:r>
      <w:r>
        <w:t xml:space="preserve"> </w:t>
      </w:r>
      <w:r>
        <w:t xml:space="preserve">but</w:t>
      </w:r>
      <w:r>
        <w:t xml:space="preserve"> </w:t>
      </w:r>
      <w:r>
        <w:t xml:space="preserve">“</w:t>
      </w:r>
      <w:r>
        <w:t xml:space="preserve">did the trustee comply with the legal standards that bind it?</w:t>
      </w:r>
      <w:r>
        <w:t xml:space="preserve">”</w:t>
      </w:r>
      <w:r>
        <w:t xml:space="preserve"> </w:t>
      </w:r>
      <w:r>
        <w:t xml:space="preserve">— the granting act’s conditions, the constitution’s inviolability and management clauses, the incorporated rules of trust administration. That is compliance review against named legal standards, and it is</w:t>
      </w:r>
      <w:r>
        <w:t xml:space="preserve"> </w:t>
      </w:r>
      <w:r>
        <w:t xml:space="preserve">“</w:t>
      </w:r>
      <w:r>
        <w:t xml:space="preserve">emphatically the province and duty of the judicial department to say what the law is.</w:t>
      </w:r>
      <w:r>
        <w:t xml:space="preserve">”</w:t>
      </w:r>
      <w:r>
        <w:rPr>
          <w:rStyle w:val="FootnoteReference"/>
        </w:rPr>
        <w:footnoteReference w:id="592"/>
      </w:r>
      <w:r>
        <w:t xml:space="preserve"> </w:t>
      </w:r>
      <w:r>
        <w:t xml:space="preserve">The merits decisions confirm that courts treat it so: Montana’s high court held that the presumption of constitutionality does not save statutes that breach the trust framework; Nebraska and Oklahoma struck legislative acts measured against the constitutionalized trust standards.</w:t>
      </w:r>
      <w:r>
        <w:rPr>
          <w:rStyle w:val="FootnoteReference"/>
        </w:rPr>
        <w:footnoteReference w:id="593"/>
      </w:r>
    </w:p>
    <w:p>
      <w:pPr>
        <w:pStyle w:val="BodyText"/>
      </w:pPr>
      <w:r>
        <w:rPr>
          <w:b/>
        </w:rPr>
        <w:t xml:space="preserve">(d) The legislative-discretion holdings are merits boundaries, not jurisdictional bars.</w:t>
      </w:r>
      <w:r>
        <w:t xml:space="preserve"> </w:t>
      </w:r>
      <w:r>
        <w:t xml:space="preserve">This is the synthesis point practitioners on both sides most often miss.</w:t>
      </w:r>
      <w:r>
        <w:t xml:space="preserve"> </w:t>
      </w:r>
      <w:r>
        <w:rPr>
          <w:i/>
        </w:rPr>
        <w:t xml:space="preserve">Johnson</w:t>
      </w:r>
      <w:r>
        <w:t xml:space="preserve"> </w:t>
      </w:r>
      <w:r>
        <w:t xml:space="preserve">and</w:t>
      </w:r>
      <w:r>
        <w:t xml:space="preserve"> </w:t>
      </w:r>
      <w:r>
        <w:rPr>
          <w:i/>
        </w:rPr>
        <w:t xml:space="preserve">Cascadia</w:t>
      </w:r>
      <w:r>
        <w:t xml:space="preserve"> </w:t>
      </w:r>
      <w:r>
        <w:t xml:space="preserve">decided the questions presented;</w:t>
      </w:r>
      <w:r>
        <w:t xml:space="preserve"> </w:t>
      </w:r>
      <w:r>
        <w:rPr>
          <w:i/>
        </w:rPr>
        <w:t xml:space="preserve">Darkenwald</w:t>
      </w:r>
      <w:r>
        <w:t xml:space="preserve"> </w:t>
      </w:r>
      <w:r>
        <w:t xml:space="preserve">sustained Montana’s commingling statute on the merits;</w:t>
      </w:r>
      <w:r>
        <w:t xml:space="preserve"> </w:t>
      </w:r>
      <w:r>
        <w:rPr>
          <w:i/>
        </w:rPr>
        <w:t xml:space="preserve">Branson</w:t>
      </w:r>
      <w:r>
        <w:t xml:space="preserve"> </w:t>
      </w:r>
      <w:r>
        <w:t xml:space="preserve">sustained Colorado’s reform on the merits. A court that says</w:t>
      </w:r>
      <w:r>
        <w:t xml:space="preserve"> </w:t>
      </w:r>
      <w:r>
        <w:t xml:space="preserve">“</w:t>
      </w:r>
      <w:r>
        <w:t xml:space="preserve">the duty does not extend this far</w:t>
      </w:r>
      <w:r>
        <w:t xml:space="preserve">”</w:t>
      </w:r>
      <w:r>
        <w:t xml:space="preserve"> </w:t>
      </w:r>
      <w:r>
        <w:t xml:space="preserve">has exercised jurisdiction, not declined it. The defense’s strongest modern cases therefore prove justiciability even as they mark the duty’s substantive limits — which are treated in Chapter 4, § 4.7, and Part III. The honest statement of the law is that the live argument in this field is about the</w:t>
      </w:r>
      <w:r>
        <w:t xml:space="preserve"> </w:t>
      </w:r>
      <w:r>
        <w:rPr>
          <w:i/>
        </w:rPr>
        <w:t xml:space="preserve">scope of the duty</w:t>
      </w:r>
      <w:r>
        <w:t xml:space="preserve">, fought on the merits, not about the courthouse door.</w:t>
      </w:r>
    </w:p>
    <w:p>
      <w:pPr>
        <w:pStyle w:val="Heading3"/>
      </w:pPr>
      <w:bookmarkStart w:id="594" w:name="Xaa5315b91f2b30e36317e8a119ca7b4f1ea0297"/>
      <w:r>
        <w:t xml:space="preserve">§ 16.5 Declaratory relief on constitutional school-funding compliance</w:t>
      </w:r>
      <w:bookmarkEnd w:id="594"/>
    </w:p>
    <w:p>
      <w:pPr>
        <w:pStyle w:val="FirstParagraph"/>
      </w:pPr>
      <w:r>
        <w:t xml:space="preserve">The clearest modern authority that constitutional school-obligation compliance is justiciable comes from outside the land-trust line proper, in Oregon’s school-funding jurisprudence — and it bears directly on trust claims because the defenses it rejected are the same ones examined above.</w:t>
      </w:r>
    </w:p>
    <w:p>
      <w:pPr>
        <w:pStyle w:val="BodyText"/>
      </w:pPr>
      <w:r>
        <w:t xml:space="preserve">In</w:t>
      </w:r>
      <w:r>
        <w:t xml:space="preserve"> </w:t>
      </w:r>
      <w:r>
        <w:rPr>
          <w:i/>
        </w:rPr>
        <w:t xml:space="preserve">Pendleton School District 16R v. State</w:t>
      </w:r>
      <w:r>
        <w:t xml:space="preserve">, eighteen Oregon school districts sought a declaration that the legislature had failed to fund the public school system at the level Article VIII, section 8 of the Oregon Constitution requires. The state argued that the legislature’s funding choices were beyond judicial review. The Oregon Supreme Court disagreed, invoking</w:t>
      </w:r>
      <w:r>
        <w:t xml:space="preserve"> </w:t>
      </w:r>
      <w:r>
        <w:rPr>
          <w:i/>
        </w:rPr>
        <w:t xml:space="preserve">Marbury</w:t>
      </w:r>
      <w:r>
        <w:t xml:space="preserve">, and held:</w:t>
      </w:r>
    </w:p>
    <w:p>
      <w:pPr>
        <w:pStyle w:val="BlockText"/>
      </w:pPr>
      <w:r>
        <w:t xml:space="preserve">“</w:t>
      </w:r>
      <w:r>
        <w:t xml:space="preserve">We conclude that the courts may grant a declaratory judgment that the legislature failed to fully fund the public school system, if that is the case. … Because the state admits that the legislature failed to fund the public school system for the 2005-07 biennium at the levels required by Article VIII, section 8, we can determine and declare that the legislature failed to act in accordance with the constitutional mandate.</w:t>
      </w:r>
      <w:r>
        <w:t xml:space="preserve">”</w:t>
      </w:r>
      <w:r>
        <w:rPr>
          <w:rStyle w:val="FootnoteReference"/>
        </w:rPr>
        <w:footnoteReference w:id="595"/>
      </w:r>
    </w:p>
    <w:p>
      <w:pPr>
        <w:pStyle w:val="FirstParagraph"/>
      </w:pPr>
      <w:r>
        <w:rPr>
          <w:i/>
        </w:rPr>
        <w:t xml:space="preserve">Pendleton</w:t>
      </w:r>
      <w:r>
        <w:t xml:space="preserve"> </w:t>
      </w:r>
      <w:r>
        <w:t xml:space="preserve">establishes three propositions of direct use in trust litigation. First, a court may declare a coordinate branch’s noncompliance with a constitutional education obligation even where it cannot or will not command an appropriation — the declaratory remedy is severable from coercive relief. Second, the separation-of-powers objection goes to the</w:t>
      </w:r>
      <w:r>
        <w:t xml:space="preserve"> </w:t>
      </w:r>
      <w:r>
        <w:rPr>
          <w:i/>
        </w:rPr>
        <w:t xml:space="preserve">remedy</w:t>
      </w:r>
      <w:r>
        <w:t xml:space="preserve">, not to the court’s power to say what the constitution requires and whether the state has done it. Third, general declaratory-judgment doctrine obliges the court, once a justiciable controversy is presented, to enter appropriate declarations fixing the parties’ rights — whether or not the specific relief requested is granted.</w:t>
      </w:r>
      <w:r>
        <w:rPr>
          <w:rStyle w:val="FootnoteReference"/>
        </w:rPr>
        <w:footnoteReference w:id="596"/>
      </w:r>
    </w:p>
    <w:p>
      <w:pPr>
        <w:pStyle w:val="BodyText"/>
      </w:pPr>
      <w:r>
        <w:t xml:space="preserve">The cautionary contrast is North Carolina, where a constitutional duty respecting school funds was held non-self-executing — text without an enforcement engine.</w:t>
      </w:r>
      <w:r>
        <w:rPr>
          <w:rStyle w:val="FootnoteReference"/>
        </w:rPr>
        <w:footnoteReference w:id="597"/>
      </w:r>
      <w:r>
        <w:t xml:space="preserve"> </w:t>
      </w:r>
      <w:r>
        <w:t xml:space="preserve">The pairing teaches the drafting and pleading lesson that runs through Part VIII: justiciability is most secure where the plaintiff can point to specific, judicially manageable standards — appraisal floors, auction requirements, inviolability clauses, enumerated purposes — and ask the court to measure conduct against them, rather than to superintend educational policy at large.</w:t>
      </w:r>
    </w:p>
    <w:p>
      <w:pPr>
        <w:pStyle w:val="BodyText"/>
      </w:pPr>
      <w:r>
        <w:t xml:space="preserve">In the pending Oregon trust litigation, the lead plaintiff school district was also among the</w:t>
      </w:r>
      <w:r>
        <w:t xml:space="preserve"> </w:t>
      </w:r>
      <w:r>
        <w:rPr>
          <w:i/>
        </w:rPr>
        <w:t xml:space="preserve">Pendleton</w:t>
      </w:r>
      <w:r>
        <w:t xml:space="preserve"> </w:t>
      </w:r>
      <w:r>
        <w:t xml:space="preserve">plaintiffs, and the parties dispute whether</w:t>
      </w:r>
      <w:r>
        <w:t xml:space="preserve"> </w:t>
      </w:r>
      <w:r>
        <w:rPr>
          <w:i/>
        </w:rPr>
        <w:t xml:space="preserve">Pendleton</w:t>
      </w:r>
      <w:r>
        <w:t xml:space="preserve">’s declaratory framework reaches Common School Fund management claims; the question is unadjudicated as this volume is written. [COUNSEL REVIEW — characterization of the live dispute in 24CV38372 from public filings.]</w:t>
      </w:r>
      <w:r>
        <w:rPr>
          <w:rStyle w:val="FootnoteReference"/>
        </w:rPr>
        <w:footnoteReference w:id="598"/>
      </w:r>
    </w:p>
    <w:p>
      <w:pPr>
        <w:pStyle w:val="Heading3"/>
      </w:pPr>
      <w:bookmarkStart w:id="599" w:name="synthesis-11"/>
      <w:r>
        <w:t xml:space="preserve">§ 16.6 Synthesis</w:t>
      </w:r>
      <w:bookmarkEnd w:id="599"/>
    </w:p>
    <w:p>
      <w:pPr>
        <w:pStyle w:val="FirstParagraph"/>
      </w:pPr>
      <w:r>
        <w:t xml:space="preserve">The black-letter propositions a practitioner may state with confidence:</w:t>
      </w:r>
    </w:p>
    <w:p>
      <w:pPr>
        <w:numPr>
          <w:ilvl w:val="0"/>
          <w:numId w:val="1015"/>
        </w:numPr>
      </w:pPr>
      <w:r>
        <w:rPr>
          <w:b/>
        </w:rPr>
        <w:t xml:space="preserve">No court in the verified corpus has held school-trust administration categorically nonjusticiable.</w:t>
      </w:r>
      <w:r>
        <w:t xml:space="preserve"> </w:t>
      </w:r>
      <w:r>
        <w:t xml:space="preserve">The political-question authorities relied on for that position are pre-modern, arose in mandamus or election contexts, and contain their own conferred-power and ministerial-duty limits.</w:t>
      </w:r>
      <w:r>
        <w:rPr>
          <w:rStyle w:val="FootnoteReference"/>
        </w:rPr>
        <w:footnoteReference w:id="600"/>
      </w:r>
    </w:p>
    <w:p>
      <w:pPr>
        <w:numPr>
          <w:ilvl w:val="0"/>
          <w:numId w:val="1015"/>
        </w:numPr>
      </w:pPr>
      <w:r>
        <w:rPr>
          <w:b/>
        </w:rPr>
        <w:t xml:space="preserve">The merits jurisprudence is itself the justiciability precedent.</w:t>
      </w:r>
      <w:r>
        <w:t xml:space="preserve"> </w:t>
      </w:r>
      <w:r>
        <w:t xml:space="preserve">A century of decisions adjudicating trustee conduct — including the decisions the states win — establishes that courts treat compliance with trust standards as a legal question.</w:t>
      </w:r>
      <w:r>
        <w:rPr>
          <w:rStyle w:val="FootnoteReference"/>
        </w:rPr>
        <w:footnoteReference w:id="601"/>
      </w:r>
    </w:p>
    <w:p>
      <w:pPr>
        <w:numPr>
          <w:ilvl w:val="0"/>
          <w:numId w:val="1015"/>
        </w:numPr>
      </w:pPr>
      <w:r>
        <w:rPr>
          <w:b/>
        </w:rPr>
        <w:t xml:space="preserve">The legislative-discretion cases mark the duty’s substantive boundary, fought on the merits; they are not abstention holdings.</w:t>
      </w:r>
    </w:p>
    <w:p>
      <w:pPr>
        <w:numPr>
          <w:ilvl w:val="0"/>
          <w:numId w:val="1015"/>
        </w:numPr>
      </w:pPr>
      <w:r>
        <w:rPr>
          <w:b/>
        </w:rPr>
        <w:t xml:space="preserve">Declaratory relief on constitutional school-obligation compliance is established</w:t>
      </w:r>
      <w:r>
        <w:t xml:space="preserve"> </w:t>
      </w:r>
      <w:r>
        <w:t xml:space="preserve">in the jurisdiction with the field’s deepest justiciability corpus, and the declaratory form — measuring conduct against named legal standards, severable from coercive relief — is the claim shape most resistant to threshold attack.</w:t>
      </w:r>
    </w:p>
    <w:p>
      <w:pPr>
        <w:pStyle w:val="FirstParagraph"/>
      </w:pPr>
      <w:r>
        <w:t xml:space="preserve">The defendant’s remaining threshold weapons — sovereign immunity, claims-statute machinery, and the recharacterization of trust claims as torts — are the subject of the next chapter.</w:t>
      </w:r>
    </w:p>
    <w:p>
      <w:r>
        <w:pict>
          <v:rect style="width:0;height:1.5pt" o:hralign="center" o:hrstd="t" o:hr="t"/>
        </w:pict>
      </w:r>
    </w:p>
    <w:p>
      <w:pPr>
        <w:pStyle w:val="FirstParagraph"/>
      </w:pPr>
      <w:r>
        <w:rPr>
          <w:i/>
        </w:rPr>
        <w:t xml:space="preserve">End of Chapter 16 v1 (formerly Chapter 15). L0 verification pass run 2026-06-07: quotations in Eagle Point, Illinois Central, Marbury, Putnam, Johnson, Cascadia, Pendleton, Nigh, and North Carolina School Boards verified against L0 captures; the unsupported Putnam</w:t>
      </w:r>
      <w:r>
        <w:rPr>
          <w:i/>
        </w:rPr>
        <w:t xml:space="preserve"> </w:t>
      </w:r>
      <w:r>
        <w:rPr>
          <w:i/>
        </w:rPr>
        <w:t xml:space="preserve">“</w:t>
      </w:r>
      <w:r>
        <w:rPr>
          <w:i/>
        </w:rPr>
        <w:t xml:space="preserve">pertain[ing] to duties</w:t>
      </w:r>
      <w:r>
        <w:rPr>
          <w:i/>
        </w:rPr>
        <w:t xml:space="preserve">”</w:t>
      </w:r>
      <w:r>
        <w:rPr>
          <w:i/>
        </w:rPr>
        <w:t xml:space="preserve"> </w:t>
      </w:r>
      <w:r>
        <w:rPr>
          <w:i/>
        </w:rPr>
        <w:t xml:space="preserve">quotation replaced with verified language. Remaining verification queue: Putnam bound-volume parallel cite (Oregon-reporter pins SET from full opinions 2026-06-10 — Putnam 440-41 and 441, Johnson via Cascadia 764, Cascadia 765-66, Pendleton 610; ASARCO pin 626 verified; Couey recharacterized as mootness/judicial-power, not political-question); L0 captures for Corpe v. Brooks, Courtney, Rooney v. Kulongoski, Central Oregon Irrigation, and Bishop; Pendleton co-plaintiff caption check; Couey accord cases (wave 2); status of 24CV38372 at publication.</w:t>
      </w:r>
    </w:p>
    <w:p>
      <w:r>
        <w:br w:type="page"/>
      </w:r>
    </w:p>
    <w:p>
      <w:pPr>
        <w:pStyle w:val="Heading1"/>
      </w:pPr>
      <w:bookmarkStart w:id="602" w:name="X4dc8a7fa622c85fdfba3762704f00b29e828ddd"/>
      <w:r>
        <w:t xml:space="preserve">Chapter 17 — Sovereign Immunity and the Tort-Recharacterization Problem (v1)</w:t>
      </w:r>
      <w:bookmarkEnd w:id="602"/>
    </w:p>
    <w:p>
      <w:pPr>
        <w:pStyle w:val="FirstParagraph"/>
      </w:pPr>
      <w:r>
        <w:rPr>
          <w:i/>
        </w:rPr>
        <w:t xml:space="preserve">Status: v1 — renumbered (formerly Chapter 16) and converted to named citation keys under</w:t>
      </w:r>
      <w:r>
        <w:rPr>
          <w:i/>
        </w:rPr>
        <w:t xml:space="preserve"> </w:t>
      </w:r>
      <w:r>
        <w:rPr>
          <w:rStyle w:val="VerbatimChar"/>
          <w:i/>
        </w:rPr>
        <w:t xml:space="preserve">_tools/CITATION_STANDARD.md</w:t>
      </w:r>
      <w:r>
        <w:rPr>
          <w:i/>
        </w:rPr>
        <w:t xml:space="preserve"> </w:t>
      </w:r>
      <w:r>
        <w:rPr>
          <w:i/>
        </w:rPr>
        <w:t xml:space="preserve">in the 2026-06-07 citation pass; the five private-party accounting cases now carry citations verified against full-text pulls (2026-06-07) rather than the opposing party’s briefing alone. [VERIFY] flags mark items awaiting primary-source confirmation under quality gate G3. Passages touching the pending Oregon litigation (24CV38372) are drawn from the public record only and carry [COUNSEL REVIEW] flags. The Oregon corpus dominates this chapter because the recharacterization problem has been litigated there most fully; parallel claims-statute doctrine in the other trust states is an open collection task.</w:t>
      </w:r>
    </w:p>
    <w:p>
      <w:r>
        <w:pict>
          <v:rect style="width:0;height:1.5pt" o:hralign="center" o:hrstd="t" o:hr="t"/>
        </w:pict>
      </w:r>
    </w:p>
    <w:p>
      <w:pPr>
        <w:pStyle w:val="Heading3"/>
      </w:pPr>
      <w:bookmarkStart w:id="603" w:name="the-mismatch-stated"/>
      <w:r>
        <w:t xml:space="preserve">§ 17.1 The mismatch stated</w:t>
      </w:r>
      <w:bookmarkEnd w:id="603"/>
    </w:p>
    <w:p>
      <w:pPr>
        <w:pStyle w:val="FirstParagraph"/>
      </w:pPr>
      <w:r>
        <w:t xml:space="preserve">Sovereign immunity and its statutory waivers were built for a familiar transaction: the state’s truck hits the citizen’s car, and the citizen wants money. Tort claims acts answer that transaction with a regulated waiver — short pre-suit notice periods, damage caps, substitution of the public body for individual defendants, and immunity for</w:t>
      </w:r>
      <w:r>
        <w:t xml:space="preserve"> </w:t>
      </w:r>
      <w:r>
        <w:t xml:space="preserve">“</w:t>
      </w:r>
      <w:r>
        <w:t xml:space="preserve">discretionary</w:t>
      </w:r>
      <w:r>
        <w:t xml:space="preserve">”</w:t>
      </w:r>
      <w:r>
        <w:t xml:space="preserve"> </w:t>
      </w:r>
      <w:r>
        <w:t xml:space="preserve">functions. Trust claims are a different animal. The beneficiary of a school trust does not ordinarily allege a negligent injury and seek damages for herself; she alleges that a fiduciary obligation fixed by a federal compact and a state constitution has been breached, and she seeks equitable relief — declarations, accountings, injunctions, the unwinding of transactions, restoration to the corpus.</w:t>
      </w:r>
    </w:p>
    <w:p>
      <w:pPr>
        <w:pStyle w:val="BodyText"/>
      </w:pPr>
      <w:r>
        <w:t xml:space="preserve">The recharacterization problem arises when the defendant state passes the trust claim through the tort-claims template anyway:</w:t>
      </w:r>
      <w:r>
        <w:t xml:space="preserve"> </w:t>
      </w:r>
      <w:r>
        <w:rPr>
          <w:i/>
        </w:rPr>
        <w:t xml:space="preserve">your breach-of-fiduciary-duty claim is a</w:t>
      </w:r>
      <w:r>
        <w:rPr>
          <w:i/>
        </w:rPr>
        <w:t xml:space="preserve"> </w:t>
      </w:r>
      <w:r>
        <w:rPr>
          <w:i/>
        </w:rPr>
        <w:t xml:space="preserve">“</w:t>
      </w:r>
      <w:r>
        <w:rPr>
          <w:i/>
        </w:rPr>
        <w:t xml:space="preserve">tort</w:t>
      </w:r>
      <w:r>
        <w:rPr>
          <w:i/>
        </w:rPr>
        <w:t xml:space="preserve">”</w:t>
      </w:r>
      <w:r>
        <w:rPr>
          <w:i/>
        </w:rPr>
        <w:t xml:space="preserve">; you missed the notice deadline; the individual trustees must be dismissed by substitution; the decision was discretionary and therefore immune; and your accounting request fails because you have not pleaded damages.</w:t>
      </w:r>
      <w:r>
        <w:t xml:space="preserve"> </w:t>
      </w:r>
      <w:r>
        <w:t xml:space="preserve">If the recharacterization holds, the immunity machinery can dispose of a trust suit without any court ever reaching the trust. This chapter states the machinery, the recharacterization at full strength, and the doctrine that answers it.</w:t>
      </w:r>
    </w:p>
    <w:p>
      <w:pPr>
        <w:pStyle w:val="Heading3"/>
      </w:pPr>
      <w:bookmarkStart w:id="604" w:name="the-machinery-using-oregon-as-the-model"/>
      <w:r>
        <w:t xml:space="preserve">§ 17.2 The machinery, using Oregon as the model</w:t>
      </w:r>
      <w:bookmarkEnd w:id="604"/>
    </w:p>
    <w:p>
      <w:pPr>
        <w:pStyle w:val="FirstParagraph"/>
      </w:pPr>
      <w:r>
        <w:t xml:space="preserve">Oregon’s Tort Claims Act (OTCA) supplies the worked example. The act defines</w:t>
      </w:r>
      <w:r>
        <w:t xml:space="preserve"> </w:t>
      </w:r>
      <w:r>
        <w:t xml:space="preserve">“</w:t>
      </w:r>
      <w:r>
        <w:t xml:space="preserve">tort</w:t>
      </w:r>
      <w:r>
        <w:t xml:space="preserve">”</w:t>
      </w:r>
      <w:r>
        <w:t xml:space="preserve"> </w:t>
      </w:r>
      <w:r>
        <w:t xml:space="preserve">to include the breach of a legal duty</w:t>
      </w:r>
      <w:r>
        <w:t xml:space="preserve"> </w:t>
      </w:r>
      <w:r>
        <w:t xml:space="preserve">“</w:t>
      </w:r>
      <w:r>
        <w:t xml:space="preserve">imposed by law</w:t>
      </w:r>
      <w:r>
        <w:t xml:space="preserve">”</w:t>
      </w:r>
      <w:r>
        <w:t xml:space="preserve"> </w:t>
      </w:r>
      <w:r>
        <w:t xml:space="preserve">for which the remedy is a civil action for damages; it conditions suit on pre-filing notice (180 days in the ordinary case); it substitutes the public body for individually named officers where the alleged damages fall within statutory caps; and it immunizes discretionary policy choices.</w:t>
      </w:r>
      <w:r>
        <w:rPr>
          <w:rStyle w:val="FootnoteReference"/>
        </w:rPr>
        <w:footnoteReference w:id="605"/>
      </w:r>
      <w:r>
        <w:t xml:space="preserve"> </w:t>
      </w:r>
      <w:r>
        <w:t xml:space="preserve">The general sovereign-immunity frame is conventional: the state is suable only as it has consented, and the scope of any waiver is a question of legislative intent.</w:t>
      </w:r>
      <w:r>
        <w:rPr>
          <w:rStyle w:val="FootnoteReference"/>
        </w:rPr>
        <w:footnoteReference w:id="606"/>
      </w:r>
      <w:r>
        <w:t xml:space="preserve"> </w:t>
      </w:r>
      <w:r>
        <w:t xml:space="preserve">The discretionary-immunity case law is a long line of operational-negligence decisions — road maintenance, signage, inspections, release-date calculations — in which courts have sorted policy choices (immune) from ministerial implementation (not).</w:t>
      </w:r>
      <w:r>
        <w:rPr>
          <w:rStyle w:val="FootnoteReference"/>
        </w:rPr>
        <w:footnoteReference w:id="607"/>
      </w:r>
      <w:r>
        <w:t xml:space="preserve"> </w:t>
      </w:r>
      <w:r>
        <w:t xml:space="preserve">A companion appropriations doctrine completes the defensive architecture: money cannot be drawn from the state treasury except pursuant to legislative appropriation, so remedies that would command payment meet a separate structural objection.</w:t>
      </w:r>
      <w:r>
        <w:rPr>
          <w:rStyle w:val="FootnoteReference"/>
        </w:rPr>
        <w:footnoteReference w:id="608"/>
      </w:r>
    </w:p>
    <w:p>
      <w:pPr>
        <w:pStyle w:val="BodyText"/>
      </w:pPr>
      <w:r>
        <w:t xml:space="preserve">None of this machinery is illegitimate, and the treatise states its purpose fairly: claims statutes protect public treasuries from unbounded retrospective damages liability and give public bodies prompt notice of claims. The question this chapter examines is whether the machinery applies to equitable trust enforcement at all.</w:t>
      </w:r>
    </w:p>
    <w:p>
      <w:pPr>
        <w:pStyle w:val="Heading3"/>
      </w:pPr>
      <w:bookmarkStart w:id="609" w:name="X1171fe33d25aea16f64f61a84d0a15d2495e2ca"/>
      <w:r>
        <w:t xml:space="preserve">§ 17.3 The recharacterization, stated at full strength</w:t>
      </w:r>
      <w:bookmarkEnd w:id="609"/>
    </w:p>
    <w:p>
      <w:pPr>
        <w:pStyle w:val="FirstParagraph"/>
      </w:pPr>
      <w:r>
        <w:t xml:space="preserve">The defense position rests on three moves, each with real authority behind it. A treatise that pretends otherwise would mislead its readers.</w:t>
      </w:r>
    </w:p>
    <w:p>
      <w:pPr>
        <w:pStyle w:val="BodyText"/>
      </w:pPr>
      <w:r>
        <w:rPr>
          <w:b/>
        </w:rPr>
        <w:t xml:space="preserve">Move one: a fiduciary-breach claim is a</w:t>
      </w:r>
      <w:r>
        <w:rPr>
          <w:b/>
        </w:rPr>
        <w:t xml:space="preserve"> </w:t>
      </w:r>
      <w:r>
        <w:rPr>
          <w:b/>
        </w:rPr>
        <w:t xml:space="preserve">“</w:t>
      </w:r>
      <w:r>
        <w:rPr>
          <w:b/>
        </w:rPr>
        <w:t xml:space="preserve">tort.</w:t>
      </w:r>
      <w:r>
        <w:rPr>
          <w:b/>
        </w:rPr>
        <w:t xml:space="preserve">”</w:t>
      </w:r>
      <w:r>
        <w:t xml:space="preserve"> </w:t>
      </w:r>
      <w:r>
        <w:t xml:space="preserve">The anchor is</w:t>
      </w:r>
      <w:r>
        <w:t xml:space="preserve"> </w:t>
      </w:r>
      <w:r>
        <w:rPr>
          <w:i/>
        </w:rPr>
        <w:t xml:space="preserve">Hanggi v. Hartford Fire Insurance Co.</w:t>
      </w:r>
      <w:r>
        <w:t xml:space="preserve">, in which the Oregon Court of Appeals held that</w:t>
      </w:r>
      <w:r>
        <w:t xml:space="preserve"> </w:t>
      </w:r>
      <w:r>
        <w:t xml:space="preserve">“</w:t>
      </w:r>
      <w:r>
        <w:t xml:space="preserve">[a]n action for breach of fiduciary duties is a</w:t>
      </w:r>
      <w:r>
        <w:t xml:space="preserve"> </w:t>
      </w:r>
      <w:r>
        <w:t xml:space="preserve">‘</w:t>
      </w:r>
      <w:r>
        <w:t xml:space="preserve">tort</w:t>
      </w:r>
      <w:r>
        <w:t xml:space="preserve">’</w:t>
      </w:r>
      <w:r>
        <w:t xml:space="preserve"> </w:t>
      </w:r>
      <w:r>
        <w:t xml:space="preserve">for purposes of ORS 30.260(8) because fiduciary duties are</w:t>
      </w:r>
      <w:r>
        <w:t xml:space="preserve"> </w:t>
      </w:r>
      <w:r>
        <w:t xml:space="preserve">‘</w:t>
      </w:r>
      <w:r>
        <w:t xml:space="preserve">legal dut[ies] * * * imposed by law.</w:t>
      </w:r>
      <w:r>
        <w:t xml:space="preserve">’</w:t>
      </w:r>
      <w:r>
        <w:t xml:space="preserve">”</w:t>
      </w:r>
      <w:r>
        <w:rPr>
          <w:rStyle w:val="FootnoteReference"/>
        </w:rPr>
        <w:footnoteReference w:id="610"/>
      </w:r>
      <w:r>
        <w:t xml:space="preserve"> </w:t>
      </w:r>
      <w:r>
        <w:rPr>
          <w:i/>
        </w:rPr>
        <w:t xml:space="preserve">Hanggi</w:t>
      </w:r>
      <w:r>
        <w:t xml:space="preserve"> </w:t>
      </w:r>
      <w:r>
        <w:t xml:space="preserve">involved derivative claims by beneficiaries of the Public Employees Retirement Fund — a statutory trust — arising from investment misconduct by Treasury personnel. On its reasoning, any duty</w:t>
      </w:r>
      <w:r>
        <w:t xml:space="preserve"> </w:t>
      </w:r>
      <w:r>
        <w:t xml:space="preserve">“</w:t>
      </w:r>
      <w:r>
        <w:t xml:space="preserve">imposed by law</w:t>
      </w:r>
      <w:r>
        <w:t xml:space="preserve">”</w:t>
      </w:r>
      <w:r>
        <w:t xml:space="preserve"> </w:t>
      </w:r>
      <w:r>
        <w:t xml:space="preserve">generates a tort when breached, and trust duties are imposed by law; the claims-statute machinery therefore follows the claim wherever it goes.</w:t>
      </w:r>
    </w:p>
    <w:p>
      <w:pPr>
        <w:pStyle w:val="BodyText"/>
      </w:pPr>
      <w:r>
        <w:rPr>
          <w:b/>
        </w:rPr>
        <w:t xml:space="preserve">Move two: trust claims must satisfy private fiduciary-tort elements.</w:t>
      </w:r>
      <w:r>
        <w:t xml:space="preserve"> </w:t>
      </w:r>
      <w:r>
        <w:t xml:space="preserve">The states cite the private-litigation formulations: the three-element recital (fiduciary relationship; breach; resulting damage to the plaintiff) and the burden rule that</w:t>
      </w:r>
      <w:r>
        <w:t xml:space="preserve"> </w:t>
      </w:r>
      <w:r>
        <w:t xml:space="preserve">“</w:t>
      </w:r>
      <w:r>
        <w:t xml:space="preserve">[t]he party claiming a breach of fiduciary duty must plead and prove the breach, and must show that the breach caused an identifiable loss or resulted in injury to the party.</w:t>
      </w:r>
      <w:r>
        <w:t xml:space="preserve">”</w:t>
      </w:r>
      <w:r>
        <w:rPr>
          <w:rStyle w:val="FootnoteReference"/>
        </w:rPr>
        <w:footnoteReference w:id="611"/>
      </w:r>
      <w:r>
        <w:t xml:space="preserve"> </w:t>
      </w:r>
      <w:r>
        <w:t xml:space="preserve">Applied to a beneficiary suit seeking declarations and an accounting, the move converts the absence of individualized money damages into a failure to state a claim.</w:t>
      </w:r>
    </w:p>
    <w:p>
      <w:pPr>
        <w:pStyle w:val="BodyText"/>
      </w:pPr>
      <w:r>
        <w:rPr>
          <w:b/>
        </w:rPr>
        <w:t xml:space="preserve">Move three: no damages, no accounting.</w:t>
      </w:r>
      <w:r>
        <w:t xml:space="preserve"> </w:t>
      </w:r>
      <w:r>
        <w:t xml:space="preserve">Private-accounting doctrine is deployed to cabin the equitable accounting remedy: an accounting exists</w:t>
      </w:r>
      <w:r>
        <w:t xml:space="preserve"> </w:t>
      </w:r>
      <w:r>
        <w:t xml:space="preserve">“</w:t>
      </w:r>
      <w:r>
        <w:t xml:space="preserve">to strike a balance between the parties and determine if any funds are owed by either</w:t>
      </w:r>
      <w:r>
        <w:t xml:space="preserve">”</w:t>
      </w:r>
      <w:r>
        <w:t xml:space="preserve">; where discovery lets the plaintiff compute any amount due,</w:t>
      </w:r>
      <w:r>
        <w:t xml:space="preserve"> </w:t>
      </w:r>
      <w:r>
        <w:t xml:space="preserve">“</w:t>
      </w:r>
      <w:r>
        <w:t xml:space="preserve">the need for an accounting is obviated.</w:t>
      </w:r>
      <w:r>
        <w:t xml:space="preserve">”</w:t>
      </w:r>
      <w:r>
        <w:rPr>
          <w:rStyle w:val="FootnoteReference"/>
        </w:rPr>
        <w:footnoteReference w:id="612"/>
      </w:r>
      <w:r>
        <w:t xml:space="preserve"> </w:t>
      </w:r>
      <w:r>
        <w:t xml:space="preserve">A defendant can add that the modern trust code’s reporting provisions do not reach public bodies at all, and that even the Restatement’s information duty</w:t>
      </w:r>
      <w:r>
        <w:t xml:space="preserve"> </w:t>
      </w:r>
      <w:r>
        <w:t xml:space="preserve">“</w:t>
      </w:r>
      <w:r>
        <w:t xml:space="preserve">does not impose a regular routine requirement of reporting or accounting.</w:t>
      </w:r>
      <w:r>
        <w:t xml:space="preserve">”</w:t>
      </w:r>
      <w:r>
        <w:rPr>
          <w:rStyle w:val="FootnoteReference"/>
        </w:rPr>
        <w:footnoteReference w:id="613"/>
      </w:r>
    </w:p>
    <w:p>
      <w:pPr>
        <w:pStyle w:val="BodyText"/>
      </w:pPr>
      <w:r>
        <w:t xml:space="preserve">Together the three moves form a complete defensive circuit: the claim is a tort (notice, caps, substitution, discretionary immunity), the tort fails for want of individualized damage, and the accounting falls with it.</w:t>
      </w:r>
    </w:p>
    <w:p>
      <w:pPr>
        <w:pStyle w:val="Heading3"/>
      </w:pPr>
      <w:bookmarkStart w:id="614" w:name="X4c14a9d393a1724c3ac9306d10a93970ca63a3e"/>
      <w:r>
        <w:t xml:space="preserve">§ 17.4 The countervailing holding: challenges to the validity of laws are not torts</w:t>
      </w:r>
      <w:bookmarkEnd w:id="614"/>
    </w:p>
    <w:p>
      <w:pPr>
        <w:pStyle w:val="FirstParagraph"/>
      </w:pPr>
      <w:r>
        <w:t xml:space="preserve">The recharacterization’s controlling limit comes from the Oregon Supreme Court. In</w:t>
      </w:r>
      <w:r>
        <w:t xml:space="preserve"> </w:t>
      </w:r>
      <w:r>
        <w:rPr>
          <w:i/>
        </w:rPr>
        <w:t xml:space="preserve">Comcast of Oregon II, Inc. v. City of Eugene</w:t>
      </w:r>
      <w:r>
        <w:t xml:space="preserve">, the court held that</w:t>
      </w:r>
      <w:r>
        <w:t xml:space="preserve"> </w:t>
      </w:r>
      <w:r>
        <w:t xml:space="preserve">“</w:t>
      </w:r>
      <w:r>
        <w:t xml:space="preserve">a public body’s act of adopting a law or rule in violation of an applicable procedural or substantive requirement is not a tort under ORS 30.260(8).</w:t>
      </w:r>
      <w:r>
        <w:t xml:space="preserve">”</w:t>
      </w:r>
      <w:r>
        <w:rPr>
          <w:rStyle w:val="FootnoteReference"/>
        </w:rPr>
        <w:footnoteReference w:id="615"/>
      </w:r>
      <w:r>
        <w:t xml:space="preserve"> </w:t>
      </w:r>
      <w:r>
        <w:t xml:space="preserve">Lawmaking in violation of a governing legal requirement is unlawful government action to be tested by declaratory and other direct review — not a civil wrong remediable in damages and therefore not subject to the claims statute’s notice, cap, and immunity machinery.</w:t>
      </w:r>
    </w:p>
    <w:p>
      <w:pPr>
        <w:pStyle w:val="BodyText"/>
      </w:pPr>
      <w:r>
        <w:t xml:space="preserve">The principle reached the school-trust field in January 2026. In</w:t>
      </w:r>
      <w:r>
        <w:t xml:space="preserve"> </w:t>
      </w:r>
      <w:r>
        <w:rPr>
          <w:i/>
        </w:rPr>
        <w:t xml:space="preserve">Advocates for School Trust Lands v. State</w:t>
      </w:r>
      <w:r>
        <w:t xml:space="preserve">, the Oregon Court of Appeals — reversing a trial-court dismissal that had applied the tort template, with its notice bar, to trust-based claims — applied</w:t>
      </w:r>
      <w:r>
        <w:t xml:space="preserve"> </w:t>
      </w:r>
      <w:r>
        <w:rPr>
          <w:i/>
        </w:rPr>
        <w:t xml:space="preserve">Comcast</w:t>
      </w:r>
      <w:r>
        <w:t xml:space="preserve"> </w:t>
      </w:r>
      <w:r>
        <w:t xml:space="preserve">and held that challenges to the validity of laws are not tort claims subject to the OTCA.</w:t>
      </w:r>
      <w:r>
        <w:rPr>
          <w:rStyle w:val="FootnoteReference"/>
        </w:rPr>
        <w:footnoteReference w:id="616"/>
      </w:r>
      <w:r>
        <w:t xml:space="preserve"> </w:t>
      </w:r>
      <w:r>
        <w:t xml:space="preserve">The decision’s footnote 9 remanded, rather than resolved, the question of which of the plaintiffs’ claims target lawmaking and which target non-lawmaking conduct; the state’s petition for review was pending when this volume went to draft [VERIFY current status]. The arc matters for practitioners outside Oregon as much as inside it, because it displays the recharacterization problem’s full life cycle: trust claims dismissed wholesale at the trial level on claims-statute grounds, and the dismissal undone on appeal by the distinction between</w:t>
      </w:r>
      <w:r>
        <w:t xml:space="preserve"> </w:t>
      </w:r>
      <w:r>
        <w:rPr>
          <w:i/>
        </w:rPr>
        <w:t xml:space="preserve">suing the government for a wrong</w:t>
      </w:r>
      <w:r>
        <w:t xml:space="preserve"> </w:t>
      </w:r>
      <w:r>
        <w:t xml:space="preserve">and</w:t>
      </w:r>
      <w:r>
        <w:t xml:space="preserve"> </w:t>
      </w:r>
      <w:r>
        <w:rPr>
          <w:i/>
        </w:rPr>
        <w:t xml:space="preserve">challenging the validity of what the government enacted</w:t>
      </w:r>
      <w:r>
        <w:t xml:space="preserve">.</w:t>
      </w:r>
    </w:p>
    <w:p>
      <w:pPr>
        <w:pStyle w:val="BodyText"/>
      </w:pPr>
      <w:r>
        <w:t xml:space="preserve">The distinction also organizes the response to</w:t>
      </w:r>
      <w:r>
        <w:t xml:space="preserve"> </w:t>
      </w:r>
      <w:r>
        <w:rPr>
          <w:i/>
        </w:rPr>
        <w:t xml:space="preserve">Hanggi</w:t>
      </w:r>
      <w:r>
        <w:t xml:space="preserve">. The two cases can coexist:</w:t>
      </w:r>
      <w:r>
        <w:t xml:space="preserve"> </w:t>
      </w:r>
      <w:r>
        <w:rPr>
          <w:i/>
        </w:rPr>
        <w:t xml:space="preserve">Hanggi</w:t>
      </w:r>
      <w:r>
        <w:t xml:space="preserve"> </w:t>
      </w:r>
      <w:r>
        <w:t xml:space="preserve">involved operational investment misconduct within a statutory trust — conduct-level wrongdoing of the kind claims statutes were built for — while</w:t>
      </w:r>
      <w:r>
        <w:t xml:space="preserve"> </w:t>
      </w:r>
      <w:r>
        <w:rPr>
          <w:i/>
        </w:rPr>
        <w:t xml:space="preserve">Comcast</w:t>
      </w:r>
      <w:r>
        <w:t xml:space="preserve"> </w:t>
      </w:r>
      <w:r>
        <w:t xml:space="preserve">and</w:t>
      </w:r>
      <w:r>
        <w:t xml:space="preserve"> </w:t>
      </w:r>
      <w:r>
        <w:rPr>
          <w:i/>
        </w:rPr>
        <w:t xml:space="preserve">Advocates</w:t>
      </w:r>
      <w:r>
        <w:t xml:space="preserve"> </w:t>
      </w:r>
      <w:r>
        <w:t xml:space="preserve">address the validity of enactments and rules. A school-trust suit will often contain both species: a challenge to a statute or rule authorizing a disposition (the</w:t>
      </w:r>
      <w:r>
        <w:t xml:space="preserve"> </w:t>
      </w:r>
      <w:r>
        <w:rPr>
          <w:i/>
        </w:rPr>
        <w:t xml:space="preserve">Comcast</w:t>
      </w:r>
      <w:r>
        <w:t xml:space="preserve"> </w:t>
      </w:r>
      <w:r>
        <w:t xml:space="preserve">side) and a challenge to particular transactions or management decisions (where the state will press</w:t>
      </w:r>
      <w:r>
        <w:t xml:space="preserve"> </w:t>
      </w:r>
      <w:r>
        <w:rPr>
          <w:i/>
        </w:rPr>
        <w:t xml:space="preserve">Hanggi</w:t>
      </w:r>
      <w:r>
        <w:t xml:space="preserve">). The pleader who keeps the two separate, and frames the transactional claims in equity rather than in damages, preserves the strongest position; the pleader who folds everything into a damages-flavored</w:t>
      </w:r>
      <w:r>
        <w:t xml:space="preserve"> </w:t>
      </w:r>
      <w:r>
        <w:t xml:space="preserve">“</w:t>
      </w:r>
      <w:r>
        <w:t xml:space="preserve">breach of fiduciary duty</w:t>
      </w:r>
      <w:r>
        <w:t xml:space="preserve">”</w:t>
      </w:r>
      <w:r>
        <w:t xml:space="preserve"> </w:t>
      </w:r>
      <w:r>
        <w:t xml:space="preserve">count invites the tort template. In the pending Oregon litigation the parties dispute exactly where this line runs and whether the trust claims sound in tort at all; the questions are unadjudicated. [COUNSEL REVIEW — characterization of the contested ground in 24CV38372 from public filings.]</w:t>
      </w:r>
      <w:r>
        <w:rPr>
          <w:rStyle w:val="FootnoteReference"/>
        </w:rPr>
        <w:footnoteReference w:id="617"/>
      </w:r>
    </w:p>
    <w:p>
      <w:pPr>
        <w:pStyle w:val="BodyText"/>
      </w:pPr>
      <w:r>
        <w:t xml:space="preserve">Two further distinctions of</w:t>
      </w:r>
      <w:r>
        <w:t xml:space="preserve"> </w:t>
      </w:r>
      <w:r>
        <w:rPr>
          <w:i/>
        </w:rPr>
        <w:t xml:space="preserve">Hanggi</w:t>
      </w:r>
      <w:r>
        <w:t xml:space="preserve"> </w:t>
      </w:r>
      <w:r>
        <w:t xml:space="preserve">are carried in the corpus and deserve note. First, the fiduciary duties there arose from statute, not from a federal compact and constitutional incorporation; whether a duty the legislature did not create can be a</w:t>
      </w:r>
      <w:r>
        <w:t xml:space="preserve"> </w:t>
      </w:r>
      <w:r>
        <w:t xml:space="preserve">“</w:t>
      </w:r>
      <w:r>
        <w:t xml:space="preserve">duty imposed by law</w:t>
      </w:r>
      <w:r>
        <w:t xml:space="preserve">”</w:t>
      </w:r>
      <w:r>
        <w:t xml:space="preserve"> </w:t>
      </w:r>
      <w:r>
        <w:t xml:space="preserve">only in the tort sense is the analytical nub. Second,</w:t>
      </w:r>
      <w:r>
        <w:t xml:space="preserve"> </w:t>
      </w:r>
      <w:r>
        <w:rPr>
          <w:i/>
        </w:rPr>
        <w:t xml:space="preserve">Hanggi</w:t>
      </w:r>
      <w:r>
        <w:t xml:space="preserve"> </w:t>
      </w:r>
      <w:r>
        <w:t xml:space="preserve">is intermediate-appellate authority whose review the state supreme court dismissed as improvidently granted — it never received supreme-court approval, while</w:t>
      </w:r>
      <w:r>
        <w:t xml:space="preserve"> </w:t>
      </w:r>
      <w:r>
        <w:rPr>
          <w:i/>
        </w:rPr>
        <w:t xml:space="preserve">Comcast</w:t>
      </w:r>
      <w:r>
        <w:t xml:space="preserve"> </w:t>
      </w:r>
      <w:r>
        <w:t xml:space="preserve">is supreme-court holding.</w:t>
      </w:r>
      <w:r>
        <w:rPr>
          <w:rStyle w:val="FootnoteReference"/>
        </w:rPr>
        <w:footnoteReference w:id="618"/>
      </w:r>
    </w:p>
    <w:p>
      <w:pPr>
        <w:pStyle w:val="Heading3"/>
      </w:pPr>
      <w:bookmarkStart w:id="619" w:name="Xe2fe58dc7b3e0aeb2741328d6b30a527bb2027f"/>
      <w:r>
        <w:t xml:space="preserve">§ 17.5 Trust doctrines that displace the immunity machinery</w:t>
      </w:r>
      <w:bookmarkEnd w:id="619"/>
    </w:p>
    <w:p>
      <w:pPr>
        <w:pStyle w:val="FirstParagraph"/>
      </w:pPr>
      <w:r>
        <w:t xml:space="preserve">Where courts have engaged the trust character directly, several immunity-adjacent defenses have yielded — a body of holdings that runs in the opposite direction from the recharacterization and is too little cited.</w:t>
      </w:r>
    </w:p>
    <w:p>
      <w:pPr>
        <w:pStyle w:val="BodyText"/>
      </w:pPr>
      <w:r>
        <w:rPr>
          <w:b/>
        </w:rPr>
        <w:t xml:space="preserve">Limitations.</w:t>
      </w:r>
      <w:r>
        <w:t xml:space="preserve"> </w:t>
      </w:r>
      <w:r>
        <w:t xml:space="preserve">Oregon’s own early holding applied the statutory limitations exemption to Land Board actions administering the Common School Fund, holding that a general limitation statute does not run against the state where it is the real party in interest and holds the school fund in trust for a public purpose.</w:t>
      </w:r>
      <w:r>
        <w:rPr>
          <w:rStyle w:val="FootnoteReference"/>
        </w:rPr>
        <w:footnoteReference w:id="620"/>
      </w:r>
      <w:r>
        <w:t xml:space="preserve"> </w:t>
      </w:r>
      <w:r>
        <w:t xml:space="preserve">The logic is fiduciary: time does not launder a trustee’s breach against beneficiaries who include children not yet born (Chapter 8).</w:t>
      </w:r>
    </w:p>
    <w:p>
      <w:pPr>
        <w:pStyle w:val="BodyText"/>
      </w:pPr>
      <w:r>
        <w:rPr>
          <w:b/>
        </w:rPr>
        <w:t xml:space="preserve">Waiver and estoppel.</w:t>
      </w:r>
      <w:r>
        <w:t xml:space="preserve"> </w:t>
      </w:r>
      <w:r>
        <w:t xml:space="preserve">The same Utah decision holds that the state’s prior acceptance of below-market payments does not waive the beneficiaries’ right to full value, and that estoppel cannot be asserted against the state respecting trust lands.</w:t>
      </w:r>
      <w:r>
        <w:rPr>
          <w:rStyle w:val="FootnoteReference"/>
        </w:rPr>
        <w:footnoteReference w:id="621"/>
      </w:r>
      <w:r>
        <w:t xml:space="preserve"> </w:t>
      </w:r>
      <w:r>
        <w:t xml:space="preserve">The doctrine cuts against the sovereign’s</w:t>
      </w:r>
      <w:r>
        <w:t xml:space="preserve"> </w:t>
      </w:r>
      <w:r>
        <w:rPr>
          <w:i/>
        </w:rPr>
        <w:t xml:space="preserve">opponents</w:t>
      </w:r>
      <w:r>
        <w:t xml:space="preserve"> </w:t>
      </w:r>
      <w:r>
        <w:t xml:space="preserve">in that posture — but its premise, that the trust res is not the state’s to compromise, is the same premise that defeats the state’s own attempt to shelter breaches behind procedural machinery: a trustee cannot, by its choice of litigation characterization any more than by its acceptance of underpayment, diminish the beneficiaries’ entitlement.</w:t>
      </w:r>
    </w:p>
    <w:p>
      <w:pPr>
        <w:pStyle w:val="BodyText"/>
      </w:pPr>
      <w:r>
        <w:rPr>
          <w:b/>
        </w:rPr>
        <w:t xml:space="preserve">Third-party notice.</w:t>
      </w:r>
      <w:r>
        <w:t xml:space="preserve"> </w:t>
      </w:r>
      <w:r>
        <w:t xml:space="preserve">“</w:t>
      </w:r>
      <w:r>
        <w:t xml:space="preserve">Anyone dealing with the school lands must do so with knowledge of and subject to the trust obligation of the state</w:t>
      </w:r>
      <w:r>
        <w:t xml:space="preserve">”</w:t>
      </w:r>
      <w:r>
        <w:t xml:space="preserve"> </w:t>
      </w:r>
      <w:r>
        <w:t xml:space="preserve">— so a transferee cannot interpose reliance or repose defenses against unwinding (Chapter 18).</w:t>
      </w:r>
      <w:r>
        <w:rPr>
          <w:rStyle w:val="FootnoteReference"/>
        </w:rPr>
        <w:footnoteReference w:id="622"/>
      </w:r>
    </w:p>
    <w:p>
      <w:pPr>
        <w:pStyle w:val="Heading3"/>
      </w:pPr>
      <w:bookmarkStart w:id="623" w:name="the-federal-floor"/>
      <w:r>
        <w:t xml:space="preserve">§ 17.6 The federal floor</w:t>
      </w:r>
      <w:bookmarkEnd w:id="623"/>
    </w:p>
    <w:p>
      <w:pPr>
        <w:pStyle w:val="FirstParagraph"/>
      </w:pPr>
      <w:r>
        <w:t xml:space="preserve">The final structural limit on state immunity machinery is federal. The granting instruments are acts of Congress accepted as compacts, and a question concerning</w:t>
      </w:r>
      <w:r>
        <w:t xml:space="preserve"> </w:t>
      </w:r>
      <w:r>
        <w:t xml:space="preserve">“</w:t>
      </w:r>
      <w:r>
        <w:t xml:space="preserve">the … effect of an act done by the United States</w:t>
      </w:r>
      <w:r>
        <w:t xml:space="preserve">”</w:t>
      </w:r>
      <w:r>
        <w:t xml:space="preserve"> </w:t>
      </w:r>
      <w:r>
        <w:t xml:space="preserve">is</w:t>
      </w:r>
      <w:r>
        <w:t xml:space="preserve"> </w:t>
      </w:r>
      <w:r>
        <w:t xml:space="preserve">“</w:t>
      </w:r>
      <w:r>
        <w:t xml:space="preserve">necessarily a federal question.</w:t>
      </w:r>
      <w:r>
        <w:t xml:space="preserve">”</w:t>
      </w:r>
      <w:r>
        <w:rPr>
          <w:rStyle w:val="FootnoteReference"/>
        </w:rPr>
        <w:footnoteReference w:id="624"/>
      </w:r>
      <w:r>
        <w:t xml:space="preserve"> </w:t>
      </w:r>
      <w:r>
        <w:t xml:space="preserve">The compact is</w:t>
      </w:r>
      <w:r>
        <w:t xml:space="preserve"> </w:t>
      </w:r>
      <w:r>
        <w:t xml:space="preserve">“</w:t>
      </w:r>
      <w:r>
        <w:t xml:space="preserve">unalterable except by consent</w:t>
      </w:r>
      <w:r>
        <w:t xml:space="preserve">”</w:t>
      </w:r>
      <w:r>
        <w:t xml:space="preserve">; a state legislature cannot modify it unilaterally — and what the legislature cannot do directly, it cannot do by interposing procedural machinery that extinguishes the compact’s enforcement.</w:t>
      </w:r>
      <w:r>
        <w:rPr>
          <w:rStyle w:val="FootnoteReference"/>
        </w:rPr>
        <w:footnoteReference w:id="625"/>
      </w:r>
      <w:r>
        <w:t xml:space="preserve"> </w:t>
      </w:r>
      <w:r>
        <w:t xml:space="preserve">The high-water 1910 instrument makes the point in terms: dispositions not in substantial conformity with the act are</w:t>
      </w:r>
      <w:r>
        <w:t xml:space="preserve"> </w:t>
      </w:r>
      <w:r>
        <w:t xml:space="preserve">“</w:t>
      </w:r>
      <w:r>
        <w:t xml:space="preserve">null and void,</w:t>
      </w:r>
      <w:r>
        <w:t xml:space="preserve">”</w:t>
      </w:r>
      <w:r>
        <w:t xml:space="preserve"> </w:t>
      </w:r>
      <w:r>
        <w:t xml:space="preserve">nonconformity is a</w:t>
      </w:r>
      <w:r>
        <w:t xml:space="preserve"> </w:t>
      </w:r>
      <w:r>
        <w:t xml:space="preserve">“</w:t>
      </w:r>
      <w:r>
        <w:t xml:space="preserve">breach of trust,</w:t>
      </w:r>
      <w:r>
        <w:t xml:space="preserve">”</w:t>
      </w:r>
      <w:r>
        <w:t xml:space="preserve"> </w:t>
      </w:r>
      <w:r>
        <w:t xml:space="preserve">and the Attorney General of the United States may sue the state to enforce it — a federal enforcement design (Chapter 15) that no state claims statute can condition.</w:t>
      </w:r>
      <w:r>
        <w:rPr>
          <w:rStyle w:val="FootnoteReference"/>
        </w:rPr>
        <w:footnoteReference w:id="626"/>
      </w:r>
      <w:r>
        <w:t xml:space="preserve"> </w:t>
      </w:r>
      <w:r>
        <w:rPr>
          <w:i/>
        </w:rPr>
        <w:t xml:space="preserve">ASARCO</w:t>
      </w:r>
      <w:r>
        <w:t xml:space="preserve"> </w:t>
      </w:r>
      <w:r>
        <w:t xml:space="preserve">shows the supremacy floor operating through ordinary state-court litigation: the state statute fell for nonconformity with the federal act, and the Supreme Court affirmed.</w:t>
      </w:r>
      <w:r>
        <w:rPr>
          <w:rStyle w:val="FootnoteReference"/>
        </w:rPr>
        <w:footnoteReference w:id="627"/>
      </w:r>
    </w:p>
    <w:p>
      <w:pPr>
        <w:pStyle w:val="BodyText"/>
      </w:pPr>
      <w:r>
        <w:t xml:space="preserve">The state-law anti-entrenchment doctrine marks the same boundary from the other side. Oregon’s cases hold that legislatures generally do not bind future legislatures —</w:t>
      </w:r>
      <w:r>
        <w:t xml:space="preserve"> </w:t>
      </w:r>
      <w:r>
        <w:t xml:space="preserve">“</w:t>
      </w:r>
      <w:r>
        <w:t xml:space="preserve">[t]he intention to surrender or suspend legislative control over matters vitally affecting the public welfare cannot be established by mere implication</w:t>
      </w:r>
      <w:r>
        <w:t xml:space="preserve">”</w:t>
      </w:r>
      <w:r>
        <w:t xml:space="preserve"> </w:t>
      </w:r>
      <w:r>
        <w:t xml:space="preserve">— and the doctrine genuinely permits redirection of purely state-statutory dedications.</w:t>
      </w:r>
      <w:r>
        <w:rPr>
          <w:rStyle w:val="FootnoteReference"/>
        </w:rPr>
        <w:footnoteReference w:id="628"/>
      </w:r>
      <w:r>
        <w:t xml:space="preserve"> </w:t>
      </w:r>
      <w:r>
        <w:t xml:space="preserve">But its recognized exceptions (statutory contracts among them) and its own logic stop at obligations the state did not create and cannot repeal: a federal compact accepted at statehood is not a prior legislature’s policy choice. The practitioner should keep the two fund layers separate — the constitutionally and federally impressed corpus, where the anti-entrenchment doctrine has no purchase, and purely statutory dedications, where it does (compare § 3.4 and the</w:t>
      </w:r>
      <w:r>
        <w:t xml:space="preserve"> </w:t>
      </w:r>
      <w:r>
        <w:rPr>
          <w:i/>
        </w:rPr>
        <w:t xml:space="preserve">Johnson</w:t>
      </w:r>
      <w:r>
        <w:t xml:space="preserve"> </w:t>
      </w:r>
      <w:r>
        <w:t xml:space="preserve">constitutional/statutory distinction).</w:t>
      </w:r>
      <w:r>
        <w:rPr>
          <w:rStyle w:val="FootnoteReference"/>
        </w:rPr>
        <w:footnoteReference w:id="629"/>
      </w:r>
    </w:p>
    <w:p>
      <w:pPr>
        <w:pStyle w:val="Heading3"/>
      </w:pPr>
      <w:bookmarkStart w:id="630" w:name="synthesis-12"/>
      <w:r>
        <w:t xml:space="preserve">§ 17.7 Synthesis</w:t>
      </w:r>
      <w:bookmarkEnd w:id="630"/>
    </w:p>
    <w:p>
      <w:pPr>
        <w:numPr>
          <w:ilvl w:val="0"/>
          <w:numId w:val="1016"/>
        </w:numPr>
      </w:pPr>
      <w:r>
        <w:rPr>
          <w:b/>
        </w:rPr>
        <w:t xml:space="preserve">Claims-statute machinery presupposes a damages tort.</w:t>
      </w:r>
      <w:r>
        <w:t xml:space="preserve"> </w:t>
      </w:r>
      <w:r>
        <w:t xml:space="preserve">Its application to equitable trust enforcement depends entirely on the recharacterization of the trust claim as a tort — the move the practitioner should isolate and contest first, before notice, caps, substitution, or discretionary immunity are ever reached.</w:t>
      </w:r>
    </w:p>
    <w:p>
      <w:pPr>
        <w:numPr>
          <w:ilvl w:val="0"/>
          <w:numId w:val="1016"/>
        </w:numPr>
      </w:pPr>
      <w:r>
        <w:rPr>
          <w:b/>
        </w:rPr>
        <w:t xml:space="preserve">The validity-of-laws line is the controlling limit.</w:t>
      </w:r>
      <w:r>
        <w:t xml:space="preserve"> </w:t>
      </w:r>
      <w:r>
        <w:t xml:space="preserve">Challenges to the validity of enactments and rules are not torts under the leading modern authority, and the principle has been applied, on appeal, to school-trust claims.</w:t>
      </w:r>
      <w:r>
        <w:rPr>
          <w:rStyle w:val="FootnoteReference"/>
        </w:rPr>
        <w:footnoteReference w:id="631"/>
      </w:r>
    </w:p>
    <w:p>
      <w:pPr>
        <w:numPr>
          <w:ilvl w:val="0"/>
          <w:numId w:val="1016"/>
        </w:numPr>
      </w:pPr>
      <w:r>
        <w:rPr>
          <w:b/>
        </w:rPr>
        <w:t xml:space="preserve">The operational/lawmaking and statutory-trust/constitutional-trust distinctions do the remaining work.</w:t>
      </w:r>
      <w:r>
        <w:t xml:space="preserve"> </w:t>
      </w:r>
      <w:r>
        <w:t xml:space="preserve">The recharacterization’s strongest precedent involved operational misconduct within a statutory trust; its weakest application is to duties fixed by federal compact and constitutional incorporation, asserted through declaratory and equitable claims.</w:t>
      </w:r>
    </w:p>
    <w:p>
      <w:pPr>
        <w:numPr>
          <w:ilvl w:val="0"/>
          <w:numId w:val="1016"/>
        </w:numPr>
      </w:pPr>
      <w:r>
        <w:rPr>
          <w:b/>
        </w:rPr>
        <w:t xml:space="preserve">Fiduciary doctrine independently disables several immunity-adjacent defenses</w:t>
      </w:r>
      <w:r>
        <w:t xml:space="preserve"> </w:t>
      </w:r>
      <w:r>
        <w:t xml:space="preserve">— limitations, waiver, estoppel, third-party repose — where the trust character is engaged.</w:t>
      </w:r>
    </w:p>
    <w:p>
      <w:pPr>
        <w:numPr>
          <w:ilvl w:val="0"/>
          <w:numId w:val="1016"/>
        </w:numPr>
      </w:pPr>
      <w:r>
        <w:rPr>
          <w:b/>
        </w:rPr>
        <w:t xml:space="preserve">The federal compact is the floor beneath everything.</w:t>
      </w:r>
      <w:r>
        <w:t xml:space="preserve"> </w:t>
      </w:r>
      <w:r>
        <w:t xml:space="preserve">State procedural machinery cannot extinguish obligations the state cannot unilaterally modify; where the instrument itself voids nonconforming dispositions and provides federal enforcement, the immunity analysis ends where supremacy begins.</w:t>
      </w:r>
    </w:p>
    <w:p>
      <w:pPr>
        <w:pStyle w:val="FirstParagraph"/>
      </w:pPr>
      <w:r>
        <w:t xml:space="preserve">The remedies that become available once these defenses are cleared are the subject of Chapter 18.</w:t>
      </w:r>
    </w:p>
    <w:p>
      <w:r>
        <w:pict>
          <v:rect style="width:0;height:1.5pt" o:hralign="center" o:hrstd="t" o:hr="t"/>
        </w:pict>
      </w:r>
    </w:p>
    <w:p>
      <w:pPr>
        <w:pStyle w:val="FirstParagraph"/>
      </w:pPr>
      <w:r>
        <w:rPr>
          <w:i/>
        </w:rPr>
        <w:t xml:space="preserve">End of Chapter 17 v1 (formerly Chapter 16). 2026-06-07 verification pass: the five private-party accounting cases (Sasser, Thompson, Miller, Smith, Public Market) now carry full citations; Sasser, Thompson, and Miller verified against full-text pulls; Smith and Public Market confirmed at holding level only, full pulls pending; the</w:t>
      </w:r>
      <w:r>
        <w:rPr>
          <w:i/>
        </w:rPr>
        <w:t xml:space="preserve"> </w:t>
      </w:r>
      <w:r>
        <w:rPr>
          <w:i/>
        </w:rPr>
        <w:t xml:space="preserve">“</w:t>
      </w:r>
      <w:r>
        <w:rPr>
          <w:i/>
        </w:rPr>
        <w:t xml:space="preserve">all private-party cases</w:t>
      </w:r>
      <w:r>
        <w:rPr>
          <w:i/>
        </w:rPr>
        <w:t xml:space="preserve">”</w:t>
      </w:r>
      <w:r>
        <w:rPr>
          <w:i/>
        </w:rPr>
        <w:t xml:space="preserve"> </w:t>
      </w:r>
      <w:r>
        <w:rPr>
          <w:i/>
        </w:rPr>
        <w:t xml:space="preserve">characterization corrected (Public Market’s lead defendant is the City of Portland). Remaining verification queue: Smith and Public Market full pulls; Sasser Or App pin; Thompson Or. pin; OTCA subsection mapping; Evergreen parallel cite and the Lindland Or. pin (the Lindland and Putnam parallel-cite discrepancies were resolved at CAP level by the 2026-06-07 L0 pass: 693 P.2d 20 and 293 P. 940); Lowrimore and Garrison years; the Plateau limitations holding; Restatement (Third) § 82 cmt. d context; Advocates review-petition status; Chapter 3 cross-reference section number; parallel-state claims-statute collection (wave 2); status of 24CV38372 at publication. 2026-06-07 L0 verification additions: Comcast quotation verified (pin corrected to 249-50); Hanggi, Lindland, Advocates n.9, Bieker, Holmes, Borax, and the Moro/Strunk anti-entrenchment quotation verified against held primaries; the Moro quotation opening bracket restored (</w:t>
      </w:r>
      <w:r>
        <w:rPr>
          <w:i/>
        </w:rPr>
        <w:t xml:space="preserve">“</w:t>
      </w:r>
      <w:r>
        <w:rPr>
          <w:i/>
        </w:rPr>
        <w:t xml:space="preserve">[t]he intention</w:t>
      </w:r>
      <w:r>
        <w:rPr>
          <w:i/>
        </w:rPr>
        <w:t xml:space="preserve">”</w:t>
      </w:r>
      <w:r>
        <w:rPr>
          <w:i/>
        </w:rPr>
        <w:t xml:space="preserve">); Borax restyled to its full caption.</w:t>
      </w:r>
    </w:p>
    <w:p>
      <w:r>
        <w:br w:type="page"/>
      </w:r>
    </w:p>
    <w:p>
      <w:pPr>
        <w:pStyle w:val="Heading1"/>
      </w:pPr>
      <w:bookmarkStart w:id="632" w:name="chapter-18-remedies-v1"/>
      <w:r>
        <w:t xml:space="preserve">Chapter 18 — Remedies (v1)</w:t>
      </w:r>
      <w:bookmarkEnd w:id="632"/>
    </w:p>
    <w:p>
      <w:pPr>
        <w:pStyle w:val="FirstParagraph"/>
      </w:pPr>
      <w:r>
        <w:rPr>
          <w:i/>
        </w:rPr>
        <w:t xml:space="preserve">Status: v1 — renumbered (formerly Chapter 17) and converted to named citation keys under</w:t>
      </w:r>
      <w:r>
        <w:rPr>
          <w:i/>
        </w:rPr>
        <w:t xml:space="preserve"> </w:t>
      </w:r>
      <w:r>
        <w:rPr>
          <w:rStyle w:val="VerbatimChar"/>
          <w:i/>
        </w:rPr>
        <w:t xml:space="preserve">_tools/CITATION_STANDARD.md</w:t>
      </w:r>
      <w:r>
        <w:rPr>
          <w:i/>
        </w:rPr>
        <w:t xml:space="preserve"> </w:t>
      </w:r>
      <w:r>
        <w:rPr>
          <w:i/>
        </w:rPr>
        <w:t xml:space="preserve">in the 2026-06-07 citation pass. The orphaned synthesis footnote of v0 is replaced by per-item notes in § 18.8 (the house style of the accounting chapter); the NPCA</w:t>
      </w:r>
      <w:r>
        <w:rPr>
          <w:i/>
        </w:rPr>
        <w:t xml:space="preserve"> </w:t>
      </w:r>
      <w:r>
        <w:rPr>
          <w:i/>
        </w:rPr>
        <w:t xml:space="preserve">“</w:t>
      </w:r>
      <w:r>
        <w:rPr>
          <w:i/>
        </w:rPr>
        <w:t xml:space="preserve">suspect on its face</w:t>
      </w:r>
      <w:r>
        <w:rPr>
          <w:i/>
        </w:rPr>
        <w:t xml:space="preserve">”</w:t>
      </w:r>
      <w:r>
        <w:rPr>
          <w:i/>
        </w:rPr>
        <w:t xml:space="preserve"> </w:t>
      </w:r>
      <w:r>
        <w:rPr>
          <w:i/>
        </w:rPr>
        <w:t xml:space="preserve">quotation is now verified and pinned. [VERIFY] flags mark items awaiting primary-source confirmation under quality gate G3. Passages touching the pending Oregon litigation (24CV38372) are drawn from the public record only and carry [COUNSEL REVIEW] flags.</w:t>
      </w:r>
    </w:p>
    <w:p>
      <w:r>
        <w:pict>
          <v:rect style="width:0;height:1.5pt" o:hralign="center" o:hrstd="t" o:hr="t"/>
        </w:pict>
      </w:r>
    </w:p>
    <w:p>
      <w:pPr>
        <w:pStyle w:val="Heading3"/>
      </w:pPr>
      <w:bookmarkStart w:id="633" w:name="the-remedial-inventory"/>
      <w:r>
        <w:t xml:space="preserve">§ 18.1 The remedial inventory</w:t>
      </w:r>
      <w:bookmarkEnd w:id="633"/>
    </w:p>
    <w:p>
      <w:pPr>
        <w:pStyle w:val="FirstParagraph"/>
      </w:pPr>
      <w:r>
        <w:t xml:space="preserve">The school-trust cases have produced a remedial arsenal unusual among public-law subjects, because the courts have drawn on two sources at once: constitutional invalidation doctrine and the full equity toolkit of trust administration. The decided cases supply six remedies — nullity of breaching statutes (§ 18.2); voidness and unwinding of breaching transactions (§ 18.3); compensation and restoration to the corpus (§ 18.4); equitable accounting (§ 18.5); injunctive and declaratory relief, with fee-shifting in at least one state (§ 18.6) — and a set of limits the practitioner must respect (§ 18.7). The unifying principle is restorative: school-trust remedies aim at the integrity of the corpus and the enforcement of the instrument, not at compensating a plaintiff’s personal loss. That orientation is why the remedies survive the damages-focused objections catalogued in Chapter 17, and why a plaintiff who pleads them as damages claims forfeits their strongest features.</w:t>
      </w:r>
    </w:p>
    <w:p>
      <w:pPr>
        <w:pStyle w:val="Heading3"/>
      </w:pPr>
      <w:bookmarkStart w:id="634" w:name="nullity-of-breaching-statutes"/>
      <w:r>
        <w:t xml:space="preserve">§ 18.2 Nullity of breaching statutes</w:t>
      </w:r>
      <w:bookmarkEnd w:id="634"/>
    </w:p>
    <w:p>
      <w:pPr>
        <w:pStyle w:val="FirstParagraph"/>
      </w:pPr>
      <w:r>
        <w:t xml:space="preserve">The signature remedy of the field. Where the state constitution incorporates the trust (§ 4.3), a statute authorizing a breach is not merely unenforceable as applied — it is void:</w:t>
      </w:r>
      <w:r>
        <w:t xml:space="preserve"> </w:t>
      </w:r>
      <w:r>
        <w:t xml:space="preserve">“</w:t>
      </w:r>
      <w:r>
        <w:t xml:space="preserve">[a] breach of trust in such a situation is in effect a violation of the constitutional provision and has the effect of invalidating the legislation authorizing the breach.</w:t>
      </w:r>
      <w:r>
        <w:t xml:space="preserve">”</w:t>
      </w:r>
      <w:r>
        <w:rPr>
          <w:rStyle w:val="FootnoteReference"/>
        </w:rPr>
        <w:footnoteReference w:id="635"/>
      </w:r>
      <w:r>
        <w:t xml:space="preserve"> </w:t>
      </w:r>
      <w:r>
        <w:t xml:space="preserve">The Nebraska sequel pressed the point to its logical end:</w:t>
      </w:r>
      <w:r>
        <w:t xml:space="preserve"> </w:t>
      </w:r>
      <w:r>
        <w:t xml:space="preserve">“</w:t>
      </w:r>
      <w:r>
        <w:t xml:space="preserve">an unconstitutional statute is a nullity, is void from its enactment, and is incapable of creating any rights or obligations,</w:t>
      </w:r>
      <w:r>
        <w:t xml:space="preserve">”</w:t>
      </w:r>
      <w:r>
        <w:t xml:space="preserve"> </w:t>
      </w:r>
      <w:r>
        <w:t xml:space="preserve">so interests purportedly created under the invalidated leasing statute simply never existed.</w:t>
      </w:r>
      <w:r>
        <w:rPr>
          <w:rStyle w:val="FootnoteReference"/>
        </w:rPr>
        <w:footnoteReference w:id="636"/>
      </w:r>
      <w:r>
        <w:t xml:space="preserve"> </w:t>
      </w:r>
      <w:r>
        <w:t xml:space="preserve">The remedy operates retroactively and self-executingly; it requires no decree against any officer, only the adjudication itself.</w:t>
      </w:r>
    </w:p>
    <w:p>
      <w:pPr>
        <w:pStyle w:val="BodyText"/>
      </w:pPr>
      <w:r>
        <w:t xml:space="preserve">The accord line is the broadest in the field, and it includes the Supreme Court of the United States affirming the same result as a matter of federal compact law.</w:t>
      </w:r>
      <w:r>
        <w:rPr>
          <w:rStyle w:val="FootnoteReference"/>
        </w:rPr>
        <w:footnoteReference w:id="637"/>
      </w:r>
      <w:r>
        <w:t xml:space="preserve"> </w:t>
      </w:r>
      <w:r>
        <w:t xml:space="preserve">Two features deserve emphasis. First, ordinary presumptions of constitutionality do not save breaching statutes — Montana struck four statutes and a Department rental policy in a single decision notwithstanding the presumption.</w:t>
      </w:r>
      <w:r>
        <w:rPr>
          <w:rStyle w:val="FootnoteReference"/>
        </w:rPr>
        <w:footnoteReference w:id="638"/>
      </w:r>
      <w:r>
        <w:t xml:space="preserve"> </w:t>
      </w:r>
      <w:r>
        <w:t xml:space="preserve">Second, the rule reaches statutes whose vice is directing the trustee’s loyalty rather than disposing of assets: Idaho invalidated a statute instructing the land board to weigh non-beneficiary interests, holding the legislature itself may not redirect the trustee.</w:t>
      </w:r>
      <w:r>
        <w:rPr>
          <w:rStyle w:val="FootnoteReference"/>
        </w:rPr>
        <w:footnoteReference w:id="639"/>
      </w:r>
    </w:p>
    <w:p>
      <w:pPr>
        <w:pStyle w:val="Heading3"/>
      </w:pPr>
      <w:bookmarkStart w:id="640" w:name="voidness-and-unwinding-of-transactions"/>
      <w:r>
        <w:t xml:space="preserve">§ 18.3 Voidness and unwinding of transactions</w:t>
      </w:r>
      <w:bookmarkEnd w:id="640"/>
    </w:p>
    <w:p>
      <w:pPr>
        <w:pStyle w:val="FirstParagraph"/>
      </w:pPr>
      <w:r>
        <w:t xml:space="preserve">The nullity principle extends from statutes to the transactions executed under them, and to transactions that bypass the instruments’ procedural safeguards even without statutory cover.</w:t>
      </w:r>
    </w:p>
    <w:p>
      <w:pPr>
        <w:pStyle w:val="BodyText"/>
      </w:pPr>
      <w:r>
        <w:rPr>
          <w:b/>
        </w:rPr>
        <w:t xml:space="preserve">Voidness by the instrument’s own terms.</w:t>
      </w:r>
      <w:r>
        <w:t xml:space="preserve"> </w:t>
      </w:r>
      <w:r>
        <w:t xml:space="preserve">The 1910 high-water instrument declares that dispositions</w:t>
      </w:r>
      <w:r>
        <w:t xml:space="preserve"> </w:t>
      </w:r>
      <w:r>
        <w:t xml:space="preserve">“</w:t>
      </w:r>
      <w:r>
        <w:t xml:space="preserve">not made in substantial conformity with the provisions of this Act shall be null and void</w:t>
      </w:r>
      <w:r>
        <w:t xml:space="preserve">”</w:t>
      </w:r>
      <w:r>
        <w:t xml:space="preserve"> </w:t>
      </w:r>
      <w:r>
        <w:t xml:space="preserve">— voidness as compact text, not merely as remedy.</w:t>
      </w:r>
      <w:r>
        <w:rPr>
          <w:rStyle w:val="FootnoteReference"/>
        </w:rPr>
        <w:footnoteReference w:id="641"/>
      </w:r>
      <w:r>
        <w:t xml:space="preserve"> </w:t>
      </w:r>
      <w:r>
        <w:t xml:space="preserve">State courts have enforced the analogous rule under their own frameworks: Oregon’s early swamp-lands decision held deeds issued in violation of statutorily required procedures void.</w:t>
      </w:r>
      <w:r>
        <w:rPr>
          <w:rStyle w:val="FootnoteReference"/>
        </w:rPr>
        <w:footnoteReference w:id="642"/>
      </w:r>
    </w:p>
    <w:p>
      <w:pPr>
        <w:pStyle w:val="BodyText"/>
      </w:pPr>
      <w:r>
        <w:rPr>
          <w:b/>
        </w:rPr>
        <w:t xml:space="preserve">Unwinding.</w:t>
      </w:r>
      <w:r>
        <w:t xml:space="preserve"> </w:t>
      </w:r>
      <w:r>
        <w:t xml:space="preserve">New Mexico supplies the leading modern decree: land exchanges structured to bypass the public-auction and highest-bidder requirements were held to violate the Enabling Act, and the court ordered mandamus relief cancelling or unwinding the transactions.</w:t>
      </w:r>
      <w:r>
        <w:rPr>
          <w:rStyle w:val="FootnoteReference"/>
        </w:rPr>
        <w:footnoteReference w:id="643"/>
      </w:r>
      <w:r>
        <w:t xml:space="preserve"> </w:t>
      </w:r>
      <w:r>
        <w:t xml:space="preserve">Nebraska’s</w:t>
      </w:r>
      <w:r>
        <w:t xml:space="preserve"> </w:t>
      </w:r>
      <w:r>
        <w:rPr>
          <w:i/>
        </w:rPr>
        <w:t xml:space="preserve">Propst</w:t>
      </w:r>
      <w:r>
        <w:t xml:space="preserve"> </w:t>
      </w:r>
      <w:r>
        <w:t xml:space="preserve">shows the administrative side of the same operation — after</w:t>
      </w:r>
      <w:r>
        <w:t xml:space="preserve"> </w:t>
      </w:r>
      <w:r>
        <w:rPr>
          <w:i/>
        </w:rPr>
        <w:t xml:space="preserve">Ebke</w:t>
      </w:r>
      <w:r>
        <w:t xml:space="preserve"> </w:t>
      </w:r>
      <w:r>
        <w:t xml:space="preserve">invalidated the renewal-rights statute, the board treated the renewal leases as void and re-auctioned the sections, and the renewal holders’ suit to stop the auctions failed.</w:t>
      </w:r>
      <w:r>
        <w:rPr>
          <w:rStyle w:val="FootnoteReference"/>
        </w:rPr>
        <w:footnoteReference w:id="644"/>
      </w:r>
    </w:p>
    <w:p>
      <w:pPr>
        <w:pStyle w:val="BodyText"/>
      </w:pPr>
      <w:r>
        <w:rPr>
          <w:b/>
        </w:rPr>
        <w:t xml:space="preserve">Why third parties cannot block the unwinding.</w:t>
      </w:r>
      <w:r>
        <w:t xml:space="preserve"> </w:t>
      </w:r>
      <w:r>
        <w:t xml:space="preserve">The third-party-notice rule does the quiet work here:</w:t>
      </w:r>
      <w:r>
        <w:t xml:space="preserve"> </w:t>
      </w:r>
      <w:r>
        <w:t xml:space="preserve">“</w:t>
      </w:r>
      <w:r>
        <w:t xml:space="preserve">[a]nyone dealing with the school lands must do so with knowledge of and subject to the trust obligation of the state.</w:t>
      </w:r>
      <w:r>
        <w:t xml:space="preserve">”</w:t>
      </w:r>
      <w:r>
        <w:rPr>
          <w:rStyle w:val="FootnoteReference"/>
        </w:rPr>
        <w:footnoteReference w:id="645"/>
      </w:r>
      <w:r>
        <w:t xml:space="preserve"> </w:t>
      </w:r>
      <w:r>
        <w:t xml:space="preserve">Because the trust limitation travels with the land, a counterparty cannot interpose good-faith reliance, and the equities that ordinarily protect completed transactions do not accrue. Recharacterizing the transaction’s form — exchange for sale, transfer for disposition, condemnation for purchase — does not defeat the remedy, because the safeguards attach to the substance (Chapter 9).</w:t>
      </w:r>
      <w:r>
        <w:rPr>
          <w:rStyle w:val="FootnoteReference"/>
        </w:rPr>
        <w:footnoteReference w:id="646"/>
      </w:r>
    </w:p>
    <w:p>
      <w:pPr>
        <w:pStyle w:val="Heading3"/>
      </w:pPr>
      <w:bookmarkStart w:id="647" w:name="Xbc656680ee7fd88246727a79602929b1fee70ba"/>
      <w:r>
        <w:t xml:space="preserve">§ 18.4 Compensation and restoration to the corpus</w:t>
      </w:r>
      <w:bookmarkEnd w:id="647"/>
    </w:p>
    <w:p>
      <w:pPr>
        <w:pStyle w:val="FirstParagraph"/>
      </w:pPr>
      <w:r>
        <w:t xml:space="preserve">Where the breaching transfer cannot or should not be undone — the highway is built, the park is open — the remedy is restoration: payment of full value into the trust.</w:t>
      </w:r>
    </w:p>
    <w:p>
      <w:pPr>
        <w:pStyle w:val="BodyText"/>
      </w:pPr>
      <w:r>
        <w:t xml:space="preserve">The lead case is federal.</w:t>
      </w:r>
      <w:r>
        <w:t xml:space="preserve"> </w:t>
      </w:r>
      <w:r>
        <w:rPr>
          <w:i/>
        </w:rPr>
        <w:t xml:space="preserve">Lassen</w:t>
      </w:r>
      <w:r>
        <w:t xml:space="preserve"> </w:t>
      </w:r>
      <w:r>
        <w:t xml:space="preserve">required Arizona to compensate the trust at full appraised value for rights-of-way its own highway department took, rejecting the contention that intra-governmental transfers carry no trust consequences.</w:t>
      </w:r>
      <w:r>
        <w:rPr>
          <w:rStyle w:val="FootnoteReference"/>
        </w:rPr>
        <w:footnoteReference w:id="648"/>
      </w:r>
      <w:r>
        <w:t xml:space="preserve"> </w:t>
      </w:r>
      <w:r>
        <w:t xml:space="preserve">The state courts have applied the restoration principle across the field’s recurring configurations: South Dakota held the legislative transfer of trust property to another state agency</w:t>
      </w:r>
      <w:r>
        <w:t xml:space="preserve"> </w:t>
      </w:r>
      <w:r>
        <w:t xml:space="preserve">“</w:t>
      </w:r>
      <w:r>
        <w:t xml:space="preserve">without compensating or reimbursing the trust fund for the full market value of the transferred property</w:t>
      </w:r>
      <w:r>
        <w:t xml:space="preserve">”</w:t>
      </w:r>
      <w:r>
        <w:t xml:space="preserve"> </w:t>
      </w:r>
      <w:r>
        <w:t xml:space="preserve">unconstitutional and in violation of the Enabling Act; New Mexico required its highway commission to pay for rights-of-way, disapproving contrary attorney general opinions; Alaska held the uncompensated inclusion of trust land in a state park</w:t>
      </w:r>
      <w:r>
        <w:t xml:space="preserve"> </w:t>
      </w:r>
      <w:r>
        <w:t xml:space="preserve">“</w:t>
      </w:r>
      <w:r>
        <w:t xml:space="preserve">a breach of a federal trust</w:t>
      </w:r>
      <w:r>
        <w:t xml:space="preserve">”</w:t>
      </w:r>
      <w:r>
        <w:t xml:space="preserve">; Montana extended the compensation duty to appurtenant water rights; Utah held that deviation from income-maximizing management requires compensation to the trust; Mississippi benchmarked lease consideration to</w:t>
      </w:r>
      <w:r>
        <w:t xml:space="preserve"> </w:t>
      </w:r>
      <w:r>
        <w:t xml:space="preserve">“</w:t>
      </w:r>
      <w:r>
        <w:t xml:space="preserve">the reasonable market value of the leased land.</w:t>
      </w:r>
      <w:r>
        <w:t xml:space="preserve">”</w:t>
      </w:r>
      <w:r>
        <w:rPr>
          <w:rStyle w:val="FootnoteReference"/>
        </w:rPr>
        <w:footnoteReference w:id="649"/>
      </w:r>
    </w:p>
    <w:p>
      <w:pPr>
        <w:pStyle w:val="BodyText"/>
      </w:pPr>
      <w:r>
        <w:t xml:space="preserve">Two boundary observations. First, restoration runs to the</w:t>
      </w:r>
      <w:r>
        <w:t xml:space="preserve"> </w:t>
      </w:r>
      <w:r>
        <w:rPr>
          <w:i/>
        </w:rPr>
        <w:t xml:space="preserve">corpus</w:t>
      </w:r>
      <w:r>
        <w:t xml:space="preserve">, not to any plaintiff — the form of relief that answers the no-individualized-damages objection of § 17.3. Second, the corpus is thin on true</w:t>
      </w:r>
      <w:r>
        <w:t xml:space="preserve"> </w:t>
      </w:r>
      <w:r>
        <w:rPr>
          <w:i/>
        </w:rPr>
        <w:t xml:space="preserve">surcharge</w:t>
      </w:r>
      <w:r>
        <w:t xml:space="preserve"> </w:t>
      </w:r>
      <w:r>
        <w:t xml:space="preserve">— the personal liability of individual trustees for breach losses, a standard private-trust remedy. The verified files carry the proposition as a litigating position in the pending Oregon case (the cross-motion asks for a declaration that land-board members are personally answerable as fiduciaries) but no decided school-trust case in the corpus imposes personal liability on a constitutional trustee. [COUNSEL REVIEW — characterization of the 24CV38372 cross-motion from the filed public record.] The honest statement: surcharge is doctrinally available in principle wherever the courts have said the state-trustee bears</w:t>
      </w:r>
      <w:r>
        <w:t xml:space="preserve"> </w:t>
      </w:r>
      <w:r>
        <w:t xml:space="preserve">“</w:t>
      </w:r>
      <w:r>
        <w:t xml:space="preserve">the same fiduciary duties as any private trustee,</w:t>
      </w:r>
      <w:r>
        <w:t xml:space="preserve">”</w:t>
      </w:r>
      <w:r>
        <w:t xml:space="preserve"> </w:t>
      </w:r>
      <w:r>
        <w:t xml:space="preserve">but its application to ex officio constitutional trustees is untested in the verified corpus.</w:t>
      </w:r>
      <w:r>
        <w:rPr>
          <w:rStyle w:val="FootnoteReference"/>
        </w:rPr>
        <w:footnoteReference w:id="650"/>
      </w:r>
    </w:p>
    <w:p>
      <w:pPr>
        <w:pStyle w:val="Heading3"/>
      </w:pPr>
      <w:bookmarkStart w:id="651" w:name="equitable-accounting"/>
      <w:r>
        <w:t xml:space="preserve">§ 18.5 Equitable accounting</w:t>
      </w:r>
      <w:bookmarkEnd w:id="651"/>
    </w:p>
    <w:p>
      <w:pPr>
        <w:pStyle w:val="FirstParagraph"/>
      </w:pPr>
      <w:r>
        <w:t xml:space="preserve">The accounting remedy is treated at length in Chapter 12; this section places it in the remedial scheme. Its doctrinal root in the field’s deepest corpus is</w:t>
      </w:r>
      <w:r>
        <w:t xml:space="preserve"> </w:t>
      </w:r>
      <w:r>
        <w:rPr>
          <w:i/>
        </w:rPr>
        <w:t xml:space="preserve">Wood v. Honeyman</w:t>
      </w:r>
      <w:r>
        <w:t xml:space="preserve">’s general trust holding that a trustee</w:t>
      </w:r>
      <w:r>
        <w:t xml:space="preserve"> </w:t>
      </w:r>
      <w:r>
        <w:t xml:space="preserve">“</w:t>
      </w:r>
      <w:r>
        <w:t xml:space="preserve">must maintain records of his transactions so complete and accurate that he can show by them his faithfulness to his trust,</w:t>
      </w:r>
      <w:r>
        <w:t xml:space="preserve">”</w:t>
      </w:r>
      <w:r>
        <w:t xml:space="preserve"> </w:t>
      </w:r>
      <w:r>
        <w:t xml:space="preserve">with the burden consequence — in the treatise language the court quoted with approval — that a trustee</w:t>
      </w:r>
      <w:r>
        <w:t xml:space="preserve"> </w:t>
      </w:r>
      <w:r>
        <w:t xml:space="preserve">“</w:t>
      </w:r>
      <w:r>
        <w:t xml:space="preserve">is bound to keep clear and accurate accounts, and if he does not the presumptions are all against him, obscurities and doubts being resolved adversely to him.</w:t>
      </w:r>
      <w:r>
        <w:t xml:space="preserve">”</w:t>
      </w:r>
      <w:r>
        <w:rPr>
          <w:rStyle w:val="FootnoteReference"/>
        </w:rPr>
        <w:footnoteReference w:id="652"/>
      </w:r>
      <w:r>
        <w:t xml:space="preserve"> </w:t>
      </w:r>
      <w:r>
        <w:t xml:space="preserve">As a remedy, the accounting is independent of damages: it establishes a formal, binding record of the trustee’s administration, and the classical treatise authority treats it as part of fiduciary supervision rather than as a damages-quantification device.</w:t>
      </w:r>
      <w:r>
        <w:rPr>
          <w:rStyle w:val="FootnoteReference"/>
        </w:rPr>
        <w:footnoteReference w:id="653"/>
      </w:r>
      <w:r>
        <w:t xml:space="preserve"> </w:t>
      </w:r>
      <w:r>
        <w:t xml:space="preserve">The defense position — that discovery obviates the accounting and that no accounting lies without amounts owed — is built on private-party authority and is stated, with its answers, at §§ 17.3 and 12.4.</w:t>
      </w:r>
      <w:r>
        <w:rPr>
          <w:rStyle w:val="FootnoteReference"/>
        </w:rPr>
        <w:footnoteReference w:id="654"/>
      </w:r>
      <w:r>
        <w:t xml:space="preserve"> </w:t>
      </w:r>
      <w:r>
        <w:t xml:space="preserve">The remedial point worth isolating here: because the burden-shifting consequence of inadequate records is itself part of the remedy, an accounting decree can succeed where a damages theory would fail for proof — the very inadequacy of the trustee’s records becomes the beneficiaries’ evidence.</w:t>
      </w:r>
    </w:p>
    <w:p>
      <w:pPr>
        <w:pStyle w:val="Heading3"/>
      </w:pPr>
      <w:bookmarkStart w:id="655" w:name="X96b9f61f069a971d4a027628936ea691e0ab441"/>
      <w:r>
        <w:t xml:space="preserve">§ 18.6 Injunctive and declaratory relief; fee-shifting</w:t>
      </w:r>
      <w:bookmarkEnd w:id="655"/>
    </w:p>
    <w:p>
      <w:pPr>
        <w:pStyle w:val="FirstParagraph"/>
      </w:pPr>
      <w:r>
        <w:rPr>
          <w:b/>
        </w:rPr>
        <w:t xml:space="preserve">Injunction.</w:t>
      </w:r>
      <w:r>
        <w:t xml:space="preserve"> </w:t>
      </w:r>
      <w:r>
        <w:t xml:space="preserve">The equity decree operates in both directions in the decided cases: it has been</w:t>
      </w:r>
      <w:r>
        <w:t xml:space="preserve"> </w:t>
      </w:r>
      <w:r>
        <w:rPr>
          <w:i/>
        </w:rPr>
        <w:t xml:space="preserve">denied</w:t>
      </w:r>
      <w:r>
        <w:t xml:space="preserve"> </w:t>
      </w:r>
      <w:r>
        <w:t xml:space="preserve">to parties seeking to preserve interests created by void statutes (</w:t>
      </w:r>
      <w:r>
        <w:rPr>
          <w:i/>
        </w:rPr>
        <w:t xml:space="preserve">Propst</w:t>
      </w:r>
      <w:r>
        <w:t xml:space="preserve"> </w:t>
      </w:r>
      <w:r>
        <w:t xml:space="preserve">— the renewal holders could not enjoin re-auction of the sections), and the threat of it polices ongoing administration once a breach is declared.</w:t>
      </w:r>
      <w:r>
        <w:rPr>
          <w:rStyle w:val="FootnoteReference"/>
        </w:rPr>
        <w:footnoteReference w:id="656"/>
      </w:r>
      <w:r>
        <w:t xml:space="preserve"> </w:t>
      </w:r>
      <w:r>
        <w:t xml:space="preserve">The corpus contains no decision refusing injunctive relief against a state trustee on the ground that equity will not run against the sovereign in this field; the immunity questions are treated in Chapter 17.</w:t>
      </w:r>
    </w:p>
    <w:p>
      <w:pPr>
        <w:pStyle w:val="BodyText"/>
      </w:pPr>
      <w:r>
        <w:rPr>
          <w:b/>
        </w:rPr>
        <w:t xml:space="preserve">Declaration.</w:t>
      </w:r>
      <w:r>
        <w:t xml:space="preserve"> </w:t>
      </w:r>
      <w:r>
        <w:t xml:space="preserve">The declaratory judgment is the workhorse: nearly every modern case in this volume arrived as a declaratory action, and the courts’ obligation to enter appropriate declarations once a justiciable controversy is presented (§ 16.5) makes the form available even where coercive relief is premature.</w:t>
      </w:r>
      <w:r>
        <w:t xml:space="preserve"> </w:t>
      </w:r>
      <w:r>
        <w:rPr>
          <w:i/>
        </w:rPr>
        <w:t xml:space="preserve">Pendleton</w:t>
      </w:r>
      <w:r>
        <w:t xml:space="preserve"> </w:t>
      </w:r>
      <w:r>
        <w:t xml:space="preserve">shows its reach — a declaration of constitutional noncompliance entered against the legislature itself.</w:t>
      </w:r>
      <w:r>
        <w:rPr>
          <w:rStyle w:val="FootnoteReference"/>
        </w:rPr>
        <w:footnoteReference w:id="657"/>
      </w:r>
    </w:p>
    <w:p>
      <w:pPr>
        <w:pStyle w:val="BodyText"/>
      </w:pPr>
      <w:r>
        <w:rPr>
          <w:b/>
        </w:rPr>
        <w:t xml:space="preserve">Fee-shifting.</w:t>
      </w:r>
      <w:r>
        <w:t xml:space="preserve"> </w:t>
      </w:r>
      <w:r>
        <w:t xml:space="preserve">Montana adopted the private-attorney-general doctrine in the school-trust context, awarding fees to the citizen plaintiffs whose suit struck the four diversion statutes and the below-market rental policy — the one decided answer in the corpus to the structural problem that trust enforcement otherwise depends on uncompensated private vigilance (Chapters 13 and 20).</w:t>
      </w:r>
      <w:r>
        <w:rPr>
          <w:rStyle w:val="FootnoteReference"/>
        </w:rPr>
        <w:footnoteReference w:id="658"/>
      </w:r>
    </w:p>
    <w:p>
      <w:pPr>
        <w:pStyle w:val="Heading3"/>
      </w:pPr>
      <w:bookmarkStart w:id="659" w:name="the-limits-of-the-remedial-arsenal"/>
      <w:r>
        <w:t xml:space="preserve">§ 18.7 The limits of the remedial arsenal</w:t>
      </w:r>
      <w:bookmarkEnd w:id="659"/>
    </w:p>
    <w:p>
      <w:pPr>
        <w:pStyle w:val="FirstParagraph"/>
      </w:pPr>
      <w:r>
        <w:t xml:space="preserve">Three limits keep the inventory honest.</w:t>
      </w:r>
    </w:p>
    <w:p>
      <w:pPr>
        <w:pStyle w:val="BodyText"/>
      </w:pPr>
      <w:r>
        <w:rPr>
          <w:b/>
        </w:rPr>
        <w:t xml:space="preserve">The trustee cannot be removed.</w:t>
      </w:r>
      <w:r>
        <w:t xml:space="preserve"> </w:t>
      </w:r>
      <w:r>
        <w:t xml:space="preserve">Private trust law’s ultimate remedy — removal and replacement of the trustee — is unavailable where the trustee is established by the constitution itself. An ex officio constitutional land board or an elected constitutional commissioner holds office by organic law; no statute, and no decree enforcing trust standards, can reconstitute it. The proposition in the corpus is structural rather than case-stated: where states have changed the trustee, they have done it by constitutional amendment — Colorado’s 1996 Amendment 16, restructured board and all, sustained against compact challenge in</w:t>
      </w:r>
      <w:r>
        <w:t xml:space="preserve"> </w:t>
      </w:r>
      <w:r>
        <w:rPr>
          <w:i/>
        </w:rPr>
        <w:t xml:space="preserve">Branson</w:t>
      </w:r>
      <w:r>
        <w:t xml:space="preserve"> </w:t>
      </w:r>
      <w:r>
        <w:t xml:space="preserve">— and where the change touches the compact’s terms, congressional consent has been obtained, as in New Mexico’s 2022 beneficiary amendment.</w:t>
      </w:r>
      <w:r>
        <w:rPr>
          <w:rStyle w:val="FootnoteReference"/>
        </w:rPr>
        <w:footnoteReference w:id="660"/>
      </w:r>
      <w:r>
        <w:t xml:space="preserve"> </w:t>
      </w:r>
      <w:r>
        <w:t xml:space="preserve">The remedial consequence is the shape of this whole Part: school-trust enforcement is conduct-correction and asset-restoration, never trustee-replacement. (The converse limit also holds: the</w:t>
      </w:r>
      <w:r>
        <w:t xml:space="preserve"> </w:t>
      </w:r>
      <w:r>
        <w:rPr>
          <w:i/>
        </w:rPr>
        <w:t xml:space="preserve">state</w:t>
      </w:r>
      <w:r>
        <w:t xml:space="preserve"> </w:t>
      </w:r>
      <w:r>
        <w:t xml:space="preserve">cannot dissolve the trusteeship either, by absorbing the trust’s function into general government —</w:t>
      </w:r>
      <w:r>
        <w:t xml:space="preserve"> </w:t>
      </w:r>
      <w:r>
        <w:t xml:space="preserve">“</w:t>
      </w:r>
      <w:r>
        <w:t xml:space="preserve">without trust property there can be no trust.</w:t>
      </w:r>
      <w:r>
        <w:t xml:space="preserve">”</w:t>
      </w:r>
      <w:r>
        <w:rPr>
          <w:rStyle w:val="FootnoteReference"/>
        </w:rPr>
        <w:footnoteReference w:id="661"/>
      </w:r>
      <w:r>
        <w:t xml:space="preserve">)</w:t>
      </w:r>
    </w:p>
    <w:p>
      <w:pPr>
        <w:pStyle w:val="BodyText"/>
      </w:pPr>
      <w:r>
        <w:rPr>
          <w:b/>
        </w:rPr>
        <w:t xml:space="preserve">The treasury is reached only through invalidation and restoration, not command.</w:t>
      </w:r>
      <w:r>
        <w:t xml:space="preserve"> </w:t>
      </w:r>
      <w:r>
        <w:t xml:space="preserve">The appropriations doctrine (§ 17.2) means a court will not order money drawn from the treasury except as appropriated; the decided remedies respect the line by voiding diversions and requiring restoration of trust assets rather than commanding general-fund payments.</w:t>
      </w:r>
      <w:r>
        <w:rPr>
          <w:rStyle w:val="FootnoteReference"/>
        </w:rPr>
        <w:footnoteReference w:id="662"/>
      </w:r>
    </w:p>
    <w:p>
      <w:pPr>
        <w:pStyle w:val="BodyText"/>
      </w:pPr>
      <w:r>
        <w:rPr>
          <w:b/>
        </w:rPr>
        <w:t xml:space="preserve">The merits boundary remains.</w:t>
      </w:r>
      <w:r>
        <w:t xml:space="preserve"> </w:t>
      </w:r>
      <w:r>
        <w:t xml:space="preserve">Remedies presuppose breach, and the legislative-discretion cases (§ 4.7; § 16.4(d)) mean that much management a beneficiary dislikes is not breach.</w:t>
      </w:r>
      <w:r>
        <w:t xml:space="preserve"> </w:t>
      </w:r>
      <w:r>
        <w:rPr>
          <w:i/>
        </w:rPr>
        <w:t xml:space="preserve">Darkenwald</w:t>
      </w:r>
      <w:r>
        <w:t xml:space="preserve"> </w:t>
      </w:r>
      <w:r>
        <w:t xml:space="preserve">sustained a commingling-with-reconciliation statute;</w:t>
      </w:r>
      <w:r>
        <w:t xml:space="preserve"> </w:t>
      </w:r>
      <w:r>
        <w:rPr>
          <w:i/>
        </w:rPr>
        <w:t xml:space="preserve">Cascadia</w:t>
      </w:r>
      <w:r>
        <w:t xml:space="preserve"> </w:t>
      </w:r>
      <w:r>
        <w:t xml:space="preserve">sustained a withdrawal statute;</w:t>
      </w:r>
      <w:r>
        <w:t xml:space="preserve"> </w:t>
      </w:r>
      <w:r>
        <w:rPr>
          <w:i/>
        </w:rPr>
        <w:t xml:space="preserve">Branson</w:t>
      </w:r>
      <w:r>
        <w:t xml:space="preserve"> </w:t>
      </w:r>
      <w:r>
        <w:t xml:space="preserve">sustained structural reform. The remedial arsenal of this chapter is formidable precisely because the courts have confined it to actual violations of the instruments and the incorporated trust standards.</w:t>
      </w:r>
      <w:r>
        <w:rPr>
          <w:rStyle w:val="FootnoteReference"/>
        </w:rPr>
        <w:footnoteReference w:id="663"/>
      </w:r>
    </w:p>
    <w:p>
      <w:pPr>
        <w:pStyle w:val="Heading3"/>
      </w:pPr>
      <w:bookmarkStart w:id="664" w:name="synthesis-13"/>
      <w:r>
        <w:t xml:space="preserve">§ 18.8 Synthesis</w:t>
      </w:r>
      <w:bookmarkEnd w:id="664"/>
    </w:p>
    <w:p>
      <w:pPr>
        <w:numPr>
          <w:ilvl w:val="0"/>
          <w:numId w:val="1017"/>
        </w:numPr>
      </w:pPr>
      <w:r>
        <w:rPr>
          <w:b/>
        </w:rPr>
        <w:t xml:space="preserve">Nullity is the field’s signature remedy:</w:t>
      </w:r>
      <w:r>
        <w:t xml:space="preserve"> </w:t>
      </w:r>
      <w:r>
        <w:t xml:space="preserve">statutes authorizing breach are void — in the incorporation states as constitutional law, and under the federal compacts as supremacy — and are</w:t>
      </w:r>
      <w:r>
        <w:t xml:space="preserve"> </w:t>
      </w:r>
      <w:r>
        <w:t xml:space="preserve">“</w:t>
      </w:r>
      <w:r>
        <w:t xml:space="preserve">incapable of creating any rights or obligations.</w:t>
      </w:r>
      <w:r>
        <w:t xml:space="preserve">”</w:t>
      </w:r>
      <w:r>
        <w:rPr>
          <w:rStyle w:val="FootnoteReference"/>
        </w:rPr>
        <w:footnoteReference w:id="665"/>
      </w:r>
    </w:p>
    <w:p>
      <w:pPr>
        <w:numPr>
          <w:ilvl w:val="0"/>
          <w:numId w:val="1017"/>
        </w:numPr>
      </w:pPr>
      <w:r>
        <w:rPr>
          <w:b/>
        </w:rPr>
        <w:t xml:space="preserve">Transactions follow statutes:</w:t>
      </w:r>
      <w:r>
        <w:t xml:space="preserve"> </w:t>
      </w:r>
      <w:r>
        <w:t xml:space="preserve">nonconforming dispositions are void or unwindable, recharacterization of form does not save them, and third parties take with notice and cannot interpose reliance.</w:t>
      </w:r>
    </w:p>
    <w:p>
      <w:pPr>
        <w:numPr>
          <w:ilvl w:val="0"/>
          <w:numId w:val="1017"/>
        </w:numPr>
      </w:pPr>
      <w:r>
        <w:rPr>
          <w:b/>
        </w:rPr>
        <w:t xml:space="preserve">Where unwinding is impractical, restoration of full value to the corpus is the rule,</w:t>
      </w:r>
      <w:r>
        <w:t xml:space="preserve"> </w:t>
      </w:r>
      <w:r>
        <w:t xml:space="preserve">including — especially — when the taker is the state itself.</w:t>
      </w:r>
      <w:r>
        <w:rPr>
          <w:rStyle w:val="FootnoteReference"/>
        </w:rPr>
        <w:footnoteReference w:id="666"/>
      </w:r>
    </w:p>
    <w:p>
      <w:pPr>
        <w:numPr>
          <w:ilvl w:val="0"/>
          <w:numId w:val="1017"/>
        </w:numPr>
      </w:pPr>
      <w:r>
        <w:rPr>
          <w:b/>
        </w:rPr>
        <w:t xml:space="preserve">The accounting is an independent equitable remedy</w:t>
      </w:r>
      <w:r>
        <w:t xml:space="preserve"> </w:t>
      </w:r>
      <w:r>
        <w:t xml:space="preserve">whose burden-shifting consequence makes it valuable precisely where records are poor.</w:t>
      </w:r>
    </w:p>
    <w:p>
      <w:pPr>
        <w:numPr>
          <w:ilvl w:val="0"/>
          <w:numId w:val="1017"/>
        </w:numPr>
      </w:pPr>
      <w:r>
        <w:rPr>
          <w:b/>
        </w:rPr>
        <w:t xml:space="preserve">Declaratory relief is the standard vehicle; injunctions police compliance; Montana adds fee-shifting</w:t>
      </w:r>
      <w:r>
        <w:t xml:space="preserve"> </w:t>
      </w:r>
      <w:r>
        <w:t xml:space="preserve">through the private-attorney-general doctrine.</w:t>
      </w:r>
    </w:p>
    <w:p>
      <w:pPr>
        <w:numPr>
          <w:ilvl w:val="0"/>
          <w:numId w:val="1017"/>
        </w:numPr>
      </w:pPr>
      <w:r>
        <w:rPr>
          <w:b/>
        </w:rPr>
        <w:t xml:space="preserve">The limits are structural:</w:t>
      </w:r>
      <w:r>
        <w:t xml:space="preserve"> </w:t>
      </w:r>
      <w:r>
        <w:t xml:space="preserve">no removal of constitutional trustees (reform runs through constitutional amendment, with congressional consent where the compact requires it); no judicial command of unappropriated treasury funds; and no remedy without breach — the legislative-discretion boundary holds at the remedial stage as at the merits.</w:t>
      </w:r>
      <w:r>
        <w:rPr>
          <w:rStyle w:val="FootnoteReference"/>
        </w:rPr>
        <w:footnoteReference w:id="667"/>
      </w:r>
    </w:p>
    <w:p>
      <w:r>
        <w:pict>
          <v:rect style="width:0;height:1.5pt" o:hralign="center" o:hrstd="t" o:hr="t"/>
        </w:pict>
      </w:r>
    </w:p>
    <w:p>
      <w:pPr>
        <w:pStyle w:val="FirstParagraph"/>
      </w:pPr>
      <w:r>
        <w:rPr>
          <w:i/>
        </w:rPr>
        <w:t xml:space="preserve">End of Chapter 18 v1 (formerly Chapter 17). Resolved 2026-06-07: Wood v. Honeyman full pull and pins (Register G-2); NPCA</w:t>
      </w:r>
      <w:r>
        <w:rPr>
          <w:i/>
        </w:rPr>
        <w:t xml:space="preserve"> </w:t>
      </w:r>
      <w:r>
        <w:rPr>
          <w:i/>
        </w:rPr>
        <w:t xml:space="preserve">“</w:t>
      </w:r>
      <w:r>
        <w:rPr>
          <w:i/>
        </w:rPr>
        <w:t xml:space="preserve">suspect on its face</w:t>
      </w:r>
      <w:r>
        <w:rPr>
          <w:i/>
        </w:rPr>
        <w:t xml:space="preserve">”</w:t>
      </w:r>
      <w:r>
        <w:rPr>
          <w:i/>
        </w:rPr>
        <w:t xml:space="preserve"> </w:t>
      </w:r>
      <w:r>
        <w:rPr>
          <w:i/>
        </w:rPr>
        <w:t xml:space="preserve">verified and pinned at 869 P.2d 909, 922 (Utah 1993); the orphaned synthesis footnote of v0 replaced with per-item notes in § 18.8. Remaining verification queue: Warner Valley full pull; surcharge accord-case hunt; trustee-removal accord-case hunt; fee-shifting accord cases; Restatement section-range characterization; cross-reference numbers to Chapters 3, 9, and 12 as renumbered; status of 24CV38372 at publication.</w:t>
      </w:r>
    </w:p>
    <w:p>
      <w:r>
        <w:br w:type="page"/>
      </w:r>
    </w:p>
    <w:p>
      <w:pPr>
        <w:pStyle w:val="Heading1"/>
      </w:pPr>
      <w:bookmarkStart w:id="668" w:name="Xfd0626079f5e3a9c7c21f854b7341718c143d3a"/>
      <w:r>
        <w:t xml:space="preserve">Chapter 19 — Structural Reform in the States (v1)</w:t>
      </w:r>
      <w:bookmarkEnd w:id="668"/>
    </w:p>
    <w:p>
      <w:pPr>
        <w:pStyle w:val="Heading3"/>
      </w:pPr>
      <w:bookmarkStart w:id="669" w:name="part-viii-the-modern-reform-landscape"/>
      <w:r>
        <w:t xml:space="preserve">Part VIII — The Modern Reform Landscape</w:t>
      </w:r>
      <w:bookmarkEnd w:id="669"/>
    </w:p>
    <w:p>
      <w:pPr>
        <w:pStyle w:val="FirstParagraph"/>
      </w:pPr>
      <w:r>
        <w:rPr>
          <w:i/>
        </w:rPr>
        <w:t xml:space="preserve">Status: v1 — renumbered (formerly Chapter 18) and converted to named citation keys under</w:t>
      </w:r>
      <w:r>
        <w:rPr>
          <w:i/>
        </w:rPr>
        <w:t xml:space="preserve"> </w:t>
      </w:r>
      <w:r>
        <w:rPr>
          <w:rStyle w:val="VerbatimChar"/>
          <w:i/>
        </w:rPr>
        <w:t xml:space="preserve">_tools/CITATION_STANDARD.md</w:t>
      </w:r>
      <w:r>
        <w:rPr>
          <w:i/>
        </w:rPr>
        <w:t xml:space="preserve"> </w:t>
      </w:r>
      <w:r>
        <w:rPr>
          <w:i/>
        </w:rPr>
        <w:t xml:space="preserve">in the 2026-06-07 citation pass. The factual spine of this chapter, which v0 cited to the project’s own state dossiers, now rests on verified primary and public sources (statutes, treasurer and investment-council reports, contemporaneous news coverage); where no primary has yet been found behind a dossier claim, the claim carries a [NEEDS-SOURCE] flag rather than a dossier citation. [VERIFY] flags mark items awaiting primary-source confirmation under quality gate G3. Passages touching matters at issue in pending Oregon litigation are flagged [COUNSEL REVIEW].</w:t>
      </w:r>
    </w:p>
    <w:p>
      <w:r>
        <w:pict>
          <v:rect style="width:0;height:1.5pt" o:hralign="center" o:hrstd="t" o:hr="t"/>
        </w:pict>
      </w:r>
    </w:p>
    <w:p>
      <w:pPr>
        <w:pStyle w:val="Heading3"/>
      </w:pPr>
      <w:bookmarkStart w:id="670" w:name="the-reform-question-stated"/>
      <w:r>
        <w:t xml:space="preserve">§ 19.1 The reform question stated</w:t>
      </w:r>
      <w:bookmarkEnd w:id="670"/>
    </w:p>
    <w:p>
      <w:pPr>
        <w:pStyle w:val="FirstParagraph"/>
      </w:pPr>
      <w:r>
        <w:t xml:space="preserve">The doctrinal chapters of this volume describe the duties the school-trust grants impose and the case law enforcing them. This Part describes something different: what the states have</w:t>
      </w:r>
      <w:r>
        <w:t xml:space="preserve"> </w:t>
      </w:r>
      <w:r>
        <w:rPr>
          <w:i/>
        </w:rPr>
        <w:t xml:space="preserve">done</w:t>
      </w:r>
      <w:r>
        <w:t xml:space="preserve">, structurally, in response — and what those responses have and have not accomplished. The practitioner needs both. A duty chapter tells her what a court can be asked to hold; a reform chapter tells her what the legislature or the electorate can be asked to build, and what has already been tested.</w:t>
      </w:r>
    </w:p>
    <w:p>
      <w:pPr>
        <w:pStyle w:val="BodyText"/>
      </w:pPr>
      <w:r>
        <w:t xml:space="preserve">Three structural strategies recur. The first is</w:t>
      </w:r>
      <w:r>
        <w:t xml:space="preserve"> </w:t>
      </w:r>
      <w:r>
        <w:rPr>
          <w:b/>
        </w:rPr>
        <w:t xml:space="preserve">administrative redesign</w:t>
      </w:r>
      <w:r>
        <w:t xml:space="preserve">: removing trust administration from the general machinery of state government and giving it to a body with a single fiduciary mandate, so that the divided-loyalty problem catalogued in Chapter 6 is addressed by institutional architecture rather than case-by-case litigation. Utah is the exemplar (§ 19.2). The second is</w:t>
      </w:r>
      <w:r>
        <w:t xml:space="preserve"> </w:t>
      </w:r>
      <w:r>
        <w:rPr>
          <w:b/>
        </w:rPr>
        <w:t xml:space="preserve">constitutional revision</w:t>
      </w:r>
      <w:r>
        <w:t xml:space="preserve">: rewriting the trustee’s mandate in the state’s organic law, which raises the question — answered in the federal courts — of how far a state may redesign its own trusteeship without breaching the compact that created it. Colorado is the test case (§ 19.3). The third is</w:t>
      </w:r>
      <w:r>
        <w:t xml:space="preserve"> </w:t>
      </w:r>
      <w:r>
        <w:rPr>
          <w:b/>
        </w:rPr>
        <w:t xml:space="preserve">enforcement-machinery reform</w:t>
      </w:r>
      <w:r>
        <w:t xml:space="preserve">: supplying the standing, accounting, independent-enforcement, and remedy provisions whose absence the earlier chapters document. No state has yet enacted that third layer; the model act proposing it is the subject of Chapter 20.</w:t>
      </w:r>
    </w:p>
    <w:p>
      <w:pPr>
        <w:pStyle w:val="BodyText"/>
      </w:pPr>
      <w:r>
        <w:t xml:space="preserve">All three strategies operate within a fixed boundary. The granting arrangements are compacts,</w:t>
      </w:r>
      <w:r>
        <w:t xml:space="preserve"> </w:t>
      </w:r>
      <w:r>
        <w:t xml:space="preserve">“</w:t>
      </w:r>
      <w:r>
        <w:t xml:space="preserve">unalterable except by consent</w:t>
      </w:r>
      <w:r>
        <w:t xml:space="preserve">”</w:t>
      </w:r>
      <w:r>
        <w:t xml:space="preserve"> </w:t>
      </w:r>
      <w:r>
        <w:t xml:space="preserve">of both parties,</w:t>
      </w:r>
      <w:r>
        <w:rPr>
          <w:rStyle w:val="FootnoteReference"/>
        </w:rPr>
        <w:footnoteReference w:id="671"/>
      </w:r>
      <w:r>
        <w:rPr>
          <w:rStyle w:val="FootnoteReference"/>
        </w:rPr>
        <w:footnoteReference w:id="672"/>
      </w:r>
      <w:r>
        <w:t xml:space="preserve"> </w:t>
      </w:r>
      <w:r>
        <w:t xml:space="preserve">so reform may reorganize the trustee but may not diminish the trust. The federal courts have located the line: structural change that can be reconciled with the trust obligation is permissible; diversion of trust corpus or subordination of the beneficiaries is not.</w:t>
      </w:r>
      <w:r>
        <w:rPr>
          <w:rStyle w:val="FootnoteReference"/>
        </w:rPr>
        <w:footnoteReference w:id="673"/>
      </w:r>
      <w:r>
        <w:rPr>
          <w:rStyle w:val="FootnoteReference"/>
        </w:rPr>
        <w:footnoteReference w:id="674"/>
      </w:r>
    </w:p>
    <w:p>
      <w:pPr>
        <w:pStyle w:val="Heading3"/>
      </w:pPr>
      <w:bookmarkStart w:id="675" w:name="X69785d33ab1b7df2ba72eb4ff240dd7a0793492"/>
      <w:r>
        <w:t xml:space="preserve">§ 19.2 The Utah model: single-mandate administration</w:t>
      </w:r>
      <w:bookmarkEnd w:id="675"/>
    </w:p>
    <w:p>
      <w:pPr>
        <w:pStyle w:val="FirstParagraph"/>
      </w:pPr>
      <w:r>
        <w:t xml:space="preserve">Utah’s reform is the field’s standard reference, and its sequence repays attention: litigation first, architecture second. Through the 1980s and early 1990s the Utah Supreme Court built the strictest state-court articulation of the trustee’s duties — no waiver of the beneficiaries’ rights by the State’s prior acceptance of underpayment, no estoppel against the State on trust lands, no statute of limitations against claims of this character,</w:t>
      </w:r>
      <w:r>
        <w:rPr>
          <w:rStyle w:val="FootnoteReference"/>
        </w:rPr>
        <w:footnoteReference w:id="676"/>
      </w:r>
      <w:r>
        <w:rPr>
          <w:rStyle w:val="FootnoteReference"/>
        </w:rPr>
        <w:footnoteReference w:id="677"/>
      </w:r>
      <w:r>
        <w:t xml:space="preserve"> </w:t>
      </w:r>
      <w:r>
        <w:t xml:space="preserve">and, three years later, the rule that an appraisal submitted by a prospective purchaser is</w:t>
      </w:r>
      <w:r>
        <w:t xml:space="preserve"> </w:t>
      </w:r>
      <w:r>
        <w:t xml:space="preserve">“</w:t>
      </w:r>
      <w:r>
        <w:t xml:space="preserve">suspect on its face,</w:t>
      </w:r>
      <w:r>
        <w:t xml:space="preserve">”</w:t>
      </w:r>
      <w:r>
        <w:t xml:space="preserve"> </w:t>
      </w:r>
      <w:r>
        <w:t xml:space="preserve">that the trust binds the use of the land itself and not merely its proceeds, and that deviation from income maximization requires compensation to the trust.</w:t>
      </w:r>
      <w:r>
        <w:rPr>
          <w:rStyle w:val="FootnoteReference"/>
        </w:rPr>
        <w:footnoteReference w:id="678"/>
      </w:r>
      <w:r>
        <w:rPr>
          <w:rStyle w:val="FootnoteReference"/>
        </w:rPr>
        <w:footnoteReference w:id="679"/>
      </w:r>
    </w:p>
    <w:p>
      <w:pPr>
        <w:pStyle w:val="BodyText"/>
      </w:pPr>
      <w:r>
        <w:t xml:space="preserve">The reform followed in 1994. The School and Institutional Trust Lands Administration (SITLA) was established as a quasi-independent administrative agency with a single statutory mandate: maximize return to the trust beneficiaries, separated from the competing policy goals of general state government.</w:t>
      </w:r>
      <w:r>
        <w:rPr>
          <w:rStyle w:val="FootnoteReference"/>
        </w:rPr>
        <w:footnoteReference w:id="680"/>
      </w:r>
      <w:r>
        <w:t xml:space="preserve"> </w:t>
      </w:r>
      <w:r>
        <w:t xml:space="preserve">The design splits the trusteeship functionally: SITLA manages the lands; a separate School and Institutional Trust Fund Office (SITFO) manages the financial corpus; and the School LAND Trust Program distributes earnings to individual school communities, giving each beneficiary school a visible annual stake in trust performance.</w:t>
      </w:r>
      <w:r>
        <w:rPr>
          <w:rStyle w:val="FootnoteReference"/>
        </w:rPr>
        <w:footnoteReference w:id="681"/>
      </w:r>
      <w:r>
        <w:t xml:space="preserve"> </w:t>
      </w:r>
      <w:r>
        <w:t xml:space="preserve">The results are now a matter of public record: the permanent fund grew from about $50 million at the time of the 1994 reform to a record $3.3 billion [as of May 6, 2024] — a sixty-six-fold increase — and roughly $3.7 billion [as of Sept. 2025], with a record $111.3 million distributed to schools for the 2025–26 school year.</w:t>
      </w:r>
      <w:r>
        <w:rPr>
          <w:rStyle w:val="FootnoteReference"/>
        </w:rPr>
        <w:footnoteReference w:id="682"/>
      </w:r>
      <w:r>
        <w:t xml:space="preserve"> </w:t>
      </w:r>
      <w:r>
        <w:t xml:space="preserve">Those results are why this volume treats Utah throughout as the working model of disciplined fiduciary administration.</w:t>
      </w:r>
    </w:p>
    <w:p>
      <w:pPr>
        <w:pStyle w:val="BodyText"/>
      </w:pPr>
      <w:r>
        <w:t xml:space="preserve">The doctrinal point beneath the institutional story is the one Chapter 6 develops: divided loyalty is the characteristic failure mode of trust administration housed inside general government, and Utah’s answer was to remove the occasion for it. A land office that answers to a general-purpose executive must weigh the trust against parks, wildlife, budgets, and politics; an agency whose only mandate is the trust has nothing lawful to weigh against it. Whether single-mandate architecture is sufficient as well as necessary is the question § 19.5 takes up.</w:t>
      </w:r>
    </w:p>
    <w:p>
      <w:pPr>
        <w:pStyle w:val="Heading3"/>
      </w:pPr>
      <w:bookmarkStart w:id="683" w:name="Xd492b3b6a6e6df16d550c5dea2e08cc0ecbb93d"/>
      <w:r>
        <w:t xml:space="preserve">§ 19.3 Colorado: constitutional reform and its federal test</w:t>
      </w:r>
      <w:bookmarkEnd w:id="683"/>
    </w:p>
    <w:p>
      <w:pPr>
        <w:pStyle w:val="FirstParagraph"/>
      </w:pPr>
      <w:r>
        <w:t xml:space="preserve">Colorado supplies the field’s only federal-court adjudication of a school-trust reform itself. In 1996 the Colorado electorate adopted Amendment 16 by ballot initiative, redefining the State Board of Land Commissioners’ mandate and adding stewardship and long-term productivity duties to a regime that critics had attacked as unduly favorable to lessee interests [NEEDS-SOURCE — the pre-reform criticism is carried only in the project’s Colorado research files; a public account (contemporaneous press, ballot-measure analyses, or the</w:t>
      </w:r>
      <w:r>
        <w:t xml:space="preserve"> </w:t>
      </w:r>
      <w:r>
        <w:rPr>
          <w:i/>
        </w:rPr>
        <w:t xml:space="preserve">Branson</w:t>
      </w:r>
      <w:r>
        <w:t xml:space="preserve"> </w:t>
      </w:r>
      <w:r>
        <w:t xml:space="preserve">record) must replace it before publication].</w:t>
      </w:r>
      <w:r>
        <w:rPr>
          <w:rStyle w:val="FootnoteReference"/>
        </w:rPr>
        <w:footnoteReference w:id="684"/>
      </w:r>
      <w:r>
        <w:t xml:space="preserve"> </w:t>
      </w:r>
      <w:r>
        <w:t xml:space="preserve">School districts sued in federal court, contending that the amendment’s reforms violated the trust obligations of the Colorado Enabling Act of 1875 — that is, that the</w:t>
      </w:r>
      <w:r>
        <w:t xml:space="preserve"> </w:t>
      </w:r>
      <w:r>
        <w:rPr>
          <w:i/>
        </w:rPr>
        <w:t xml:space="preserve">reform</w:t>
      </w:r>
      <w:r>
        <w:t xml:space="preserve"> </w:t>
      </w:r>
      <w:r>
        <w:t xml:space="preserve">was the breach.</w:t>
      </w:r>
    </w:p>
    <w:p>
      <w:pPr>
        <w:pStyle w:val="BodyText"/>
      </w:pPr>
      <w:r>
        <w:t xml:space="preserve">The litigation produced the leading modern statement of the compact’s enforceability and of its limits. The district court and the Tenth Circuit held that the school-lands compact is an enforceable trust, not aspirational policy; that the Restatement of Trusts supplies the standards applicable to state trustees; that school districts have standing as beneficiaries to enforce it; and that Amendment 16, properly construed, could be reconciled with the trust duty and therefore survived.</w:t>
      </w:r>
      <w:r>
        <w:rPr>
          <w:rStyle w:val="FootnoteReference"/>
        </w:rPr>
        <w:footnoteReference w:id="685"/>
      </w:r>
      <w:r>
        <w:rPr>
          <w:rStyle w:val="FootnoteReference"/>
        </w:rPr>
        <w:footnoteReference w:id="686"/>
      </w:r>
      <w:r>
        <w:t xml:space="preserve"> </w:t>
      </w:r>
      <w:r>
        <w:rPr>
          <w:i/>
        </w:rPr>
        <w:t xml:space="preserve">Branson</w:t>
      </w:r>
      <w:r>
        <w:t xml:space="preserve"> </w:t>
      </w:r>
      <w:r>
        <w:t xml:space="preserve">is accordingly cited for both halves of its holding: against the state, for the proposition that the trust binds and beneficiaries may enforce it; for the state, for the proposition that genuine structural latitude remains. It stands as the field’s leading adjudication of where state-level reform of a school trust ends and impermissible diversion of trust corpus begins.</w:t>
      </w:r>
      <w:r>
        <w:rPr>
          <w:rStyle w:val="FootnoteReference"/>
        </w:rPr>
        <w:footnoteReference w:id="687"/>
      </w:r>
    </w:p>
    <w:p>
      <w:pPr>
        <w:pStyle w:val="BodyText"/>
      </w:pPr>
      <w:r>
        <w:t xml:space="preserve">Two practice lessons follow. First, constitutional reform is testable: a state cannot insulate a redesign from compact scrutiny by placing it in the state constitution, because the compact stands above state organic law (Chapter 15). Second, reform that strengthens stewardship and long-term productivity is</w:t>
      </w:r>
      <w:r>
        <w:t xml:space="preserve"> </w:t>
      </w:r>
      <w:r>
        <w:rPr>
          <w:i/>
        </w:rPr>
        <w:t xml:space="preserve">reconcilable</w:t>
      </w:r>
      <w:r>
        <w:t xml:space="preserve"> </w:t>
      </w:r>
      <w:r>
        <w:t xml:space="preserve">with the trust — Amendment 16 survived precisely because its new duties could be read in harmony with, rather than in subordination of, the beneficiaries’ interest. A reform drafted to divert — to redirect revenues, recharacterize assets, or cap the trust’s claim on its own corpus — would face the line of authority collected in § 4.6(a), under which statutes effecting a breach are void.</w:t>
      </w:r>
      <w:r>
        <w:rPr>
          <w:rStyle w:val="FootnoteReference"/>
        </w:rPr>
        <w:footnoteReference w:id="688"/>
      </w:r>
    </w:p>
    <w:p>
      <w:pPr>
        <w:pStyle w:val="Heading3"/>
      </w:pPr>
      <w:bookmarkStart w:id="689" w:name="X9e43bfd6ac65df03a22a3b6af7a6820e340f62b"/>
      <w:r>
        <w:t xml:space="preserve">§ 19.4 The New Mexico contrast: strong design, channeled enforcement</w:t>
      </w:r>
      <w:bookmarkEnd w:id="689"/>
    </w:p>
    <w:p>
      <w:pPr>
        <w:pStyle w:val="FirstParagraph"/>
      </w:pPr>
      <w:r>
        <w:t xml:space="preserve">New Mexico belongs in a reform chapter not because it reformed but because it never needed the first kind of reform: its protections were installed at the founding, and its modern experience isolates a different variable. The 1910 Enabling Act is the federal high-water mark — express</w:t>
      </w:r>
      <w:r>
        <w:t xml:space="preserve"> </w:t>
      </w:r>
      <w:r>
        <w:t xml:space="preserve">“</w:t>
      </w:r>
      <w:r>
        <w:t xml:space="preserve">in trust</w:t>
      </w:r>
      <w:r>
        <w:t xml:space="preserve">”</w:t>
      </w:r>
      <w:r>
        <w:t xml:space="preserve"> </w:t>
      </w:r>
      <w:r>
        <w:t xml:space="preserve">language, automatic nullity of non-conforming dispositions, the phrase</w:t>
      </w:r>
      <w:r>
        <w:t xml:space="preserve"> </w:t>
      </w:r>
      <w:r>
        <w:t xml:space="preserve">“</w:t>
      </w:r>
      <w:r>
        <w:t xml:space="preserve">breach of trust</w:t>
      </w:r>
      <w:r>
        <w:t xml:space="preserve">”</w:t>
      </w:r>
      <w:r>
        <w:t xml:space="preserve"> </w:t>
      </w:r>
      <w:r>
        <w:t xml:space="preserve">in the instrument itself, and United States enforcement authority.</w:t>
      </w:r>
      <w:r>
        <w:rPr>
          <w:rStyle w:val="FootnoteReference"/>
        </w:rPr>
        <w:footnoteReference w:id="690"/>
      </w:r>
      <w:r>
        <w:t xml:space="preserve"> </w:t>
      </w:r>
      <w:r>
        <w:t xml:space="preserve">The 1911 constitution added a design unique among the public-land states: the trust vested in a single statewide</w:t>
      </w:r>
      <w:r>
        <w:t xml:space="preserve"> </w:t>
      </w:r>
      <w:r>
        <w:rPr>
          <w:i/>
        </w:rPr>
        <w:t xml:space="preserve">elected</w:t>
      </w:r>
      <w:r>
        <w:t xml:space="preserve"> </w:t>
      </w:r>
      <w:r>
        <w:t xml:space="preserve">fiduciary, the Commissioner of Public Lands, with the permanent fund constitutionally separate and inviolate.</w:t>
      </w:r>
      <w:r>
        <w:rPr>
          <w:rStyle w:val="FootnoteReference"/>
        </w:rPr>
        <w:footnoteReference w:id="691"/>
      </w:r>
      <w:r>
        <w:t xml:space="preserve"> </w:t>
      </w:r>
      <w:r>
        <w:t xml:space="preserve">The administration that architecture produced is, on the public record, formidable: a Land Grant Permanent Fund of $32.97 billion at the end of calendar 2024 — approximately $37 billion [as of late 2025] — distributing roughly $1.34 billion to its named beneficiaries in fiscal 2024.</w:t>
      </w:r>
      <w:r>
        <w:rPr>
          <w:rStyle w:val="FootnoteReference"/>
        </w:rPr>
        <w:footnoteReference w:id="692"/>
      </w:r>
    </w:p>
    <w:p>
      <w:pPr>
        <w:pStyle w:val="BodyText"/>
      </w:pPr>
      <w:r>
        <w:t xml:space="preserve">Two features of the New Mexico experience matter for reform doctrine elsewhere. The first is the 2022 constitutional amendment adding early-childhood education as a distribution destination — adopted by the electorate</w:t>
      </w:r>
      <w:r>
        <w:t xml:space="preserve"> </w:t>
      </w:r>
      <w:r>
        <w:rPr>
          <w:i/>
        </w:rPr>
        <w:t xml:space="preserve">and</w:t>
      </w:r>
      <w:r>
        <w:t xml:space="preserve"> </w:t>
      </w:r>
      <w:r>
        <w:t xml:space="preserve">requiring congressional consent under the federal compact.</w:t>
      </w:r>
      <w:r>
        <w:rPr>
          <w:rStyle w:val="FootnoteReference"/>
        </w:rPr>
        <w:footnoteReference w:id="693"/>
      </w:r>
      <w:r>
        <w:t xml:space="preserve"> </w:t>
      </w:r>
      <w:r>
        <w:t xml:space="preserve">The consent requirement is the compact principle of § 19.1 operating in real time: more than a century after admission, a state seeking to redirect distributions from its school trust still needed the other party’s agreement. The second is the gap the strong design leaves open. New Mexico’s appellate courts channel trust enforcement to the attorney general under a charitable-trust framing, denying standing to conservation groups and to parents suing for schoolchildren-beneficiaries, over a separate opinion protesting that the majority</w:t>
      </w:r>
      <w:r>
        <w:t xml:space="preserve"> </w:t>
      </w:r>
      <w:r>
        <w:t xml:space="preserve">“</w:t>
      </w:r>
      <w:r>
        <w:t xml:space="preserve">applies our standing case law too cautiously and in the process essentially voids that provision of [the Enabling Act].</w:t>
      </w:r>
      <w:r>
        <w:t xml:space="preserve">”</w:t>
      </w:r>
      <w:r>
        <w:rPr>
          <w:rStyle w:val="FootnoteReference"/>
        </w:rPr>
        <w:footnoteReference w:id="694"/>
      </w:r>
      <w:r>
        <w:rPr>
          <w:rStyle w:val="FootnoteReference"/>
        </w:rPr>
        <w:footnoteReference w:id="695"/>
      </w:r>
      <w:r>
        <w:t xml:space="preserve"> </w:t>
      </w:r>
      <w:r>
        <w:t xml:space="preserve">A state can thus have the strongest instrument, the strongest fund, and disciplined administration, and still lack any enforcement path independent of the government being enforced against — the deficit Chapters 13 and 14 analyze and Chapter 20’s model act addresses.</w:t>
      </w:r>
    </w:p>
    <w:p>
      <w:pPr>
        <w:pStyle w:val="Heading3"/>
      </w:pPr>
      <w:bookmarkStart w:id="696" w:name="reforms-open-problems"/>
      <w:r>
        <w:t xml:space="preserve">§ 19.5 Reform’s open problems</w:t>
      </w:r>
      <w:bookmarkEnd w:id="696"/>
    </w:p>
    <w:p>
      <w:pPr>
        <w:pStyle w:val="FirstParagraph"/>
      </w:pPr>
      <w:r>
        <w:rPr>
          <w:b/>
        </w:rPr>
        <w:t xml:space="preserve">(a) Direct-sale statutes adopted within reformed systems.</w:t>
      </w:r>
      <w:r>
        <w:t xml:space="preserve"> </w:t>
      </w:r>
      <w:r>
        <w:t xml:space="preserve">The most instructive contemporary development is occurring inside the reform exemplar itself. Utah House Bill 262 (2024 General Session, signed March 12, 2024), codified at Utah Code § 53C-4-104, authorizes the Trust Lands Administration to sell contiguous blocks of more than 5,000 acres of trust land</w:t>
      </w:r>
      <w:r>
        <w:t xml:space="preserve"> </w:t>
      </w:r>
      <w:r>
        <w:rPr>
          <w:i/>
        </w:rPr>
        <w:t xml:space="preserve">directly to the Utah Department of Natural Resources without public auction</w:t>
      </w:r>
      <w:r>
        <w:t xml:space="preserve">; the implementing rule, R850-80-630, was finalized in late 2025.</w:t>
      </w:r>
      <w:r>
        <w:rPr>
          <w:rStyle w:val="FootnoteReference"/>
        </w:rPr>
        <w:footnoteReference w:id="697"/>
      </w:r>
      <w:r>
        <w:t xml:space="preserve"> </w:t>
      </w:r>
      <w:r>
        <w:t xml:space="preserve">The first transaction proposed under the mechanism involves approximately 50,608 acres in the Book Cliffs region of Grand County, with the Department of Natural Resources as buyer and a $50 million purchase price funded by a 2025 legislative appropriation whose intent language limits it to</w:t>
      </w:r>
      <w:r>
        <w:t xml:space="preserve"> </w:t>
      </w:r>
      <w:r>
        <w:t xml:space="preserve">“</w:t>
      </w:r>
      <w:r>
        <w:t xml:space="preserve">the land purchase from the Trust Lands Administration.</w:t>
      </w:r>
      <w:r>
        <w:t xml:space="preserve">”</w:t>
      </w:r>
      <w:r>
        <w:rPr>
          <w:rStyle w:val="FootnoteReference"/>
        </w:rPr>
        <w:footnoteReference w:id="698"/>
      </w:r>
      <w:r>
        <w:t xml:space="preserve"> </w:t>
      </w:r>
      <w:r>
        <w:t xml:space="preserve">The administrative record as this volume goes to draft: the TLA Director’s Finding issued, and a public-comment meeting was held, on May 21, 2026; the Board of Trustees’ possible action on the sale was calendared for May 29, 2026; and notice of the block sale appears in the Utah State Board of Education’s June 4, 2026 board materials. The outcome of the board’s vote is not yet confirmed in the public record [VERIFY — TLA minutes for May 29, 2026, before asserting the sale closed].</w:t>
      </w:r>
      <w:r>
        <w:rPr>
          <w:rStyle w:val="FootnoteReference"/>
        </w:rPr>
        <w:footnoteReference w:id="699"/>
      </w:r>
    </w:p>
    <w:p>
      <w:pPr>
        <w:pStyle w:val="BodyText"/>
      </w:pPr>
      <w:r>
        <w:t xml:space="preserve">The transaction is contested as a matter of public advocacy, though as of May 2026 no court challenge had been filed and the State’s position has not been articulated in litigation [VERIFY current status of the transaction and of any challenge before publication]. The published critique — by the national school-trust advocacy organization — characterizes it as self-dealing in three movements: the purchase money traces to the Public Education Economic Stabilization Restricted Account, a statutory reserve built from education tax dollars; the auction bypass forecloses open-market price discovery; and the State simultaneously occupies the roles of trustee, seller, and buyer.</w:t>
      </w:r>
      <w:r>
        <w:rPr>
          <w:rStyle w:val="FootnoteReference"/>
        </w:rPr>
        <w:footnoteReference w:id="700"/>
      </w:r>
      <w:r>
        <w:t xml:space="preserve"> </w:t>
      </w:r>
      <w:r>
        <w:t xml:space="preserve">The State-side defense deserves equally full statement: the statute requires consideration referenced to appraisal, the mineral estate is retained for the trust, the proceeds enter the permanent fund as corpus, and a trustee may rationally conclude that monetizing low-revenue surface while keeping the minerals serves the beneficiaries — the statute’s own premise is that such sales</w:t>
      </w:r>
      <w:r>
        <w:t xml:space="preserve"> </w:t>
      </w:r>
      <w:r>
        <w:rPr>
          <w:i/>
        </w:rPr>
        <w:t xml:space="preserve">fulfill</w:t>
      </w:r>
      <w:r>
        <w:t xml:space="preserve"> </w:t>
      </w:r>
      <w:r>
        <w:t xml:space="preserve">the fiduciary duty rather than evade it.</w:t>
      </w:r>
      <w:r>
        <w:rPr>
          <w:rStyle w:val="FootnoteReference"/>
        </w:rPr>
        <w:footnoteReference w:id="701"/>
      </w:r>
    </w:p>
    <w:p>
      <w:pPr>
        <w:pStyle w:val="BodyText"/>
      </w:pPr>
      <w:r>
        <w:t xml:space="preserve">What the hornbook can say doctrinally is this. The competitive-disposition default and the suspicion of acquirer-side valuation are settled trust doctrine in Utah itself,</w:t>
      </w:r>
      <w:r>
        <w:rPr>
          <w:rStyle w:val="FootnoteReference"/>
        </w:rPr>
        <w:footnoteReference w:id="702"/>
      </w:r>
      <w:r>
        <w:t xml:space="preserve"> </w:t>
      </w:r>
      <w:r>
        <w:t xml:space="preserve">and the cases collected in Chapters 9 through 11 — exchanges void where structured to bypass auction requirements, lessee preferences unconstitutional because only competitive bidding secures full value, intra-governmental takings compensable at full appraised value — all police the same boundary the direct-sale statute deliberately crosses in form.</w:t>
      </w:r>
      <w:r>
        <w:rPr>
          <w:rStyle w:val="FootnoteReference"/>
        </w:rPr>
        <w:footnoteReference w:id="703"/>
      </w:r>
      <w:r>
        <w:t xml:space="preserve"> </w:t>
      </w:r>
      <w:r>
        <w:t xml:space="preserve">Whether crossing it in form crosses it in substance — whether a legislatively authorized, appraisal-floored, noncompetitive sale to a sister agency satisfies the trustee’s duties — is precisely the kind of question the trust-character holdings of Chapter 4 make justiciable and that no court has yet answered for this statute. The episode’s significance for reform doctrine is independent of its outcome: structural reform is not self-maintaining. A single-mandate agency operating under a statute that licenses noncompetitive sales to the sovereign is the Chapter 5 two-capacities problem reconstituted inside the reformed architecture.</w:t>
      </w:r>
    </w:p>
    <w:p>
      <w:pPr>
        <w:pStyle w:val="BodyText"/>
      </w:pPr>
      <w:r>
        <w:rPr>
          <w:b/>
        </w:rPr>
        <w:t xml:space="preserve">(b) Administrative reform without enforcement reform.</w:t>
      </w:r>
      <w:r>
        <w:t xml:space="preserve"> </w:t>
      </w:r>
      <w:r>
        <w:t xml:space="preserve">The Utah and Colorado reforms redesigned the trustee; neither created an enforcer. Where beneficiary standing is denied (New Mexico), where the attorney general both enforces the trust and defends the trustee (Chapter 14), and where no statute compels a public accounting (Chapter 12), a well-designed administration is still, in the end, self-policed. The implicit wager of the reform strategies — that good architecture makes enforcement unnecessary — is contradicted within this very chapter by the direct-sale development in the best-architected state.</w:t>
      </w:r>
    </w:p>
    <w:p>
      <w:pPr>
        <w:pStyle w:val="BodyText"/>
      </w:pPr>
      <w:r>
        <w:rPr>
          <w:b/>
        </w:rPr>
        <w:t xml:space="preserve">(c) Reform by subtraction.</w:t>
      </w:r>
      <w:r>
        <w:t xml:space="preserve"> </w:t>
      </w:r>
      <w:r>
        <w:t xml:space="preserve">A third pattern presents as reform but operates on the trust’s perimeter: removing assets from the trust altogether, with the adequacy of the compensation the contested question. The doctrinal benchmarks are settled — the trust must receive full value when the sovereign deals with itself, an uncompensated inter-agency transfer is unconstitutional, and a state may not extinguish a trust by absorbing its function into general government.</w:t>
      </w:r>
      <w:r>
        <w:rPr>
          <w:rStyle w:val="FootnoteReference"/>
        </w:rPr>
        <w:footnoteReference w:id="704"/>
      </w:r>
      <w:r>
        <w:rPr>
          <w:rStyle w:val="FootnoteReference"/>
        </w:rPr>
        <w:footnoteReference w:id="705"/>
      </w:r>
      <w:r>
        <w:t xml:space="preserve"> </w:t>
      </w:r>
      <w:r>
        <w:t xml:space="preserve">Oregon’s decoupling of the Elliott State Forest from its Common School Fund, in which the adequacy of the consideration is contested in active litigation, is the live instance; consistent with this volume’s conventions it is described here only as contested and unadjudicated. [COUNSEL REVIEW — passage characterizes a transaction at issue in pending Oregon litigation; public-record framing only.]</w:t>
      </w:r>
      <w:r>
        <w:rPr>
          <w:rStyle w:val="FootnoteReference"/>
        </w:rPr>
        <w:footnoteReference w:id="706"/>
      </w:r>
    </w:p>
    <w:p>
      <w:pPr>
        <w:pStyle w:val="Heading3"/>
      </w:pPr>
      <w:bookmarkStart w:id="707" w:name="synthesis-14"/>
      <w:r>
        <w:t xml:space="preserve">§ 19.6 Synthesis</w:t>
      </w:r>
      <w:bookmarkEnd w:id="707"/>
    </w:p>
    <w:p>
      <w:pPr>
        <w:numPr>
          <w:ilvl w:val="0"/>
          <w:numId w:val="1018"/>
        </w:numPr>
        <w:pStyle w:val="Compact"/>
      </w:pPr>
      <w:r>
        <w:rPr>
          <w:b/>
        </w:rPr>
        <w:t xml:space="preserve">Reform is lawful and testable.</w:t>
      </w:r>
      <w:r>
        <w:t xml:space="preserve"> </w:t>
      </w:r>
      <w:r>
        <w:t xml:space="preserve">States retain genuine latitude to redesign trust administration, including at the constitutional level; the redesign is measured against the compact, and survives where it can be reconciled with the trust obligation.</w:t>
      </w:r>
      <w:r>
        <w:rPr>
          <w:rStyle w:val="FootnoteReference"/>
        </w:rPr>
        <w:footnoteReference w:id="708"/>
      </w:r>
    </w:p>
    <w:p>
      <w:pPr>
        <w:numPr>
          <w:ilvl w:val="0"/>
          <w:numId w:val="1018"/>
        </w:numPr>
        <w:pStyle w:val="Compact"/>
      </w:pPr>
      <w:r>
        <w:rPr>
          <w:b/>
        </w:rPr>
        <w:t xml:space="preserve">The proven reforms are administrative.</w:t>
      </w:r>
      <w:r>
        <w:t xml:space="preserve"> </w:t>
      </w:r>
      <w:r>
        <w:t xml:space="preserve">Single-mandate administration (Utah) and strengthened constitutional mandates (Colorado) address the divided-loyalty and productivity failures; both are now decades old, and Utah’s results — a permanent fund grown sixty-six-fold from the 1994 reform to May 2024 — are now part of the public record.</w:t>
      </w:r>
    </w:p>
    <w:p>
      <w:pPr>
        <w:numPr>
          <w:ilvl w:val="0"/>
          <w:numId w:val="1018"/>
        </w:numPr>
        <w:pStyle w:val="Compact"/>
      </w:pPr>
      <w:r>
        <w:rPr>
          <w:b/>
        </w:rPr>
        <w:t xml:space="preserve">No state has reformed enforcement.</w:t>
      </w:r>
      <w:r>
        <w:t xml:space="preserve"> </w:t>
      </w:r>
      <w:r>
        <w:t xml:space="preserve">Standing, accounting, independent enforcement, and remedies remain governed by the uneven case law of Parts V through VII; the strongest administrative architectures coexist with the weakest beneficiary-enforcement doctrine (New Mexico), and new disposition mechanisms are being adopted inside reformed systems faster than any enforcement doctrine is developing to meet them (Utah).</w:t>
      </w:r>
    </w:p>
    <w:p>
      <w:pPr>
        <w:numPr>
          <w:ilvl w:val="0"/>
          <w:numId w:val="1018"/>
        </w:numPr>
        <w:pStyle w:val="Compact"/>
      </w:pPr>
      <w:r>
        <w:rPr>
          <w:b/>
        </w:rPr>
        <w:t xml:space="preserve">The reform frontier has therefore shifted</w:t>
      </w:r>
      <w:r>
        <w:t xml:space="preserve"> </w:t>
      </w:r>
      <w:r>
        <w:t xml:space="preserve">from how the trustee is organized to how the trust is enforced. The model act proposing that layer is the subject of the next chapter.</w:t>
      </w:r>
    </w:p>
    <w:p>
      <w:r>
        <w:pict>
          <v:rect style="width:0;height:1.5pt" o:hralign="center" o:hrstd="t" o:hr="t"/>
        </w:pict>
      </w:r>
    </w:p>
    <w:p>
      <w:pPr>
        <w:pStyle w:val="FirstParagraph"/>
      </w:pPr>
      <w:r>
        <w:rPr>
          <w:i/>
        </w:rPr>
        <w:t xml:space="preserve">End of Chapter 19 v1 (formerly Chapter 18). Resolved 2026-06-07: dossier citations replaced with primaries throughout — Utah Code Title 53C (1994) and Title 53D for the institutional design; Utah Treasurer (May 6, 2024) and Utah News Dispatch (Sept. 2, 2025) for the fund figures ($50M → $3.3B = sixty-six-fold; $3.7B by Sept. 2025; $111.3M distribution); NM SIC for the LGPF ($32.97B year-end 2024; ~$37B late 2025; $1.34B FY2024 distributions); H.B. 262 confirmed as 2024 (signed Mar. 12, 2024) with bill-page citation; Book Cliffs dates corrected (May 21, 2026 = Director’s Finding and public comment, NOT the board vote; the vote was calendared May 29, 2026 and its outcome is unconfirmed); NPCA</w:t>
      </w:r>
      <w:r>
        <w:rPr>
          <w:i/>
        </w:rPr>
        <w:t xml:space="preserve"> </w:t>
      </w:r>
      <w:r>
        <w:rPr>
          <w:i/>
        </w:rPr>
        <w:t xml:space="preserve">“</w:t>
      </w:r>
      <w:r>
        <w:rPr>
          <w:i/>
        </w:rPr>
        <w:t xml:space="preserve">suspect on its face</w:t>
      </w:r>
      <w:r>
        <w:rPr>
          <w:i/>
        </w:rPr>
        <w:t xml:space="preserve">”</w:t>
      </w:r>
      <w:r>
        <w:rPr>
          <w:i/>
        </w:rPr>
        <w:t xml:space="preserve"> </w:t>
      </w:r>
      <w:r>
        <w:rPr>
          <w:i/>
        </w:rPr>
        <w:t xml:space="preserve">verified and pinned at 869 P.2d 922; the v0 quotation of the project’s own bibliography as external Branson commentary deleted. Remaining verification queue: 1994 session-law chapter; TLA renaming date; 53D enactment years; § 53G-7-1206 section citation; Colorado pre-reform-criticism public source (NEEDS-SOURCE); Amendment 16 article/section pin; Branson external-commentary hunt; NM December 2024 monthly performance report pull; NM 2022 amendment formal citation and congressional-consent act; Moab Times dedicated article URL; R850-80-630 adoption date; TLA minutes for May 21/29, 2026; § 53C-4-104 appraisal and mineral-reservation text; Elliott passage to counsel review.</w:t>
      </w:r>
    </w:p>
    <w:p>
      <w:r>
        <w:br w:type="page"/>
      </w:r>
    </w:p>
    <w:p>
      <w:pPr>
        <w:pStyle w:val="Heading1"/>
      </w:pPr>
      <w:bookmarkStart w:id="709" w:name="X4815b5868d7a4421c07d0a16c88f44b70c88e7d"/>
      <w:r>
        <w:t xml:space="preserve">Chapter 20 — The Uniform Public Trust Enforcement Act (v1)</w:t>
      </w:r>
      <w:bookmarkEnd w:id="709"/>
    </w:p>
    <w:p>
      <w:pPr>
        <w:pStyle w:val="Heading3"/>
      </w:pPr>
      <w:bookmarkStart w:id="710" w:name="part-viii-the-modern-reform-landscape-1"/>
      <w:r>
        <w:t xml:space="preserve">Part VIII — The Modern Reform Landscape</w:t>
      </w:r>
      <w:bookmarkEnd w:id="710"/>
    </w:p>
    <w:p>
      <w:pPr>
        <w:pStyle w:val="FirstParagraph"/>
      </w:pPr>
      <w:r>
        <w:rPr>
          <w:i/>
        </w:rPr>
        <w:t xml:space="preserve">Status: v1 — renumbered (formerly Chapter 19) and converted to named citation keys under</w:t>
      </w:r>
      <w:r>
        <w:rPr>
          <w:i/>
        </w:rPr>
        <w:t xml:space="preserve"> </w:t>
      </w:r>
      <w:r>
        <w:rPr>
          <w:rStyle w:val="VerbatimChar"/>
          <w:i/>
        </w:rPr>
        <w:t xml:space="preserve">_tools/CITATION_STANDARD.md</w:t>
      </w:r>
      <w:r>
        <w:rPr>
          <w:i/>
        </w:rPr>
        <w:t xml:space="preserve"> </w:t>
      </w:r>
      <w:r>
        <w:rPr>
          <w:i/>
        </w:rPr>
        <w:t xml:space="preserve">in the 2026-06-07 citation pass. This chapter is ABOUT the model act; describing and quoting the act as its subject is by design, and nothing in it is cited as authority for any proposition of law. The v0 thirty-eight-state accounting count (circular to the act’s own commentary) is replaced with the verifiable qualitative formulation; the convergence-memo passage is reduced to disclosed provenance. [VERIFY] flags mark items awaiting primary-source confirmation under quality gate G3. Passages touching matters at issue in pending Oregon litigation are flagged [COUNSEL REVIEW].</w:t>
      </w:r>
    </w:p>
    <w:p>
      <w:r>
        <w:pict>
          <v:rect style="width:0;height:1.5pt" o:hralign="center" o:hrstd="t" o:hr="t"/>
        </w:pict>
      </w:r>
    </w:p>
    <w:p>
      <w:pPr>
        <w:pStyle w:val="Heading3"/>
      </w:pPr>
      <w:bookmarkStart w:id="711" w:name="what-the-act-is-and-is-not"/>
      <w:r>
        <w:t xml:space="preserve">§ 20.1 What the Act is and is not</w:t>
      </w:r>
      <w:bookmarkEnd w:id="711"/>
    </w:p>
    <w:p>
      <w:pPr>
        <w:pStyle w:val="FirstParagraph"/>
      </w:pPr>
      <w:r>
        <w:t xml:space="preserve">The Uniform Public Trust Enforcement Act (UPTEA) is a model act, drafted in 2026, proposing the enforcement layer that Chapter 19 found missing from every state’s reform record.</w:t>
      </w:r>
      <w:r>
        <w:rPr>
          <w:rStyle w:val="FootnoteReference"/>
        </w:rPr>
        <w:footnoteReference w:id="712"/>
      </w:r>
      <w:r>
        <w:t xml:space="preserve"> </w:t>
      </w:r>
      <w:r>
        <w:t xml:space="preserve">It is a proposal, not law: as of this writing no legislature has enacted or, so far as the project’s files record, formally considered it, and this volume treats it as landscape rather than doctrine. The reader should hold two descriptions of it in mind simultaneously, because the act’s own architecture depends on the distinction. As to</w:t>
      </w:r>
      <w:r>
        <w:t xml:space="preserve"> </w:t>
      </w:r>
      <w:r>
        <w:rPr>
          <w:i/>
        </w:rPr>
        <w:t xml:space="preserve">duties</w:t>
      </w:r>
      <w:r>
        <w:t xml:space="preserve">, the act claims to add nothing: its fiduciary provisions are framed as declaratory of duties that already arise from the granting instruments, the state constitutions, and the common law of trusts — the duties this volume’s Part III documents in the case law. As to</w:t>
      </w:r>
      <w:r>
        <w:t xml:space="preserve"> </w:t>
      </w:r>
      <w:r>
        <w:rPr>
          <w:i/>
        </w:rPr>
        <w:t xml:space="preserve">machinery</w:t>
      </w:r>
      <w:r>
        <w:t xml:space="preserve">, the act claims to add nearly everything: standing, mandatory public accounting, independent enforcement, disposition safeguards, equitable remedies freed from tort-claims procedure, trustee education, and periodic review. Its thesis, stated in its findings, is that the field’s deficiencies</w:t>
      </w:r>
      <w:r>
        <w:t xml:space="preserve"> </w:t>
      </w:r>
      <w:r>
        <w:t xml:space="preserve">“</w:t>
      </w:r>
      <w:r>
        <w:t xml:space="preserve">are deficiencies of procedure, transparency, and remedy,</w:t>
      </w:r>
      <w:r>
        <w:t xml:space="preserve">”</w:t>
      </w:r>
      <w:r>
        <w:t xml:space="preserve"> </w:t>
      </w:r>
      <w:r>
        <w:t xml:space="preserve">and that</w:t>
      </w:r>
      <w:r>
        <w:t xml:space="preserve"> </w:t>
      </w:r>
      <w:r>
        <w:t xml:space="preserve">“</w:t>
      </w:r>
      <w:r>
        <w:t xml:space="preserve">a duty that cannot be enforced is, in practice, discounted.</w:t>
      </w:r>
      <w:r>
        <w:t xml:space="preserve">”</w:t>
      </w:r>
      <w:r>
        <w:rPr>
          <w:rStyle w:val="FootnoteReference"/>
        </w:rPr>
        <w:footnoteReference w:id="713"/>
      </w:r>
    </w:p>
    <w:p>
      <w:pPr>
        <w:pStyle w:val="BodyText"/>
      </w:pPr>
      <w:r>
        <w:t xml:space="preserve">A methodological note on provenance: the project’s files include a second, clean-room draft of the same statute, produced by a separate drafter without access to the first, and a convergence review comparing them; the two drafts arrived independently at the same load-bearing design — existing fiduciary duties plus missing enforcement machinery. The fact is disclosed here as drafting provenance only; it is not offered as evidence of the design’s soundness, which must stand or fall on the doctrinal sources this volume collects.</w:t>
      </w:r>
      <w:r>
        <w:rPr>
          <w:rStyle w:val="FootnoteReference"/>
        </w:rPr>
        <w:footnoteReference w:id="714"/>
      </w:r>
    </w:p>
    <w:p>
      <w:pPr>
        <w:pStyle w:val="Heading3"/>
      </w:pPr>
      <w:bookmarkStart w:id="715" w:name="the-diagnosis-six-enforcement-deficits"/>
      <w:r>
        <w:t xml:space="preserve">§ 20.2 The diagnosis: six enforcement deficits</w:t>
      </w:r>
      <w:bookmarkEnd w:id="715"/>
    </w:p>
    <w:p>
      <w:pPr>
        <w:pStyle w:val="FirstParagraph"/>
      </w:pPr>
      <w:r>
        <w:t xml:space="preserve">The act’s legislative findings catalog six structural failures, and each is keyed to litigation documented earlier in this volume — the findings are, in effect, a procedural index to Parts V through VII.</w:t>
      </w:r>
      <w:r>
        <w:rPr>
          <w:rStyle w:val="FootnoteReference"/>
        </w:rPr>
        <w:footnoteReference w:id="716"/>
      </w:r>
    </w:p>
    <w:p>
      <w:pPr>
        <w:pStyle w:val="BodyText"/>
      </w:pPr>
      <w:r>
        <w:rPr>
          <w:b/>
        </w:rPr>
        <w:t xml:space="preserve">(1) Standing left unstated.</w:t>
      </w:r>
      <w:r>
        <w:t xml:space="preserve"> </w:t>
      </w:r>
      <w:r>
        <w:t xml:space="preserve">Beneficiaries must litigate threshold standing before any question of administration can be reached. In Oregon it took an appellate decision in 2026 to establish that schoolchildren-beneficiaries may sue at all;</w:t>
      </w:r>
      <w:r>
        <w:rPr>
          <w:rStyle w:val="FootnoteReference"/>
        </w:rPr>
        <w:footnoteReference w:id="717"/>
      </w:r>
      <w:r>
        <w:t xml:space="preserve"> </w:t>
      </w:r>
      <w:r>
        <w:t xml:space="preserve">in New Mexico the charitable-trust framing forecloses beneficiary suits entirely (Chapter 13).</w:t>
      </w:r>
      <w:r>
        <w:rPr>
          <w:rStyle w:val="FootnoteReference"/>
        </w:rPr>
        <w:footnoteReference w:id="718"/>
      </w:r>
    </w:p>
    <w:p>
      <w:pPr>
        <w:pStyle w:val="BodyText"/>
      </w:pPr>
      <w:r>
        <w:rPr>
          <w:b/>
        </w:rPr>
        <w:t xml:space="preserve">(2) The trust-code gap.</w:t>
      </w:r>
      <w:r>
        <w:t xml:space="preserve"> </w:t>
      </w:r>
      <w:r>
        <w:t xml:space="preserve">State trust codes and prudent-investor statutes can exclude public bodies outright — Oregon’s Uniform Trust Code, for example, does so expressly — leaving public-trustee duties stated only in constitutional text and common law, and permitting the litigating contention, examined at § 4.7(3), that no judicially enforceable duties exist.</w:t>
      </w:r>
      <w:r>
        <w:rPr>
          <w:rStyle w:val="FootnoteReference"/>
        </w:rPr>
        <w:footnoteReference w:id="719"/>
      </w:r>
    </w:p>
    <w:p>
      <w:pPr>
        <w:pStyle w:val="BodyText"/>
      </w:pPr>
      <w:r>
        <w:rPr>
          <w:b/>
        </w:rPr>
        <w:t xml:space="preserve">(3) The attorney general conflict.</w:t>
      </w:r>
      <w:r>
        <w:t xml:space="preserve"> </w:t>
      </w:r>
      <w:r>
        <w:t xml:space="preserve">The officer charged with enforcing public trusts may simultaneously serve as the trustee’s defense counsel, with the trust’s own money available for the defense (Chapter 14).</w:t>
      </w:r>
      <w:r>
        <w:rPr>
          <w:rStyle w:val="FootnoteReference"/>
        </w:rPr>
        <w:footnoteReference w:id="720"/>
      </w:r>
    </w:p>
    <w:p>
      <w:pPr>
        <w:pStyle w:val="BodyText"/>
      </w:pPr>
      <w:r>
        <w:rPr>
          <w:b/>
        </w:rPr>
        <w:t xml:space="preserve">(4) No mandatory accounting.</w:t>
      </w:r>
      <w:r>
        <w:t xml:space="preserve"> </w:t>
      </w:r>
      <w:r>
        <w:t xml:space="preserve">No statute requires a complete, regular, public accounting of the trust corpus, revenues, expenditures, and distributions (Chapter 12). No comprehensive national survey of school-trust accounting completeness exists — an absence that is itself part of the deficit. In the drafting review reflected in the act’s commentary, only a minority of grant states could be found publishing a complete, consolidated, beneficiary-level accounting; most publish partial figures scattered across agency reports, or none at all. That is a qualitative observation, not a count: the survey that would support a count has never been run.</w:t>
      </w:r>
    </w:p>
    <w:p>
      <w:pPr>
        <w:pStyle w:val="BodyText"/>
      </w:pPr>
      <w:r>
        <w:rPr>
          <w:b/>
        </w:rPr>
        <w:t xml:space="preserve">(5) Immunity and claims-statute barriers.</w:t>
      </w:r>
      <w:r>
        <w:t xml:space="preserve"> </w:t>
      </w:r>
      <w:r>
        <w:t xml:space="preserve">Doctrines built for tort and contract claims are invoked against the equitable remedies — accounting, surcharge, restoration, disgorgement — by which beneficiaries have enforced trusts for centuries (Chapter 17).</w:t>
      </w:r>
      <w:r>
        <w:rPr>
          <w:rStyle w:val="FootnoteReference"/>
        </w:rPr>
        <w:footnoteReference w:id="721"/>
      </w:r>
    </w:p>
    <w:p>
      <w:pPr>
        <w:pStyle w:val="BodyText"/>
      </w:pPr>
      <w:r>
        <w:rPr>
          <w:b/>
        </w:rPr>
        <w:t xml:space="preserve">(6) No education or review.</w:t>
      </w:r>
      <w:r>
        <w:t xml:space="preserve"> </w:t>
      </w:r>
      <w:r>
        <w:t xml:space="preserve">Nothing requires trustees to be instructed in their fiduciary obligations or subjects trust performance to periodic independent examination, so drift accumulates without correction.</w:t>
      </w:r>
      <w:r>
        <w:rPr>
          <w:rStyle w:val="FootnoteReference"/>
        </w:rPr>
        <w:footnoteReference w:id="722"/>
      </w:r>
    </w:p>
    <w:p>
      <w:pPr>
        <w:pStyle w:val="BodyText"/>
      </w:pPr>
      <w:r>
        <w:t xml:space="preserve">The drafting lesson the act absorbs from adjacent fields is that text without machinery underperforms: the North Carolina experience — a constitutional school-funding duty present in text but held not self-executing — is the cautionary instance.</w:t>
      </w:r>
      <w:r>
        <w:rPr>
          <w:rStyle w:val="FootnoteReference"/>
        </w:rPr>
        <w:footnoteReference w:id="723"/>
      </w:r>
    </w:p>
    <w:p>
      <w:pPr>
        <w:pStyle w:val="Heading3"/>
      </w:pPr>
      <w:bookmarkStart w:id="724" w:name="the-declaratory-architecture"/>
      <w:r>
        <w:t xml:space="preserve">§ 20.3 The declaratory architecture</w:t>
      </w:r>
      <w:bookmarkEnd w:id="724"/>
    </w:p>
    <w:p>
      <w:pPr>
        <w:pStyle w:val="FirstParagraph"/>
      </w:pPr>
      <w:r>
        <w:t xml:space="preserve">The act’s central design decision — and the one a practitioner must understand before citing it for anything — is that it is</w:t>
      </w:r>
      <w:r>
        <w:t xml:space="preserve"> </w:t>
      </w:r>
      <w:r>
        <w:rPr>
          <w:i/>
        </w:rPr>
        <w:t xml:space="preserve">declaratory</w:t>
      </w:r>
      <w:r>
        <w:t xml:space="preserve">. Section 102(2) states the position in terms: the duties of loyalty, prudence, impartiality, full value on disposition, and accounting</w:t>
      </w:r>
      <w:r>
        <w:t xml:space="preserve"> </w:t>
      </w:r>
      <w:r>
        <w:t xml:space="preserve">“</w:t>
      </w:r>
      <w:r>
        <w:t xml:space="preserve">arise from the terms of the granting instruments, from the Constitution of this State, and from the common law of trusts. Those duties have existed continuously since the trusts were created. This Act declares and restates them; it does not create them.</w:t>
      </w:r>
      <w:r>
        <w:t xml:space="preserve">”</w:t>
      </w:r>
      <w:r>
        <w:rPr>
          <w:rStyle w:val="FootnoteReference"/>
        </w:rPr>
        <w:footnoteReference w:id="725"/>
      </w:r>
      <w:r>
        <w:t xml:space="preserve"> </w:t>
      </w:r>
      <w:r>
        <w:t xml:space="preserve">Section 103(b) repeats that the Article 2 duties</w:t>
      </w:r>
      <w:r>
        <w:t xml:space="preserve"> </w:t>
      </w:r>
      <w:r>
        <w:t xml:space="preserve">“</w:t>
      </w:r>
      <w:r>
        <w:t xml:space="preserve">are declaratory of existing law</w:t>
      </w:r>
      <w:r>
        <w:t xml:space="preserve">”</w:t>
      </w:r>
      <w:r>
        <w:t xml:space="preserve"> </w:t>
      </w:r>
      <w:r>
        <w:t xml:space="preserve">and enforceable independent of the act; section 103(c) adds a no-inference clause providing that neither the act, nor any provision of it, nor its legislative history may be construed as evidence that any duty stated in it did not previously exist or that pre-enactment conduct was lawful.</w:t>
      </w:r>
      <w:r>
        <w:rPr>
          <w:rStyle w:val="FootnoteReference"/>
        </w:rPr>
        <w:footnoteReference w:id="726"/>
      </w:r>
    </w:p>
    <w:p>
      <w:pPr>
        <w:pStyle w:val="BodyText"/>
      </w:pPr>
      <w:r>
        <w:t xml:space="preserve">The declaratory posture does three kinds of work.</w:t>
      </w:r>
      <w:r>
        <w:t xml:space="preserve"> </w:t>
      </w:r>
      <w:r>
        <w:rPr>
          <w:b/>
        </w:rPr>
        <w:t xml:space="preserve">Doctrinally</w:t>
      </w:r>
      <w:r>
        <w:t xml:space="preserve">, it aligns the statute with the case law: the duties it restates are the ones this volume’s Part III collects from a hundred and seventy years of decisions, and a statute purporting to</w:t>
      </w:r>
      <w:r>
        <w:t xml:space="preserve"> </w:t>
      </w:r>
      <w:r>
        <w:rPr>
          <w:i/>
        </w:rPr>
        <w:t xml:space="preserve">create</w:t>
      </w:r>
      <w:r>
        <w:t xml:space="preserve"> </w:t>
      </w:r>
      <w:r>
        <w:t xml:space="preserve">them would misdescribe the field — every court squarely presented has held the duties pre-existing and binding (Chapter 4).</w:t>
      </w:r>
      <w:r>
        <w:rPr>
          <w:rStyle w:val="FootnoteReference"/>
        </w:rPr>
        <w:footnoteReference w:id="727"/>
      </w:r>
      <w:r>
        <w:t xml:space="preserve"> </w:t>
      </w:r>
      <w:r>
        <w:rPr>
          <w:b/>
        </w:rPr>
        <w:t xml:space="preserve">Defensively</w:t>
      </w:r>
      <w:r>
        <w:t xml:space="preserve">, the no-inference clause forecloses the argument that enactment proves prior absence — the argument a defendant trustee in pending litigation would otherwise be handed by the legislature.</w:t>
      </w:r>
      <w:r>
        <w:rPr>
          <w:rStyle w:val="FootnoteReference"/>
        </w:rPr>
        <w:footnoteReference w:id="728"/>
      </w:r>
      <w:r>
        <w:t xml:space="preserve"> </w:t>
      </w:r>
      <w:r>
        <w:rPr>
          <w:b/>
        </w:rPr>
        <w:t xml:space="preserve">Temporally</w:t>
      </w:r>
      <w:r>
        <w:t xml:space="preserve">, section 804(b) operationalizes the posture: the declaratory and procedural articles apply to proceedings about pre-enactment conduct,</w:t>
      </w:r>
      <w:r>
        <w:t xml:space="preserve"> </w:t>
      </w:r>
      <w:r>
        <w:t xml:space="preserve">“</w:t>
      </w:r>
      <w:r>
        <w:t xml:space="preserve">whenever the underlying conduct occurred,</w:t>
      </w:r>
      <w:r>
        <w:t xml:space="preserve">”</w:t>
      </w:r>
      <w:r>
        <w:t xml:space="preserve"> </w:t>
      </w:r>
      <w:r>
        <w:t xml:space="preserve">to the fullest extent the state constitution permits.</w:t>
      </w:r>
      <w:r>
        <w:rPr>
          <w:rStyle w:val="FootnoteReference"/>
        </w:rPr>
        <w:footnoteReference w:id="729"/>
      </w:r>
      <w:r>
        <w:t xml:space="preserve"> </w:t>
      </w:r>
      <w:r>
        <w:t xml:space="preserve">The act’s drafters describe that design as the familiar treatment of remedial and procedural statutes, applied on the express ground that the duties enforced are not new — but no retroactivity authority is yet collected in the corpus to support the</w:t>
      </w:r>
      <w:r>
        <w:t xml:space="preserve"> </w:t>
      </w:r>
      <w:r>
        <w:t xml:space="preserve">“</w:t>
      </w:r>
      <w:r>
        <w:t xml:space="preserve">settled treatment</w:t>
      </w:r>
      <w:r>
        <w:t xml:space="preserve">”</w:t>
      </w:r>
      <w:r>
        <w:t xml:space="preserve"> </w:t>
      </w:r>
      <w:r>
        <w:t xml:space="preserve">characterization, and the proposition must be verified against each enacting state’s retroactivity jurisprudence before it is asserted as law [NEEDS-SOURCE — remedial-statute retroactivity case law not yet collected].</w:t>
      </w:r>
    </w:p>
    <w:p>
      <w:pPr>
        <w:pStyle w:val="BodyText"/>
      </w:pPr>
      <w:r>
        <w:t xml:space="preserve">The honest counter-statement comes at § 20.11: a legislature’s characterization of pre-existing law does not bind the courts, and the declaratory label is itself contestable. But the label is not decoration. It determines what the act</w:t>
      </w:r>
      <w:r>
        <w:t xml:space="preserve"> </w:t>
      </w:r>
      <w:r>
        <w:rPr>
          <w:i/>
        </w:rPr>
        <w:t xml:space="preserve">is</w:t>
      </w:r>
      <w:r>
        <w:t xml:space="preserve"> </w:t>
      </w:r>
      <w:r>
        <w:t xml:space="preserve">— a procedure-and-remedy statute, not a duties statute — and every Article described below should be read through it.</w:t>
      </w:r>
    </w:p>
    <w:p>
      <w:pPr>
        <w:pStyle w:val="Heading3"/>
      </w:pPr>
      <w:bookmarkStart w:id="730" w:name="X20b9ac7ac8be9d02c39c5dbf52343f7c7e5f6cb"/>
      <w:r>
        <w:t xml:space="preserve">§ 20.4 Standing and the representation of future beneficiaries</w:t>
      </w:r>
      <w:bookmarkEnd w:id="730"/>
    </w:p>
    <w:p>
      <w:pPr>
        <w:pStyle w:val="FirstParagraph"/>
      </w:pPr>
      <w:r>
        <w:t xml:space="preserve">Article 4 states in a paragraph what beneficiaries have spent decades litigating. Section 401 confers standing on beneficiaries; on parents and guardians of minor beneficiaries; on school districts; on nonprofit membership organizations whose members are beneficiaries (the federal associational-standing pattern, so that organizations need not parade individual children as plaintiffs); on the independent enforcer of § 403 or § 404; and, in a bracketed optional provision, on resident taxpayers subject to a good-faith screen and consolidation of duplicative suits.</w:t>
      </w:r>
      <w:r>
        <w:rPr>
          <w:rStyle w:val="FootnoteReference"/>
        </w:rPr>
        <w:footnoteReference w:id="731"/>
      </w:r>
      <w:r>
        <w:t xml:space="preserve"> </w:t>
      </w:r>
      <w:r>
        <w:t xml:space="preserve">Three accompanying rules answer the recurring defense arguments catalogued in Chapter 13: the plaintiff sues on behalf of the trust and recovery inures to the trust; standing requires no injury distinct from the impairment of the trust; and standing is not defeated by the smallness of the plaintiff’s share or the availability of other plaintiffs.</w:t>
      </w:r>
      <w:r>
        <w:rPr>
          <w:rStyle w:val="FootnoteReference"/>
        </w:rPr>
        <w:footnoteReference w:id="732"/>
      </w:r>
      <w:r>
        <w:t xml:space="preserve"> </w:t>
      </w:r>
      <w:r>
        <w:t xml:space="preserve">Section 401(d) makes the article a supplement to, not a substitute for, standing under other law.</w:t>
      </w:r>
    </w:p>
    <w:p>
      <w:pPr>
        <w:pStyle w:val="BodyText"/>
      </w:pPr>
      <w:r>
        <w:t xml:space="preserve">Section 402 addresses the beneficiaries no standing rule can reach: the unborn. The court must consider future beneficiaries’ interests in every proceeding, may appoint a representative for them when the parties do not adequately represent them, and must pay that representative from non-trust funds — the commentary noting the irony otherwise of charging the unborn for their own lawyer.</w:t>
      </w:r>
      <w:r>
        <w:rPr>
          <w:rStyle w:val="FootnoteReference"/>
        </w:rPr>
        <w:footnoteReference w:id="733"/>
      </w:r>
      <w:r>
        <w:t xml:space="preserve"> </w:t>
      </w:r>
      <w:r>
        <w:t xml:space="preserve">The provision converts into procedure the impartiality doctrine of Chapter 8 and the structural observation, recurring throughout this volume, that a perpetual trust’s largest beneficiary class can never appear for itself.</w:t>
      </w:r>
      <w:r>
        <w:rPr>
          <w:rStyle w:val="FootnoteReference"/>
        </w:rPr>
        <w:footnoteReference w:id="734"/>
      </w:r>
    </w:p>
    <w:p>
      <w:pPr>
        <w:pStyle w:val="Heading3"/>
      </w:pPr>
      <w:bookmarkStart w:id="735" w:name="accounting-and-transparency"/>
      <w:r>
        <w:t xml:space="preserve">§ 20.5 Accounting and transparency</w:t>
      </w:r>
      <w:bookmarkEnd w:id="735"/>
    </w:p>
    <w:p>
      <w:pPr>
        <w:pStyle w:val="FirstParagraph"/>
      </w:pPr>
      <w:r>
        <w:t xml:space="preserve">Article 3 requires each covered trust to publish, within 120 days of fiscal close, a certified uniform annual accounting stating seven elements with five years of comparative figures: corpus (lands by acreage and category, resource interests, funds at market value); revenues by source; expenditures by category with the legal authority for each cited; transfers out, individually itemized above a threshold, with statutory authority cited</w:t>
      </w:r>
      <w:r>
        <w:t xml:space="preserve"> </w:t>
      </w:r>
      <w:r>
        <w:rPr>
          <w:i/>
        </w:rPr>
        <w:t xml:space="preserve">and a statement of any transfer for which no authority is cited</w:t>
      </w:r>
      <w:r>
        <w:t xml:space="preserve">; distributions in total and per district and per enrolled student; each disposition with acquirer, consideration, and method; and pending matters.</w:t>
      </w:r>
      <w:r>
        <w:rPr>
          <w:rStyle w:val="FootnoteReference"/>
        </w:rPr>
        <w:footnoteReference w:id="736"/>
      </w:r>
      <w:r>
        <w:t xml:space="preserve"> </w:t>
      </w:r>
      <w:r>
        <w:t xml:space="preserve">General-purpose state financial reports do not satisfy the duty; the accounting and its underlying data must be published in machine-readable form and remain continuously available.</w:t>
      </w:r>
      <w:r>
        <w:rPr>
          <w:rStyle w:val="FootnoteReference"/>
        </w:rPr>
        <w:footnoteReference w:id="737"/>
      </w:r>
    </w:p>
    <w:p>
      <w:pPr>
        <w:pStyle w:val="BodyText"/>
      </w:pPr>
      <w:r>
        <w:t xml:space="preserve">The enforcement tooth is § 304(b): for any period in which the trustee failed to render a complete accounting, the trustee bears the burden of proving the propriety of its administration, and doubts arising from the inadequacy of its own records resolve against it. The commentary identifies this as hornbook private-trust law applied to public trustees — and the Oregon statement of the underlying common-law rule is</w:t>
      </w:r>
      <w:r>
        <w:t xml:space="preserve"> </w:t>
      </w:r>
      <w:r>
        <w:rPr>
          <w:i/>
        </w:rPr>
        <w:t xml:space="preserve">Wood v. Honeyman</w:t>
      </w:r>
      <w:r>
        <w:t xml:space="preserve">’s: a trustee</w:t>
      </w:r>
      <w:r>
        <w:t xml:space="preserve"> </w:t>
      </w:r>
      <w:r>
        <w:t xml:space="preserve">“</w:t>
      </w:r>
      <w:r>
        <w:t xml:space="preserve">must maintain records of his transactions so complete and accurate that he can show by them his faithfulness to his trust,</w:t>
      </w:r>
      <w:r>
        <w:t xml:space="preserve">”</w:t>
      </w:r>
      <w:r>
        <w:t xml:space="preserve"> </w:t>
      </w:r>
      <w:r>
        <w:t xml:space="preserve">and a trustee who fails to keep clear and accurate accounts finds</w:t>
      </w:r>
      <w:r>
        <w:t xml:space="preserve"> </w:t>
      </w:r>
      <w:r>
        <w:t xml:space="preserve">“</w:t>
      </w:r>
      <w:r>
        <w:t xml:space="preserve">the presumptions are all against him, obscurities and doubts being resolved adversely to him.</w:t>
      </w:r>
      <w:r>
        <w:t xml:space="preserve">”</w:t>
      </w:r>
      <w:r>
        <w:rPr>
          <w:rStyle w:val="FootnoteReference"/>
        </w:rPr>
        <w:footnoteReference w:id="738"/>
      </w:r>
      <w:r>
        <w:rPr>
          <w:rStyle w:val="FootnoteReference"/>
        </w:rPr>
        <w:footnoteReference w:id="739"/>
      </w:r>
    </w:p>
    <w:p>
      <w:pPr>
        <w:pStyle w:val="Heading3"/>
      </w:pPr>
      <w:bookmarkStart w:id="740" w:name="dispositions-appraisals-and-self-dealing"/>
      <w:r>
        <w:t xml:space="preserve">§ 20.6 Dispositions, appraisals, and self-dealing</w:t>
      </w:r>
      <w:bookmarkEnd w:id="740"/>
    </w:p>
    <w:p>
      <w:pPr>
        <w:pStyle w:val="FirstParagraph"/>
      </w:pPr>
      <w:r>
        <w:t xml:space="preserve">Articles 2 and 5 codify the disposition doctrine of Part IV. Section 205 states the full-value rule with a competitive-public-process default — auction, sealed bid, or open listing after public notice — and permits noncompetitive disposition only on a pre-transaction written determination, published and signed, demonstrating fair market value by independent appraisal.</w:t>
      </w:r>
      <w:r>
        <w:rPr>
          <w:rStyle w:val="FootnoteReference"/>
        </w:rPr>
        <w:footnoteReference w:id="741"/>
      </w:r>
      <w:r>
        <w:t xml:space="preserve"> </w:t>
      </w:r>
      <w:r>
        <w:t xml:space="preserve">Section 205(d) closes the modern evasion: consideration must actually be</w:t>
      </w:r>
      <w:r>
        <w:t xml:space="preserve"> </w:t>
      </w:r>
      <w:r>
        <w:rPr>
          <w:i/>
        </w:rPr>
        <w:t xml:space="preserve">paid to the trust</w:t>
      </w:r>
      <w:r>
        <w:t xml:space="preserve">; appropriation to a non-trust purpose, or netting against the trust’s supposed obligations to the State, does not satisfy the duty.</w:t>
      </w:r>
      <w:r>
        <w:rPr>
          <w:rStyle w:val="FootnoteReference"/>
        </w:rPr>
        <w:footnoteReference w:id="742"/>
      </w:r>
    </w:p>
    <w:p>
      <w:pPr>
        <w:pStyle w:val="BodyText"/>
      </w:pPr>
      <w:r>
        <w:t xml:space="preserve">Article 5 then addresses the transaction pattern Chapter 10 documents and Chapter 19 found live inside the reformed systems: the State acquiring trust assets from itself. A disposition to the State in its non-fiduciary capacity is a</w:t>
      </w:r>
      <w:r>
        <w:t xml:space="preserve"> </w:t>
      </w:r>
      <w:r>
        <w:t xml:space="preserve">“</w:t>
      </w:r>
      <w:r>
        <w:t xml:space="preserve">self-interested transaction,</w:t>
      </w:r>
      <w:r>
        <w:t xml:space="preserve">”</w:t>
      </w:r>
      <w:r>
        <w:t xml:space="preserve"> </w:t>
      </w:r>
      <w:r>
        <w:t xml:space="preserve">voidable unless the trustee proves full compliance and fairness, with the burden of proof on the trustee throughout.</w:t>
      </w:r>
      <w:r>
        <w:rPr>
          <w:rStyle w:val="FootnoteReference"/>
        </w:rPr>
        <w:footnoteReference w:id="743"/>
      </w:r>
      <w:r>
        <w:t xml:space="preserve"> </w:t>
      </w:r>
      <w:r>
        <w:t xml:space="preserve">Appraisals must be independent of the acquirer; an acquirer-procured appraisal may not serve as the sole or primary basis of the price — the codification of the Utah rule that such an appraisal is</w:t>
      </w:r>
      <w:r>
        <w:t xml:space="preserve"> </w:t>
      </w:r>
      <w:r>
        <w:t xml:space="preserve">“</w:t>
      </w:r>
      <w:r>
        <w:t xml:space="preserve">suspect on its face</w:t>
      </w:r>
      <w:r>
        <w:t xml:space="preserve">”</w:t>
      </w:r>
      <w:r>
        <w:t xml:space="preserve"> </w:t>
      </w:r>
      <w:r>
        <w:t xml:space="preserve">— and self-interested transactions require two independent appraisals with the price at no less than the higher absent written explanation.</w:t>
      </w:r>
      <w:r>
        <w:rPr>
          <w:rStyle w:val="FootnoteReference"/>
        </w:rPr>
        <w:footnoteReference w:id="744"/>
      </w:r>
      <w:r>
        <w:t xml:space="preserve"> </w:t>
      </w:r>
      <w:r>
        <w:t xml:space="preserve">A state-agency acquirer is charged with notice of the act’s requirements and cannot claim bona fide purchaser status — the statutory restatement of the third-party-notice rule of § 4.6(b).</w:t>
      </w:r>
      <w:r>
        <w:rPr>
          <w:rStyle w:val="FootnoteReference"/>
        </w:rPr>
        <w:footnoteReference w:id="745"/>
      </w:r>
    </w:p>
    <w:p>
      <w:pPr>
        <w:pStyle w:val="Heading3"/>
      </w:pPr>
      <w:bookmarkStart w:id="746" w:name="Xca28e0a64679265336091d94ffefaa6905e1467"/>
      <w:r>
        <w:t xml:space="preserve">§ 20.7 Independent enforcement and the attorney general</w:t>
      </w:r>
      <w:bookmarkEnd w:id="746"/>
    </w:p>
    <w:p>
      <w:pPr>
        <w:pStyle w:val="FirstParagraph"/>
      </w:pPr>
      <w:r>
        <w:t xml:space="preserve">Article 4’s institutional half supplies what Chapter 14 found absent everywhere: an enforcer whose only client is the trust. The act offers alternatives.</w:t>
      </w:r>
      <w:r>
        <w:t xml:space="preserve"> </w:t>
      </w:r>
      <w:r>
        <w:rPr>
          <w:b/>
        </w:rPr>
        <w:t xml:space="preserve">Alternative A</w:t>
      </w:r>
      <w:r>
        <w:t xml:space="preserve"> </w:t>
      </w:r>
      <w:r>
        <w:t xml:space="preserve">establishes an Office of the Public Trust Advocate — independent of every trustee and of the attorney general, appointed for a fixed term with for-cause removal and a cooling-off eligibility bar, funded from non-trust sources, with powers to monitor, investigate, subpoena, demand accountings, sue, intervene, appear for future beneficiaries, and report annually.</w:t>
      </w:r>
      <w:r>
        <w:rPr>
          <w:rStyle w:val="FootnoteReference"/>
        </w:rPr>
        <w:footnoteReference w:id="747"/>
      </w:r>
      <w:r>
        <w:t xml:space="preserve"> </w:t>
      </w:r>
      <w:r>
        <w:rPr>
          <w:b/>
        </w:rPr>
        <w:t xml:space="preserve">Alternative B</w:t>
      </w:r>
      <w:r>
        <w:t xml:space="preserve">, for states unwilling to fund a standing office, provides court-appointed special counsel on petition or on the attorney general’s certification of conflict — which the act’s own commentary candidly ranks second-best, since episodic counsel cannot monitor, accumulate expertise, or deter.</w:t>
      </w:r>
      <w:r>
        <w:rPr>
          <w:rStyle w:val="FootnoteReference"/>
        </w:rPr>
        <w:footnoteReference w:id="748"/>
      </w:r>
    </w:p>
    <w:p>
      <w:pPr>
        <w:pStyle w:val="BodyText"/>
      </w:pPr>
      <w:r>
        <w:t xml:space="preserve">Section 405 addresses the conflict at its source: the attorney general is automatically disqualified from public-trust enforcement as to any trust whose trustee the attorney general’s office currently represents or has recently represented, with enforcement authority vesting in the Advocate or special counsel. And § 405(c) cuts off the financing of the conflict: fees of counsel defending a trustee against a breach claim may not be paid from trust assets — beneficiaries may no longer be made to fund both sides of their own lawsuit — with legislative reimbursement from non-trust funds available if the trustee is vindicated.</w:t>
      </w:r>
      <w:r>
        <w:rPr>
          <w:rStyle w:val="FootnoteReference"/>
        </w:rPr>
        <w:footnoteReference w:id="749"/>
      </w:r>
      <w:r>
        <w:t xml:space="preserve"> </w:t>
      </w:r>
      <w:r>
        <w:t xml:space="preserve">The disqualification operates on objective facts rather than case-by-case recusal motions, on the commentary’s stated ground that the conflict is structural, not personal, and does not depend on any individual’s bad faith.</w:t>
      </w:r>
      <w:r>
        <w:rPr>
          <w:rStyle w:val="FootnoteReference"/>
        </w:rPr>
        <w:footnoteReference w:id="750"/>
      </w:r>
    </w:p>
    <w:p>
      <w:pPr>
        <w:pStyle w:val="Heading3"/>
      </w:pPr>
      <w:bookmarkStart w:id="751" w:name="remedies-immunity-and-fees"/>
      <w:r>
        <w:t xml:space="preserve">§ 20.8 Remedies, immunity, and fees</w:t>
      </w:r>
      <w:bookmarkEnd w:id="751"/>
    </w:p>
    <w:p>
      <w:pPr>
        <w:pStyle w:val="FirstParagraph"/>
      </w:pPr>
      <w:r>
        <w:t xml:space="preserve">Article 6 restates the equitable arsenal of Chapter 18 — declaration, injunction, accounting for any period, surcharge and restoration, disgorgement, avoidance of voidable transactions, appointment of a special fiduciary — and ties the whole to the private-trust baseline: whatever a court of equity could grant against a private trustee in like circumstances, it may grant here, to the extent consistent with the state constitution.</w:t>
      </w:r>
      <w:r>
        <w:rPr>
          <w:rStyle w:val="FootnoteReference"/>
        </w:rPr>
        <w:footnoteReference w:id="752"/>
      </w:r>
      <w:r>
        <w:t xml:space="preserve"> </w:t>
      </w:r>
      <w:r>
        <w:t xml:space="preserve">Two boundary rules show the drafting’s doctrinal care. Restoration is measured to include lost income and lost appreciation from the date of breach, and sums recovered return to the trust and may not be re-appropriated — without which restoration to a state-held fund would be a circle.</w:t>
      </w:r>
      <w:r>
        <w:rPr>
          <w:rStyle w:val="FootnoteReference"/>
        </w:rPr>
        <w:footnoteReference w:id="753"/>
      </w:r>
      <w:r>
        <w:t xml:space="preserve"> </w:t>
      </w:r>
      <w:r>
        <w:t xml:space="preserve">And removal of a constitutionally established trustee is expressly unavailable, conceding what Chapter 18 records — a statute cannot unseat officers the constitution seats — while preserving conduct injunctions and the special-fiduciary device that together approximate the remedy’s function.</w:t>
      </w:r>
      <w:r>
        <w:rPr>
          <w:rStyle w:val="FootnoteReference"/>
        </w:rPr>
        <w:footnoteReference w:id="754"/>
      </w:r>
    </w:p>
    <w:p>
      <w:pPr>
        <w:pStyle w:val="BodyText"/>
      </w:pPr>
      <w:r>
        <w:t xml:space="preserve">Section 604 then dismantles the Chapter 17 defenses by consent: a limited waiver of sovereign immunity for the act’s equitable relief and for surcharge, restoration, and disgorgement — remedies running to the trust, not damages to private parties — with express inapplicability of the state tort-claims act’s notice, presentment, cap, and limitation machinery, and a continuing-breach rule under which the corpus claim does not stale while the breach persists.</w:t>
      </w:r>
      <w:r>
        <w:rPr>
          <w:rStyle w:val="FootnoteReference"/>
        </w:rPr>
        <w:footnoteReference w:id="755"/>
      </w:r>
      <w:r>
        <w:t xml:space="preserve"> </w:t>
      </w:r>
      <w:r>
        <w:t xml:space="preserve">The waiver’s narrowness is deliberate: no consequential or punitive damages, no money to plaintiffs personally beyond fees and costs. Section 603 removes the economic deterrent that Chapter 13’s standing victories cannot themselves cure: no cost-shifting against good-faith beneficiary plaintiffs regardless of outcome, one-way fee awards to prevailing ones paid from non-trust funds, and no bond as a condition of provisional relief.</w:t>
      </w:r>
      <w:r>
        <w:rPr>
          <w:rStyle w:val="FootnoteReference"/>
        </w:rPr>
        <w:footnoteReference w:id="756"/>
      </w:r>
    </w:p>
    <w:p>
      <w:pPr>
        <w:pStyle w:val="Heading3"/>
      </w:pPr>
      <w:bookmarkStart w:id="757" w:name="trustee-education-and-periodic-review"/>
      <w:r>
        <w:t xml:space="preserve">§ 20.9 Trustee education and periodic review</w:t>
      </w:r>
      <w:bookmarkEnd w:id="757"/>
    </w:p>
    <w:p>
      <w:pPr>
        <w:pStyle w:val="FirstParagraph"/>
      </w:pPr>
      <w:r>
        <w:t xml:space="preserve">Article 7 supplies the act’s two preventive mechanisms. Section 701 requires every natural person exercising trustee authority — board members and senior managers alike — to complete initial and continuing instruction in the fiduciary duties, the history and terms of the trusts, and the state’s school-trust case law, under a curriculum controlled by the independent enforcer rather than by the administering agency, with compliance published annually; the sanction is transparency, not invalidation of official action.</w:t>
      </w:r>
      <w:r>
        <w:rPr>
          <w:rStyle w:val="FootnoteReference"/>
        </w:rPr>
        <w:footnoteReference w:id="758"/>
      </w:r>
      <w:r>
        <w:t xml:space="preserve"> </w:t>
      </w:r>
      <w:r>
        <w:t xml:space="preserve">The provision answers a failure pattern visible across the case law of this volume: in many trust states the trustees are elected constitutional officers whose fiduciary role arrives as an afterthought to their political offices (the trustee-structure detail is collected in the state appendices). Section 702 requires, at least decennially, an independent trust-performance review — fidelity to purposes, performance against benchmarks, adequacy of revenues, propriety of transfers, and</w:t>
      </w:r>
      <w:r>
        <w:t xml:space="preserve"> </w:t>
      </w:r>
      <w:r>
        <w:t xml:space="preserve">“</w:t>
      </w:r>
      <w:r>
        <w:t xml:space="preserve">any drift of administration away from the interests of beneficiaries, present or future</w:t>
      </w:r>
      <w:r>
        <w:t xml:space="preserve">”</w:t>
      </w:r>
      <w:r>
        <w:t xml:space="preserve"> </w:t>
      </w:r>
      <w:r>
        <w:t xml:space="preserve">— published, heard by a legislative committee, and answered in writing by the trustee.</w:t>
      </w:r>
      <w:r>
        <w:rPr>
          <w:rStyle w:val="FootnoteReference"/>
        </w:rPr>
        <w:footnoteReference w:id="759"/>
      </w:r>
      <w:r>
        <w:t xml:space="preserve"> </w:t>
      </w:r>
      <w:r>
        <w:t xml:space="preserve">The review institutionalizes what, in the case law of this volume, has happened only when a plaintiff forced it.</w:t>
      </w:r>
    </w:p>
    <w:p>
      <w:pPr>
        <w:pStyle w:val="Heading3"/>
      </w:pPr>
      <w:bookmarkStart w:id="760" w:name="X535de64bfd2c7e7536fb3d7a223b53255d18d7b"/>
      <w:r>
        <w:t xml:space="preserve">§ 20.10 Floor, not ceiling: codification without displacement</w:t>
      </w:r>
      <w:bookmarkEnd w:id="760"/>
    </w:p>
    <w:p>
      <w:pPr>
        <w:pStyle w:val="FirstParagraph"/>
      </w:pPr>
      <w:r>
        <w:t xml:space="preserve">The act’s final structural commitment answers the classic objection to codifying common-law duties — that the statute becomes the duties’ outer limit. Section 105(c), the savings clause, provides that the act</w:t>
      </w:r>
      <w:r>
        <w:t xml:space="preserve"> </w:t>
      </w:r>
      <w:r>
        <w:t xml:space="preserve">“</w:t>
      </w:r>
      <w:r>
        <w:t xml:space="preserve">supplements, and does not limit, displace, or supersede</w:t>
      </w:r>
      <w:r>
        <w:t xml:space="preserve">”</w:t>
      </w:r>
      <w:r>
        <w:t xml:space="preserve"> </w:t>
      </w:r>
      <w:r>
        <w:t xml:space="preserve">any duty, right of action, or remedy existing under the state constitution, the granting instruments, the acts of Congress, or the common law; its procedures and remedies are cumulative; and no omission may be construed as abolition.</w:t>
      </w:r>
      <w:r>
        <w:rPr>
          <w:rStyle w:val="FootnoteReference"/>
        </w:rPr>
        <w:footnoteReference w:id="761"/>
      </w:r>
      <w:r>
        <w:t xml:space="preserve"> </w:t>
      </w:r>
      <w:r>
        <w:t xml:space="preserve">Section 801 carries the same design into construction: the common law supplements the act; the constitution and the congressional granting acts control over it in any conflict; and — quietly the most consequential interface provision — asset-specific management statutes (leasing, forestry, minerals, investment) survive but are administered subject to the Article 2 duties, which control in conflict.</w:t>
      </w:r>
      <w:r>
        <w:rPr>
          <w:rStyle w:val="FootnoteReference"/>
        </w:rPr>
        <w:footnoteReference w:id="762"/>
      </w:r>
      <w:r>
        <w:t xml:space="preserve"> </w:t>
      </w:r>
      <w:r>
        <w:t xml:space="preserve">The commentary compresses the design into a sentence: a codification that displaced the common law would hand the trustee a ceiling; this one supplies only a floor.</w:t>
      </w:r>
      <w:r>
        <w:rPr>
          <w:rStyle w:val="FootnoteReference"/>
        </w:rPr>
        <w:footnoteReference w:id="763"/>
      </w:r>
    </w:p>
    <w:p>
      <w:pPr>
        <w:pStyle w:val="Heading3"/>
      </w:pPr>
      <w:bookmarkStart w:id="764" w:name="the-objections-stated-at-full-strength"/>
      <w:r>
        <w:t xml:space="preserve">§ 20.11 The objections stated at full strength</w:t>
      </w:r>
      <w:bookmarkEnd w:id="764"/>
    </w:p>
    <w:p>
      <w:pPr>
        <w:pStyle w:val="FirstParagraph"/>
      </w:pPr>
      <w:r>
        <w:t xml:space="preserve">A model act is tested by its best opposition, and the practitioner should know the arguments a state solicitor general would make.</w:t>
      </w:r>
    </w:p>
    <w:p>
      <w:pPr>
        <w:pStyle w:val="BodyText"/>
      </w:pPr>
      <w:r>
        <w:rPr>
          <w:b/>
        </w:rPr>
        <w:t xml:space="preserve">(1) A legislature cannot declare history.</w:t>
      </w:r>
      <w:r>
        <w:t xml:space="preserve"> </w:t>
      </w:r>
      <w:r>
        <w:t xml:space="preserve">The declaratory label is a legislative characterization of what the law already was — but whether fiduciary duties pre-existed in a given state is a judicial question, contested in live litigation, and no statute can adjudicate it. The act’s answer is structural rather than rhetorical: it does not purport to settle the question for any pre-enactment dispute — § 103(c) merely forbids drawing an inference</w:t>
      </w:r>
      <w:r>
        <w:t xml:space="preserve"> </w:t>
      </w:r>
      <w:r>
        <w:rPr>
          <w:i/>
        </w:rPr>
        <w:t xml:space="preserve">from enactment</w:t>
      </w:r>
      <w:r>
        <w:t xml:space="preserve">, and the savings clause leaves the pre-existing-duty question to the courts, where it has always resided. The label could still be attacked as legislative thumb-weighting; the response is that the case law of Chapter 4 supplies the weight independently.</w:t>
      </w:r>
    </w:p>
    <w:p>
      <w:pPr>
        <w:pStyle w:val="BodyText"/>
      </w:pPr>
      <w:r>
        <w:rPr>
          <w:b/>
        </w:rPr>
        <w:t xml:space="preserve">(2) The burden-shift offends due process.</w:t>
      </w:r>
      <w:r>
        <w:t xml:space="preserve"> </w:t>
      </w:r>
      <w:r>
        <w:t xml:space="preserve">Section 304(b) makes the State litigate unaccounted periods with the burden against it. The defense of the provision is that it tracks the settled common-law rule resolving doubts against a fiduciary who failed to keep records;</w:t>
      </w:r>
      <w:r>
        <w:rPr>
          <w:rStyle w:val="FootnoteReference"/>
        </w:rPr>
        <w:footnoteReference w:id="765"/>
      </w:r>
      <w:r>
        <w:t xml:space="preserve"> </w:t>
      </w:r>
      <w:r>
        <w:t xml:space="preserve">the objection retains force where the records’ inadequacy predates the act and the personnel who could explain it are gone.</w:t>
      </w:r>
    </w:p>
    <w:p>
      <w:pPr>
        <w:pStyle w:val="BodyText"/>
      </w:pPr>
      <w:r>
        <w:rPr>
          <w:b/>
        </w:rPr>
        <w:t xml:space="preserve">(3) The immunity waiver and claims-statute displacement may fail state constitutional formalities.</w:t>
      </w:r>
      <w:r>
        <w:t xml:space="preserve"> </w:t>
      </w:r>
      <w:r>
        <w:t xml:space="preserve">Several state constitutions prescribe the manner of consenting to suit; the act’s own commentary directs verification state by state, and § 804(b)</w:t>
      </w:r>
      <w:r>
        <w:t xml:space="preserve">‘</w:t>
      </w:r>
      <w:r>
        <w:t xml:space="preserve">s</w:t>
      </w:r>
      <w:r>
        <w:t xml:space="preserve"> </w:t>
      </w:r>
      <w:r>
        <w:t xml:space="preserve">“</w:t>
      </w:r>
      <w:r>
        <w:t xml:space="preserve">to the fullest extent permitted</w:t>
      </w:r>
      <w:r>
        <w:t xml:space="preserve">”</w:t>
      </w:r>
      <w:r>
        <w:t xml:space="preserve"> </w:t>
      </w:r>
      <w:r>
        <w:t xml:space="preserve">clause plus severability are the drafters</w:t>
      </w:r>
      <w:r>
        <w:t xml:space="preserve">’</w:t>
      </w:r>
      <w:r>
        <w:t xml:space="preserve"> </w:t>
      </w:r>
      <w:r>
        <w:t xml:space="preserve">concession that parts may be trimmed.</w:t>
      </w:r>
      <w:r>
        <w:rPr>
          <w:rStyle w:val="FootnoteReference"/>
        </w:rPr>
        <w:footnoteReference w:id="766"/>
      </w:r>
    </w:p>
    <w:p>
      <w:pPr>
        <w:pStyle w:val="BodyText"/>
      </w:pPr>
      <w:r>
        <w:rPr>
          <w:b/>
        </w:rPr>
        <w:t xml:space="preserve">(4) Floodgates and cost.</w:t>
      </w:r>
      <w:r>
        <w:t xml:space="preserve"> </w:t>
      </w:r>
      <w:r>
        <w:t xml:space="preserve">Taxpayer standing (bracketed and optional), one-way fees, and a funded Advocate’s office invite the objection that the act manufactures litigation and bureaucracy. The act’s internal answers — the good-faith screen, consolidation of duplicative suits, the special-counsel alternative for small states — accept the concern as legitimate and price it; whether the price persuades a legislature is a political question this volume does not handicap.</w:t>
      </w:r>
    </w:p>
    <w:p>
      <w:pPr>
        <w:pStyle w:val="BodyText"/>
      </w:pPr>
      <w:r>
        <w:rPr>
          <w:b/>
        </w:rPr>
        <w:t xml:space="preserve">(5) Separation of powers.</w:t>
      </w:r>
      <w:r>
        <w:t xml:space="preserve"> </w:t>
      </w:r>
      <w:r>
        <w:t xml:space="preserve">Court appointment of special counsel, judicially supervised special fiduciaries, and an enforcement officer outside both the attorney general and the trustee will draw structural challenge in states with strong unitary-executive or exclusive-AG traditions; the commentary itself anticipates conforming amendments to statutes channeling all state legal business through the attorney general.</w:t>
      </w:r>
      <w:r>
        <w:rPr>
          <w:rStyle w:val="FootnoteReference"/>
        </w:rPr>
        <w:footnoteReference w:id="767"/>
      </w:r>
    </w:p>
    <w:p>
      <w:pPr>
        <w:pStyle w:val="BodyText"/>
      </w:pPr>
      <w:r>
        <w:rPr>
          <w:b/>
        </w:rPr>
        <w:t xml:space="preserve">(6) The interface provision reorders the codes.</w:t>
      </w:r>
      <w:r>
        <w:t xml:space="preserve"> </w:t>
      </w:r>
      <w:r>
        <w:t xml:space="preserve">Section 801(c)’s rule that fiduciary duties control over resource-management statutes in conflict is, as the commentary concedes, where agency opposition will concentrate — it subjects every leasing, forestry, and minerals regime to a trust-law override.</w:t>
      </w:r>
      <w:r>
        <w:rPr>
          <w:rStyle w:val="FootnoteReference"/>
        </w:rPr>
        <w:footnoteReference w:id="768"/>
      </w:r>
      <w:r>
        <w:t xml:space="preserve"> </w:t>
      </w:r>
      <w:r>
        <w:t xml:space="preserve">The doctrinal reply is that the override merely restates the case law: statutes inconsistent with the trust framework are void already.</w:t>
      </w:r>
      <w:r>
        <w:rPr>
          <w:rStyle w:val="FootnoteReference"/>
        </w:rPr>
        <w:footnoteReference w:id="769"/>
      </w:r>
      <w:r>
        <w:t xml:space="preserve"> </w:t>
      </w:r>
      <w:r>
        <w:t xml:space="preserve">But that reply assumes the act’s declaratory premise, which is objection (1) again — the objections are one argument wearing six coats.</w:t>
      </w:r>
    </w:p>
    <w:p>
      <w:pPr>
        <w:pStyle w:val="Heading3"/>
      </w:pPr>
      <w:bookmarkStart w:id="770" w:name="synthesis-15"/>
      <w:r>
        <w:t xml:space="preserve">§ 20.12 Synthesis</w:t>
      </w:r>
      <w:bookmarkEnd w:id="770"/>
    </w:p>
    <w:p>
      <w:pPr>
        <w:numPr>
          <w:ilvl w:val="0"/>
          <w:numId w:val="1019"/>
        </w:numPr>
        <w:pStyle w:val="Compact"/>
      </w:pPr>
      <w:r>
        <w:rPr>
          <w:b/>
        </w:rPr>
        <w:t xml:space="preserve">UPTEA is a procedure-and-remedy statute built on a declaratory premise.</w:t>
      </w:r>
      <w:r>
        <w:t xml:space="preserve"> </w:t>
      </w:r>
      <w:r>
        <w:t xml:space="preserve">It declares and restates fiduciary duties the case law already imposes; it does not create duties, and it is drafted to prevent its own enactment from being read as evidence that the duties were ever absent.</w:t>
      </w:r>
      <w:r>
        <w:rPr>
          <w:rStyle w:val="FootnoteReference"/>
        </w:rPr>
        <w:footnoteReference w:id="771"/>
      </w:r>
    </w:p>
    <w:p>
      <w:pPr>
        <w:numPr>
          <w:ilvl w:val="0"/>
          <w:numId w:val="1019"/>
        </w:numPr>
        <w:pStyle w:val="Compact"/>
      </w:pPr>
      <w:r>
        <w:rPr>
          <w:b/>
        </w:rPr>
        <w:t xml:space="preserve">Its machinery is an index of the field’s failures.</w:t>
      </w:r>
      <w:r>
        <w:t xml:space="preserve"> </w:t>
      </w:r>
      <w:r>
        <w:t xml:space="preserve">Each article corresponds to a documented enforcement deficit: standing (Chapter 13), accounting (Chapter 12), the attorney general conflict (Chapter 14), self-dealing dispositions (Chapters 9–10 and § 19.5), immunity and recharacterization (Chapter 17), remedies (Chapter 18), and unexamined drift (Chapter 19).</w:t>
      </w:r>
    </w:p>
    <w:p>
      <w:pPr>
        <w:numPr>
          <w:ilvl w:val="0"/>
          <w:numId w:val="1019"/>
        </w:numPr>
        <w:pStyle w:val="Compact"/>
      </w:pPr>
      <w:r>
        <w:rPr>
          <w:b/>
        </w:rPr>
        <w:t xml:space="preserve">It is a floor, not a ceiling.</w:t>
      </w:r>
      <w:r>
        <w:t xml:space="preserve"> </w:t>
      </w:r>
      <w:r>
        <w:t xml:space="preserve">The savings and relation-to-other-law provisions preserve every constitutional, compact, and common-law duty and remedy in full; the act adds and never subtracts.</w:t>
      </w:r>
    </w:p>
    <w:p>
      <w:pPr>
        <w:numPr>
          <w:ilvl w:val="0"/>
          <w:numId w:val="1019"/>
        </w:numPr>
        <w:pStyle w:val="Compact"/>
      </w:pPr>
      <w:r>
        <w:rPr>
          <w:b/>
        </w:rPr>
        <w:t xml:space="preserve">It remains a proposal.</w:t>
      </w:r>
      <w:r>
        <w:t xml:space="preserve"> </w:t>
      </w:r>
      <w:r>
        <w:t xml:space="preserve">No state has enacted it; its provisions are not authority for any proposition of law, and this volume cites it only as the field’s most complete statement of what an enforcement layer would contain. The chapter should be updated when any legislature acts on it [VERIFY status at publication].</w:t>
      </w:r>
    </w:p>
    <w:p>
      <w:r>
        <w:pict>
          <v:rect style="width:0;height:1.5pt" o:hralign="center" o:hrstd="t" o:hr="t"/>
        </w:pict>
      </w:r>
    </w:p>
    <w:p>
      <w:pPr>
        <w:pStyle w:val="FirstParagraph"/>
      </w:pPr>
      <w:r>
        <w:rPr>
          <w:i/>
        </w:rPr>
        <w:t xml:space="preserve">End of Chapter 20 v1 (formerly Chapter 19). Resolved 2026-06-07: the thirty-eight-state accounting count removed (AI-originated and circular to the act’s own commentary; no national survey exists — replaced with the qualitative formulation); the convergence-memo passage reduced to disclosed provenance; Moore non-self-executing passage verified against the L0 capture (stale flag cleared; citekey unified to the Chapter 16 key); Wood v. Honeyman pull confirmed resolved (Register G-2); NPCA</w:t>
      </w:r>
      <w:r>
        <w:rPr>
          <w:i/>
        </w:rPr>
        <w:t xml:space="preserve"> </w:t>
      </w:r>
      <w:r>
        <w:rPr>
          <w:i/>
        </w:rPr>
        <w:t xml:space="preserve">“</w:t>
      </w:r>
      <w:r>
        <w:rPr>
          <w:i/>
        </w:rPr>
        <w:t xml:space="preserve">suspect on its face</w:t>
      </w:r>
      <w:r>
        <w:rPr>
          <w:i/>
        </w:rPr>
        <w:t xml:space="preserve">”</w:t>
      </w:r>
      <w:r>
        <w:rPr>
          <w:i/>
        </w:rPr>
        <w:t xml:space="preserve"> </w:t>
      </w:r>
      <w:r>
        <w:rPr>
          <w:i/>
        </w:rPr>
        <w:t xml:space="preserve">verified and pinned at 869 P.2d 922; the retroactivity proposition re-hedged pending authority. Remaining verification queue: remedial-statute retroactivity case-law hunt (NEEDS-SOURCE); multi-state trust-code exclusion survey; Advocates v. State review status; UPTEA enactment/introduction status at publication; counsel review of the § 20.3 no-inference passage.</w:t>
      </w:r>
    </w:p>
    <w:p>
      <w:r>
        <w:br w:type="page"/>
      </w:r>
    </w:p>
    <w:p>
      <w:pPr>
        <w:pStyle w:val="Heading1"/>
      </w:pPr>
      <w:bookmarkStart w:id="772" w:name="state-appendices"/>
      <w:r>
        <w:t xml:space="preserve">State Appendices</w:t>
      </w:r>
      <w:bookmarkEnd w:id="772"/>
    </w:p>
    <w:p>
      <w:pPr>
        <w:pStyle w:val="FirstParagraph"/>
      </w:pPr>
      <w:r>
        <w:rPr>
          <w:i/>
        </w:rPr>
        <w:t xml:space="preserve">One entry per granted state currently covered; entries follow a common architecture and carry their own verification queues. References to Appendix B (the instrument compendium) designate a companion appendix planned for the next edition.</w:t>
      </w:r>
    </w:p>
    <w:p>
      <w:r>
        <w:br w:type="page"/>
      </w:r>
    </w:p>
    <w:p>
      <w:pPr>
        <w:pStyle w:val="Heading1"/>
      </w:pPr>
      <w:bookmarkStart w:id="773" w:name="state-appendix-alaska"/>
      <w:r>
        <w:t xml:space="preserve">State Appendix — Alaska</w:t>
      </w:r>
      <w:bookmarkEnd w:id="773"/>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774" w:name="alaska"/>
      <w:r>
        <w:t xml:space="preserve">ALASKA</w:t>
      </w:r>
      <w:bookmarkEnd w:id="774"/>
    </w:p>
    <w:p>
      <w:pPr>
        <w:pStyle w:val="FirstParagraph"/>
      </w:pPr>
      <w:r>
        <w:rPr>
          <w:b/>
        </w:rPr>
        <w:t xml:space="preserve">Granting instrument.</w:t>
      </w:r>
      <w:r>
        <w:t xml:space="preserve"> </w:t>
      </w:r>
      <w:r>
        <w:t xml:space="preserve">Alaska Statehood Act of July 7, 1958 (Pub. L. 85-508, 72 Stat. 339)</w:t>
      </w:r>
      <w:r>
        <w:t xml:space="preserve"> </w:t>
      </w:r>
      <w:r>
        <w:t xml:space="preserve">[@act-alaska-1958]</w:t>
      </w:r>
      <w:r>
        <w:t xml:space="preserve"> </w:t>
      </w:r>
      <w:r>
        <w:t xml:space="preserve">— the structural departure: a lump-sum grant of approximately 103 million acres to be selected by the state for general purposes, plus separate grants for the University of Alaska and a separate trust for mental health programs; the state required by constitutional ordinance to disclaim title to unappropriated public lands and to accept the grants as a compact with the United States. → § 2.6 (the Alaska departure); § 2.7; Appendix B.</w:t>
      </w:r>
    </w:p>
    <w:p>
      <w:pPr>
        <w:pStyle w:val="BodyText"/>
      </w:pPr>
      <w:r>
        <w:rPr>
          <w:b/>
        </w:rPr>
        <w:t xml:space="preserve">Constitutional reception and administering body.</w:t>
      </w:r>
      <w:r>
        <w:t xml:space="preserve"> </w:t>
      </w:r>
      <w:r>
        <w:t xml:space="preserve">Alaska was admitted January 3, 1959. The bulk of common-school support flows from the Alaska Permanent Fund, capitalized from petroleum royalties under Article IX, Section 15 of the Alaska Constitution</w:t>
      </w:r>
      <w:r>
        <w:t xml:space="preserve"> </w:t>
      </w:r>
      <w:r>
        <w:t xml:space="preserve">[@const-ak-art9]</w:t>
      </w:r>
      <w:r>
        <w:t xml:space="preserve">, rather than from a sections-16-and-36 trust; the dedicated land trusts (University, Mental Health) operate alongside it. [CITE PENDING in dossier for current corpus values of the University and Mental Health trusts.] → Ch. 3.</w:t>
      </w:r>
    </w:p>
    <w:p>
      <w:pPr>
        <w:pStyle w:val="BodyText"/>
      </w:pPr>
      <w:r>
        <w:rPr>
          <w:b/>
        </w:rPr>
        <w:t xml:space="preserve">Why Alaska matters to the field.</w:t>
      </w:r>
      <w:r>
        <w:t xml:space="preserve"> </w:t>
      </w:r>
      <w:r>
        <w:t xml:space="preserve">Alaska’s courts have produced two of the country’s most demanding trust rulings — refusing silent diversion (</w:t>
      </w:r>
      <w:r>
        <w:rPr>
          <w:i/>
        </w:rPr>
        <w:t xml:space="preserve">University of Alaska</w:t>
      </w:r>
      <w:r>
        <w:t xml:space="preserve">) and wholesale termination (</w:t>
      </w:r>
      <w:r>
        <w:rPr>
          <w:i/>
        </w:rPr>
        <w:t xml:space="preserve">Weiss</w:t>
      </w:r>
      <w:r>
        <w:t xml:space="preserve">) — on hybrid facts that test the doctrine outside the sections-16-and-36 pattern.</w:t>
      </w:r>
      <w:r>
        <w:t xml:space="preserve"> </w:t>
      </w:r>
      <w:r>
        <w:rPr>
          <w:i/>
        </w:rPr>
        <w:t xml:space="preserve">Weiss</w:t>
      </w:r>
      <w:r>
        <w:t xml:space="preserve"> </w:t>
      </w:r>
      <w:r>
        <w:t xml:space="preserve">is the leading national authority that a state cannot legislate a federal land trust out of existence by absorbing it into general government.</w:t>
      </w:r>
    </w:p>
    <w:p>
      <w:pPr>
        <w:pStyle w:val="Heading3"/>
      </w:pPr>
      <w:bookmarkStart w:id="775" w:name="the-cases"/>
      <w:r>
        <w:t xml:space="preserve">The cases</w:t>
      </w:r>
      <w:bookmarkEnd w:id="775"/>
    </w:p>
    <w:p>
      <w:pPr>
        <w:numPr>
          <w:ilvl w:val="0"/>
          <w:numId w:val="1020"/>
        </w:numPr>
        <w:pStyle w:val="Compact"/>
      </w:pPr>
      <w:r>
        <w:rPr>
          <w:b/>
        </w:rPr>
        <w:t xml:space="preserve">State v. University of Alaska</w:t>
      </w:r>
      <w:r>
        <w:t xml:space="preserve">, 624 P.2d 807 (Alaska 1981)</w:t>
      </w:r>
      <w:r>
        <w:t xml:space="preserve"> </w:t>
      </w:r>
      <w:r>
        <w:t xml:space="preserve">[@university-of-alaska-1981]</w:t>
      </w:r>
      <w:r>
        <w:t xml:space="preserve">.</w:t>
      </w:r>
    </w:p>
    <w:p>
      <w:pPr>
        <w:numPr>
          <w:ilvl w:val="1"/>
          <w:numId w:val="1021"/>
        </w:numPr>
        <w:pStyle w:val="Compact"/>
      </w:pPr>
      <w:r>
        <w:rPr>
          <w:i/>
        </w:rPr>
        <w:t xml:space="preserve">Posture.</w:t>
      </w:r>
      <w:r>
        <w:t xml:space="preserve"> </w:t>
      </w:r>
      <w:r>
        <w:t xml:space="preserve">The state included university trust land in a state park without compensation; held a breach.</w:t>
      </w:r>
    </w:p>
    <w:p>
      <w:pPr>
        <w:numPr>
          <w:ilvl w:val="1"/>
          <w:numId w:val="1021"/>
        </w:numPr>
        <w:pStyle w:val="Compact"/>
      </w:pPr>
      <w:r>
        <w:rPr>
          <w:i/>
        </w:rPr>
        <w:t xml:space="preserve">Holdings.</w:t>
      </w:r>
      <w:r>
        <w:t xml:space="preserve"> </w:t>
      </w:r>
      <w:r>
        <w:t xml:space="preserve">The state committed</w:t>
      </w:r>
      <w:r>
        <w:t xml:space="preserve"> </w:t>
      </w:r>
      <w:r>
        <w:t xml:space="preserve">“</w:t>
      </w:r>
      <w:r>
        <w:t xml:space="preserve">a breach of a federal trust.</w:t>
      </w:r>
      <w:r>
        <w:t xml:space="preserve">”</w:t>
      </w:r>
      <w:r>
        <w:t xml:space="preserve"> </w:t>
      </w:r>
      <w:r>
        <w:t xml:space="preserve">On congressional intent:</w:t>
      </w:r>
      <w:r>
        <w:t xml:space="preserve"> </w:t>
      </w:r>
      <w:r>
        <w:t xml:space="preserve">“</w:t>
      </w:r>
      <w:r>
        <w:t xml:space="preserve">the grants provide the most substantial support possible to the beneficiaries and that</w:t>
      </w:r>
      <w:r>
        <w:t xml:space="preserve"> </w:t>
      </w:r>
      <w:r>
        <w:rPr>
          <w:i/>
        </w:rPr>
        <w:t xml:space="preserve">only</w:t>
      </w:r>
      <w:r>
        <w:t xml:space="preserve"> </w:t>
      </w:r>
      <w:r>
        <w:t xml:space="preserve">those beneficiaries profit from the trust</w:t>
      </w:r>
      <w:r>
        <w:t xml:space="preserve">”</w:t>
      </w:r>
      <w:r>
        <w:t xml:space="preserve"> </w:t>
      </w:r>
      <w:r>
        <w:t xml:space="preserve">(p. 813), and</w:t>
      </w:r>
      <w:r>
        <w:t xml:space="preserve"> </w:t>
      </w:r>
      <w:r>
        <w:t xml:space="preserve">“</w:t>
      </w:r>
      <w:r>
        <w:t xml:space="preserve">it is the duty of a trustee to administer the trust solely in the interest of the beneficiaries</w:t>
      </w:r>
      <w:r>
        <w:t xml:space="preserve">”</w:t>
      </w:r>
      <w:r>
        <w:t xml:space="preserve"> </w:t>
      </w:r>
      <w:r>
        <w:t xml:space="preserve">(p. 813). On the park inclusion:</w:t>
      </w:r>
      <w:r>
        <w:t xml:space="preserve"> </w:t>
      </w:r>
      <w:r>
        <w:t xml:space="preserve">“</w:t>
      </w:r>
      <w:r>
        <w:t xml:space="preserve">It is apparent that this objective is incompatible with the objective of using university land for the</w:t>
      </w:r>
      <w:r>
        <w:t xml:space="preserve"> </w:t>
      </w:r>
      <w:r>
        <w:t xml:space="preserve">‘</w:t>
      </w:r>
      <w:r>
        <w:t xml:space="preserve">exclusive use and benefit</w:t>
      </w:r>
      <w:r>
        <w:t xml:space="preserve">’</w:t>
      </w:r>
      <w:r>
        <w:t xml:space="preserve"> </w:t>
      </w:r>
      <w:r>
        <w:t xml:space="preserve">of the university. The implied intent of the grant was to maximize the economic return from the land for the benefit of the university. This intent cannot be accomplished if the use of the land is restricted to any significant degree</w:t>
      </w:r>
      <w:r>
        <w:t xml:space="preserve">”</w:t>
      </w:r>
      <w:r>
        <w:t xml:space="preserve"> </w:t>
      </w:r>
      <w:r>
        <w:t xml:space="preserve">(p. 813).</w:t>
      </w:r>
    </w:p>
    <w:p>
      <w:pPr>
        <w:numPr>
          <w:ilvl w:val="1"/>
          <w:numId w:val="1021"/>
        </w:numPr>
        <w:pStyle w:val="Compact"/>
      </w:pPr>
      <w:r>
        <w:rPr>
          <w:i/>
        </w:rPr>
        <w:t xml:space="preserve">Supports:</w:t>
      </w:r>
      <w:r>
        <w:t xml:space="preserve"> </w:t>
      </w:r>
      <w:r>
        <w:t xml:space="preserve">Ch. 4 (§ 4.6(d), uncompensated diversion to other state purposes); Ch. 6 (loyalty; conservation use vs. subordination of the trust); Ch. 10 (intra-governmental transfers).</w:t>
      </w:r>
    </w:p>
    <w:p>
      <w:pPr>
        <w:numPr>
          <w:ilvl w:val="0"/>
          <w:numId w:val="1020"/>
        </w:numPr>
        <w:pStyle w:val="Compact"/>
      </w:pPr>
      <w:r>
        <w:rPr>
          <w:b/>
        </w:rPr>
        <w:t xml:space="preserve">State v. Weiss</w:t>
      </w:r>
      <w:r>
        <w:t xml:space="preserve">, 706 P.2d 681 (Alaska 1985)</w:t>
      </w:r>
      <w:r>
        <w:t xml:space="preserve"> </w:t>
      </w:r>
      <w:r>
        <w:t xml:space="preserve">[@weiss-1985]</w:t>
      </w:r>
      <w:r>
        <w:t xml:space="preserve">.</w:t>
      </w:r>
    </w:p>
    <w:p>
      <w:pPr>
        <w:numPr>
          <w:ilvl w:val="1"/>
          <w:numId w:val="1022"/>
        </w:numPr>
        <w:pStyle w:val="Compact"/>
      </w:pPr>
      <w:r>
        <w:rPr>
          <w:i/>
        </w:rPr>
        <w:t xml:space="preserve">Posture.</w:t>
      </w:r>
      <w:r>
        <w:t xml:space="preserve"> </w:t>
      </w:r>
      <w:r>
        <w:t xml:space="preserve">The state attempted to extinguish the Alaska Mental Health Trust; rejected.</w:t>
      </w:r>
    </w:p>
    <w:p>
      <w:pPr>
        <w:numPr>
          <w:ilvl w:val="1"/>
          <w:numId w:val="1022"/>
        </w:numPr>
        <w:pStyle w:val="Compact"/>
      </w:pPr>
      <w:r>
        <w:rPr>
          <w:i/>
        </w:rPr>
        <w:t xml:space="preserve">Holdings.</w:t>
      </w:r>
      <w:r>
        <w:t xml:space="preserve"> </w:t>
      </w:r>
      <w:r>
        <w:t xml:space="preserve">“</w:t>
      </w:r>
      <w:r>
        <w:t xml:space="preserve">It is a commonplace of the law that without trust property there can be no trust</w:t>
      </w:r>
      <w:r>
        <w:t xml:space="preserve">”</w:t>
      </w:r>
      <w:r>
        <w:t xml:space="preserve"> </w:t>
      </w:r>
      <w:r>
        <w:t xml:space="preserve">(p. 683);</w:t>
      </w:r>
      <w:r>
        <w:t xml:space="preserve"> </w:t>
      </w:r>
      <w:r>
        <w:t xml:space="preserve">“</w:t>
      </w:r>
      <w:r>
        <w:t xml:space="preserve">The fact that the state has provided mental health care in the past and will most likely do so in the future is no justification for termination of the trust</w:t>
      </w:r>
      <w:r>
        <w:t xml:space="preserve">”</w:t>
      </w:r>
      <w:r>
        <w:t xml:space="preserve"> </w:t>
      </w:r>
      <w:r>
        <w:t xml:space="preserve">(p. 683). Led to the multi-decade reconstitution of the Mental Health Trust; leading authority nationwide against termination-by-absorption.</w:t>
      </w:r>
    </w:p>
    <w:p>
      <w:pPr>
        <w:numPr>
          <w:ilvl w:val="1"/>
          <w:numId w:val="1022"/>
        </w:numPr>
        <w:pStyle w:val="Compact"/>
      </w:pPr>
      <w:r>
        <w:rPr>
          <w:i/>
        </w:rPr>
        <w:t xml:space="preserve">Supports:</w:t>
      </w:r>
      <w:r>
        <w:t xml:space="preserve"> </w:t>
      </w:r>
      <w:r>
        <w:t xml:space="preserve">Ch. 4 (§ 4.6(e), termination by absorption — lead case); Ch. 18 (restoration as remedy).</w:t>
      </w:r>
    </w:p>
    <w:p>
      <w:pPr>
        <w:pStyle w:val="Heading3"/>
      </w:pPr>
      <w:bookmarkStart w:id="776" w:name="X795a6e43901ad067a5580548094d338596ea6a0"/>
      <w:r>
        <w:t xml:space="preserve">Authorities identified but not yet verified</w:t>
      </w:r>
      <w:bookmarkEnd w:id="776"/>
    </w:p>
    <w:p>
      <w:pPr>
        <w:numPr>
          <w:ilvl w:val="0"/>
          <w:numId w:val="1023"/>
        </w:numPr>
        <w:pStyle w:val="Compact"/>
      </w:pPr>
      <w:r>
        <w:t xml:space="preserve">Whether the Permanent Fund operates in practice as a forever-trust for schools or as general revenue subject to political reallocation — a Library survey question, not yet a case line.</w:t>
      </w:r>
    </w:p>
    <w:p>
      <w:pPr>
        <w:pStyle w:val="Heading3"/>
      </w:pPr>
      <w:bookmarkStart w:id="777" w:name="Xe52597f2632c6eca19db01870e447491d90e6d0"/>
      <w:r>
        <w:t xml:space="preserve">Cross-reference map (section → Alaska authority)</w:t>
      </w:r>
      <w:bookmarkEnd w:id="777"/>
    </w:p>
    <w:tbl>
      <w:tblPr>
        <w:tblStyle w:val="Table"/>
        <w:tblW w:type="pct" w:w="0.0"/>
        <w:tblLook w:firstRow="1"/>
      </w:tblPr>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Alaska authority</w:t>
            </w:r>
          </w:p>
        </w:tc>
      </w:tr>
      <w:tr>
        <w:tc>
          <w:p>
            <w:pPr>
              <w:pStyle w:val="Compact"/>
              <w:jc w:val="left"/>
            </w:pPr>
            <w:r>
              <w:t xml:space="preserve">§ 2.6 (the Alaska departure)</w:t>
            </w:r>
          </w:p>
        </w:tc>
        <w:tc>
          <w:p>
            <w:pPr>
              <w:pStyle w:val="Compact"/>
              <w:jc w:val="left"/>
            </w:pPr>
            <w:r>
              <w:t xml:space="preserve">Alaska Statehood Act, 72 Stat. 339</w:t>
            </w:r>
          </w:p>
        </w:tc>
      </w:tr>
      <w:tr>
        <w:tc>
          <w:p>
            <w:pPr>
              <w:pStyle w:val="Compact"/>
              <w:jc w:val="left"/>
            </w:pPr>
            <w:r>
              <w:t xml:space="preserve">Ch. 3 (reception; Permanent Fund)</w:t>
            </w:r>
          </w:p>
        </w:tc>
        <w:tc>
          <w:p>
            <w:pPr>
              <w:pStyle w:val="Compact"/>
              <w:jc w:val="left"/>
            </w:pPr>
            <w:r>
              <w:t xml:space="preserve">Alaska Const. Art. IX § 15</w:t>
            </w:r>
          </w:p>
        </w:tc>
      </w:tr>
      <w:tr>
        <w:tc>
          <w:p>
            <w:pPr>
              <w:pStyle w:val="Compact"/>
              <w:jc w:val="left"/>
            </w:pPr>
            <w:r>
              <w:t xml:space="preserve">Ch. 4 § 4.6(d) (uncompensated diversion)</w:t>
            </w:r>
          </w:p>
        </w:tc>
        <w:tc>
          <w:p>
            <w:pPr>
              <w:pStyle w:val="Compact"/>
              <w:jc w:val="left"/>
            </w:pPr>
            <w:r>
              <w:t xml:space="preserve">University of Alaska</w:t>
            </w:r>
          </w:p>
        </w:tc>
      </w:tr>
      <w:tr>
        <w:tc>
          <w:p>
            <w:pPr>
              <w:pStyle w:val="Compact"/>
              <w:jc w:val="left"/>
            </w:pPr>
            <w:r>
              <w:t xml:space="preserve">Ch. 4 § 4.6(e) (termination by absorption)</w:t>
            </w:r>
          </w:p>
        </w:tc>
        <w:tc>
          <w:p>
            <w:pPr>
              <w:pStyle w:val="Compact"/>
              <w:jc w:val="left"/>
            </w:pPr>
            <w:r>
              <w:t xml:space="preserve">Weiss (lead)</w:t>
            </w:r>
          </w:p>
        </w:tc>
      </w:tr>
      <w:tr>
        <w:tc>
          <w:p>
            <w:pPr>
              <w:pStyle w:val="Compact"/>
              <w:jc w:val="left"/>
            </w:pPr>
            <w:r>
              <w:t xml:space="preserve">Ch. 6 (loyalty)</w:t>
            </w:r>
          </w:p>
        </w:tc>
        <w:tc>
          <w:p>
            <w:pPr>
              <w:pStyle w:val="Compact"/>
              <w:jc w:val="left"/>
            </w:pPr>
            <w:r>
              <w:t xml:space="preserve">University of Alaska</w:t>
            </w:r>
          </w:p>
        </w:tc>
      </w:tr>
      <w:tr>
        <w:tc>
          <w:p>
            <w:pPr>
              <w:pStyle w:val="Compact"/>
              <w:jc w:val="left"/>
            </w:pPr>
            <w:r>
              <w:t xml:space="preserve">Ch. 10 (intra-governmental transfers)</w:t>
            </w:r>
          </w:p>
        </w:tc>
        <w:tc>
          <w:p>
            <w:pPr>
              <w:pStyle w:val="Compact"/>
              <w:jc w:val="left"/>
            </w:pPr>
            <w:r>
              <w:t xml:space="preserve">University of Alaska</w:t>
            </w:r>
          </w:p>
        </w:tc>
      </w:tr>
      <w:tr>
        <w:tc>
          <w:p>
            <w:pPr>
              <w:pStyle w:val="Compact"/>
              <w:jc w:val="left"/>
            </w:pPr>
            <w:r>
              <w:t xml:space="preserve">Ch. 18 (restoration)</w:t>
            </w:r>
          </w:p>
        </w:tc>
        <w:tc>
          <w:p>
            <w:pPr>
              <w:pStyle w:val="Compact"/>
              <w:jc w:val="left"/>
            </w:pPr>
            <w:r>
              <w:t xml:space="preserve">Weiss</w:t>
            </w:r>
          </w:p>
        </w:tc>
      </w:tr>
    </w:tbl>
    <w:p>
      <w:r>
        <w:pict>
          <v:rect style="width:0;height:1.5pt" o:hralign="center" o:hrstd="t" o:hr="t"/>
        </w:pict>
      </w:r>
    </w:p>
    <w:p>
      <w:pPr>
        <w:pStyle w:val="FirstParagraph"/>
      </w:pPr>
      <w:r>
        <w:rPr>
          <w:i/>
        </w:rPr>
        <w:t xml:space="preserve">End of Alaska entry v1.</w:t>
      </w:r>
    </w:p>
    <w:p>
      <w:r>
        <w:br w:type="page"/>
      </w:r>
    </w:p>
    <w:p>
      <w:pPr>
        <w:pStyle w:val="Heading1"/>
      </w:pPr>
      <w:bookmarkStart w:id="778" w:name="state-appendix-arizona"/>
      <w:r>
        <w:t xml:space="preserve">State Appendix — Arizona</w:t>
      </w:r>
      <w:bookmarkEnd w:id="778"/>
    </w:p>
    <w:p>
      <w:pPr>
        <w:pStyle w:val="FirstParagraph"/>
      </w:pPr>
      <w:r>
        <w:rPr>
          <w:i/>
        </w:rPr>
        <w:t xml:space="preserve">Form per the Nebraska proving sample; cross-cites per the renumbered working edition (§§ where the chapter is drafted, chapter numbers elsewhere). Cross-checked against the Library’s authorities register.</w:t>
      </w:r>
    </w:p>
    <w:p>
      <w:r>
        <w:pict>
          <v:rect style="width:0;height:1.5pt" o:hralign="center" o:hrstd="t" o:hr="t"/>
        </w:pict>
      </w:r>
    </w:p>
    <w:p>
      <w:pPr>
        <w:pStyle w:val="Heading2"/>
      </w:pPr>
      <w:bookmarkStart w:id="779" w:name="arizona"/>
      <w:r>
        <w:t xml:space="preserve">ARIZONA</w:t>
      </w:r>
      <w:bookmarkEnd w:id="779"/>
    </w:p>
    <w:p>
      <w:pPr>
        <w:pStyle w:val="FirstParagraph"/>
      </w:pPr>
      <w:r>
        <w:rPr>
          <w:b/>
        </w:rPr>
        <w:t xml:space="preserve">Granting instrument.</w:t>
      </w:r>
      <w:r>
        <w:t xml:space="preserve"> </w:t>
      </w:r>
      <w:r>
        <w:t xml:space="preserve">New Mexico–Arizona Enabling Act of June 20, 1910 (36 Stat. 557; the Arizona trust covenants at § 28)</w:t>
      </w:r>
      <w:r>
        <w:t xml:space="preserve"> </w:t>
      </w:r>
      <w:r>
        <w:t xml:space="preserve">[@act-nmaz-1910]</w:t>
      </w:r>
      <w:r>
        <w:t xml:space="preserve"> </w:t>
      </w:r>
      <w:r>
        <w:t xml:space="preserve">— sections 2, 16, 32, and 36 of every township for common schools (the four-section arid-state grant), with additional grants for normal schools, the university, the state hospital, and other named institutions; lands and proceeds held</w:t>
      </w:r>
      <w:r>
        <w:t xml:space="preserve"> </w:t>
      </w:r>
      <w:r>
        <w:t xml:space="preserve">“</w:t>
      </w:r>
      <w:r>
        <w:t xml:space="preserve">in trust</w:t>
      </w:r>
      <w:r>
        <w:t xml:space="preserve">”</w:t>
      </w:r>
      <w:r>
        <w:t xml:space="preserve"> </w:t>
      </w:r>
      <w:r>
        <w:t xml:space="preserve">for the named beneficiaries, disposition only at appraised value and at public auction. → §§ 2.5, 2.7; Ch. 15; Appendix B.</w:t>
      </w:r>
    </w:p>
    <w:p>
      <w:pPr>
        <w:pStyle w:val="BodyText"/>
      </w:pPr>
      <w:r>
        <w:rPr>
          <w:b/>
        </w:rPr>
        <w:t xml:space="preserve">Constitutional reception and administering body.</w:t>
      </w:r>
      <w:r>
        <w:t xml:space="preserve"> </w:t>
      </w:r>
      <w:r>
        <w:t xml:space="preserve">Arizona was admitted in 1912 as the forty-eighth state. The Arizona State Land Department, under the direction of the State Land Commissioner, administers the trust; revenue flows to the Permanent Land Endowment Trust Fund, with K-12 common schools the dominant beneficiary alongside thirteen other named beneficiaries. [VERIFY constitutional article/section citations for Arizona’s acceptance and permanent-fund provisions — not yet carried in the corpus.] → Ch. 3.</w:t>
      </w:r>
    </w:p>
    <w:p>
      <w:pPr>
        <w:pStyle w:val="BodyText"/>
      </w:pPr>
      <w:r>
        <w:rPr>
          <w:b/>
        </w:rPr>
        <w:t xml:space="preserve">Why Arizona matters to the field.</w:t>
      </w:r>
      <w:r>
        <w:t xml:space="preserve"> </w:t>
      </w:r>
      <w:r>
        <w:t xml:space="preserve">Arizona is the jurisdiction where the United States Supreme Court did its late-twentieth-century work on the school trust:</w:t>
      </w:r>
      <w:r>
        <w:t xml:space="preserve"> </w:t>
      </w:r>
      <w:r>
        <w:rPr>
          <w:i/>
        </w:rPr>
        <w:t xml:space="preserve">Lassen</w:t>
      </w:r>
      <w:r>
        <w:t xml:space="preserve"> </w:t>
      </w:r>
      <w:r>
        <w:t xml:space="preserve">(1967),</w:t>
      </w:r>
      <w:r>
        <w:t xml:space="preserve"> </w:t>
      </w:r>
      <w:r>
        <w:rPr>
          <w:i/>
        </w:rPr>
        <w:t xml:space="preserve">Alamo</w:t>
      </w:r>
      <w:r>
        <w:t xml:space="preserve"> </w:t>
      </w:r>
      <w:r>
        <w:t xml:space="preserve">(1976), and</w:t>
      </w:r>
      <w:r>
        <w:t xml:space="preserve"> </w:t>
      </w:r>
      <w:r>
        <w:rPr>
          <w:i/>
        </w:rPr>
        <w:t xml:space="preserve">ASARCO v. Kadish</w:t>
      </w:r>
      <w:r>
        <w:t xml:space="preserve"> </w:t>
      </w:r>
      <w:r>
        <w:t xml:space="preserve">(1989) are all Arizona cases, and</w:t>
      </w:r>
      <w:r>
        <w:t xml:space="preserve"> </w:t>
      </w:r>
      <w:r>
        <w:rPr>
          <w:i/>
        </w:rPr>
        <w:t xml:space="preserve">Deer Valley</w:t>
      </w:r>
      <w:r>
        <w:t xml:space="preserve"> </w:t>
      </w:r>
      <w:r>
        <w:t xml:space="preserve">(1988) is the leading state-court articulation of the sovereign/trustee two-capacities distinction. The Arizona line supplies the rules that an intra-governmental transfer is not a substitute for compensation, that proceeds carry the trust forward, that trust land</w:t>
      </w:r>
      <w:r>
        <w:t xml:space="preserve"> </w:t>
      </w:r>
      <w:r>
        <w:t xml:space="preserve">“</w:t>
      </w:r>
      <w:r>
        <w:t xml:space="preserve">is not state land,</w:t>
      </w:r>
      <w:r>
        <w:t xml:space="preserve">”</w:t>
      </w:r>
      <w:r>
        <w:t xml:space="preserve"> </w:t>
      </w:r>
      <w:r>
        <w:t xml:space="preserve">and that statutes nonconforming with the Enabling Act are void.</w:t>
      </w:r>
    </w:p>
    <w:p>
      <w:pPr>
        <w:pStyle w:val="Heading3"/>
      </w:pPr>
      <w:bookmarkStart w:id="780" w:name="the-cases-1"/>
      <w:r>
        <w:t xml:space="preserve">The cases</w:t>
      </w:r>
      <w:bookmarkEnd w:id="780"/>
    </w:p>
    <w:p>
      <w:pPr>
        <w:numPr>
          <w:ilvl w:val="0"/>
          <w:numId w:val="1024"/>
        </w:numPr>
        <w:pStyle w:val="Compact"/>
      </w:pPr>
      <w:r>
        <w:rPr>
          <w:b/>
        </w:rPr>
        <w:t xml:space="preserve">Lassen v. Arizona ex rel. Arizona Highway Department</w:t>
      </w:r>
      <w:r>
        <w:t xml:space="preserve">, 385 U.S. 458 (1967)</w:t>
      </w:r>
      <w:r>
        <w:t xml:space="preserve"> </w:t>
      </w:r>
      <w:r>
        <w:t xml:space="preserve">[@lassen-1967]</w:t>
      </w:r>
      <w:r>
        <w:t xml:space="preserve">.</w:t>
      </w:r>
    </w:p>
    <w:p>
      <w:pPr>
        <w:numPr>
          <w:ilvl w:val="1"/>
          <w:numId w:val="1025"/>
        </w:numPr>
        <w:pStyle w:val="Compact"/>
      </w:pPr>
      <w:r>
        <w:rPr>
          <w:i/>
        </w:rPr>
        <w:t xml:space="preserve">Posture.</w:t>
      </w:r>
      <w:r>
        <w:t xml:space="preserve"> </w:t>
      </w:r>
      <w:r>
        <w:t xml:space="preserve">The Arizona Highway Department took school trust lands for highway rights-of-way, claiming an internal transfer between state agencies relieved it of trust duties; the U.S. Supreme Court rejected the claim.</w:t>
      </w:r>
    </w:p>
    <w:p>
      <w:pPr>
        <w:numPr>
          <w:ilvl w:val="1"/>
          <w:numId w:val="1025"/>
        </w:numPr>
        <w:pStyle w:val="Compact"/>
      </w:pPr>
      <w:r>
        <w:rPr>
          <w:i/>
        </w:rPr>
        <w:t xml:space="preserve">Holdings.</w:t>
      </w:r>
      <w:r>
        <w:t xml:space="preserve"> </w:t>
      </w:r>
      <w:r>
        <w:t xml:space="preserve">Arizona must compensate the trust at full appraised value when a state agency takes trust land.</w:t>
      </w:r>
      <w:r>
        <w:t xml:space="preserve"> </w:t>
      </w:r>
      <w:r>
        <w:t xml:space="preserve">“</w:t>
      </w:r>
      <w:r>
        <w:t xml:space="preserve">[T]he grants provide the most substantial support possible to the beneficiaries and that only those beneficiaries profit from the trust.</w:t>
      </w:r>
      <w:r>
        <w:t xml:space="preserve">”</w:t>
      </w:r>
      <w:r>
        <w:t xml:space="preserve"> </w:t>
      </w:r>
      <w:r>
        <w:t xml:space="preserve">The trusts are</w:t>
      </w:r>
      <w:r>
        <w:t xml:space="preserve"> </w:t>
      </w:r>
      <w:r>
        <w:t xml:space="preserve">“</w:t>
      </w:r>
      <w:r>
        <w:t xml:space="preserve">definite and specific … separate and independent</w:t>
      </w:r>
      <w:r>
        <w:t xml:space="preserve">”</w:t>
      </w:r>
      <w:r>
        <w:t xml:space="preserve"> </w:t>
      </w:r>
      <w:r>
        <w:t xml:space="preserve">[pin 466-67 per the Library’s authorities register]; the absence of the word</w:t>
      </w:r>
      <w:r>
        <w:t xml:space="preserve"> </w:t>
      </w:r>
      <w:r>
        <w:t xml:space="preserve">“</w:t>
      </w:r>
      <w:r>
        <w:t xml:space="preserve">trust</w:t>
      </w:r>
      <w:r>
        <w:t xml:space="preserve">”</w:t>
      </w:r>
      <w:r>
        <w:t xml:space="preserve"> </w:t>
      </w:r>
      <w:r>
        <w:t xml:space="preserve">is not determinative (filed Response, citing 460). The trust runs to the named beneficiaries, not to the State as a whole; the foundational federal precedent on intra-governmental transfers and the doctrinal floor on which</w:t>
      </w:r>
      <w:r>
        <w:t xml:space="preserve"> </w:t>
      </w:r>
      <w:r>
        <w:rPr>
          <w:i/>
        </w:rPr>
        <w:t xml:space="preserve">Deer Valley</w:t>
      </w:r>
      <w:r>
        <w:t xml:space="preserve"> </w:t>
      </w:r>
      <w:r>
        <w:t xml:space="preserve">and</w:t>
      </w:r>
      <w:r>
        <w:t xml:space="preserve"> </w:t>
      </w:r>
      <w:r>
        <w:rPr>
          <w:i/>
        </w:rPr>
        <w:t xml:space="preserve">ASARCO</w:t>
      </w:r>
      <w:r>
        <w:t xml:space="preserve"> </w:t>
      </w:r>
      <w:r>
        <w:t xml:space="preserve">were built.</w:t>
      </w:r>
    </w:p>
    <w:p>
      <w:pPr>
        <w:numPr>
          <w:ilvl w:val="1"/>
          <w:numId w:val="1025"/>
        </w:numPr>
        <w:pStyle w:val="Compact"/>
      </w:pPr>
      <w:r>
        <w:rPr>
          <w:i/>
        </w:rPr>
        <w:t xml:space="preserve">Supports:</w:t>
      </w:r>
      <w:r>
        <w:t xml:space="preserve"> </w:t>
      </w:r>
      <w:r>
        <w:t xml:space="preserve">Ch. 4 (the federal line, § 4.2); Ch. 5 (two capacities); Ch. 9 (full value); Ch. 10 (intra-governmental takings — lead federal case).</w:t>
      </w:r>
    </w:p>
    <w:p>
      <w:pPr>
        <w:numPr>
          <w:ilvl w:val="0"/>
          <w:numId w:val="1024"/>
        </w:numPr>
        <w:pStyle w:val="Compact"/>
      </w:pPr>
      <w:r>
        <w:rPr>
          <w:b/>
        </w:rPr>
        <w:t xml:space="preserve">Alamo Land &amp; Cattle Co., Inc. v. Arizona</w:t>
      </w:r>
      <w:r>
        <w:t xml:space="preserve">, 424 U.S. 295 (1976)</w:t>
      </w:r>
      <w:r>
        <w:t xml:space="preserve"> </w:t>
      </w:r>
      <w:r>
        <w:t xml:space="preserve">[@alamo-1976]</w:t>
      </w:r>
      <w:r>
        <w:t xml:space="preserve">.</w:t>
      </w:r>
    </w:p>
    <w:p>
      <w:pPr>
        <w:numPr>
          <w:ilvl w:val="1"/>
          <w:numId w:val="1026"/>
        </w:numPr>
        <w:pStyle w:val="Compact"/>
      </w:pPr>
      <w:r>
        <w:rPr>
          <w:i/>
        </w:rPr>
        <w:t xml:space="preserve">Posture.</w:t>
      </w:r>
      <w:r>
        <w:t xml:space="preserve"> </w:t>
      </w:r>
      <w:r>
        <w:t xml:space="preserve">U.S. Supreme Court; confirmed the trust status of trust-land proceeds.</w:t>
      </w:r>
    </w:p>
    <w:p>
      <w:pPr>
        <w:numPr>
          <w:ilvl w:val="1"/>
          <w:numId w:val="1026"/>
        </w:numPr>
        <w:pStyle w:val="Compact"/>
      </w:pPr>
      <w:r>
        <w:rPr>
          <w:i/>
        </w:rPr>
        <w:t xml:space="preserve">Holdings.</w:t>
      </w:r>
      <w:r>
        <w:t xml:space="preserve"> </w:t>
      </w:r>
      <w:r>
        <w:t xml:space="preserve">Proceeds of trust lands remain subject to the same trust as the lands themselves; the United States retains</w:t>
      </w:r>
      <w:r>
        <w:t xml:space="preserve"> </w:t>
      </w:r>
      <w:r>
        <w:t xml:space="preserve">“</w:t>
      </w:r>
      <w:r>
        <w:t xml:space="preserve">a continuing interest in the administration of both the lands and the funds which derive from them.</w:t>
      </w:r>
      <w:r>
        <w:t xml:space="preserve">”</w:t>
      </w:r>
      <w:r>
        <w:t xml:space="preserve"> </w:t>
      </w:r>
      <w:r>
        <w:t xml:space="preserve">Closes the loop</w:t>
      </w:r>
      <w:r>
        <w:t xml:space="preserve"> </w:t>
      </w:r>
      <w:r>
        <w:rPr>
          <w:i/>
        </w:rPr>
        <w:t xml:space="preserve">Lassen</w:t>
      </w:r>
      <w:r>
        <w:t xml:space="preserve"> </w:t>
      </w:r>
      <w:r>
        <w:t xml:space="preserve">opened: the trust binds corpus and income, and the federal supervisory interest does not lapse at statehood.</w:t>
      </w:r>
    </w:p>
    <w:p>
      <w:pPr>
        <w:numPr>
          <w:ilvl w:val="1"/>
          <w:numId w:val="1026"/>
        </w:numPr>
        <w:pStyle w:val="Compact"/>
      </w:pPr>
      <w:r>
        <w:rPr>
          <w:i/>
        </w:rPr>
        <w:t xml:space="preserve">Supports:</w:t>
      </w:r>
      <w:r>
        <w:t xml:space="preserve"> </w:t>
      </w:r>
      <w:r>
        <w:t xml:space="preserve">§ 2.8 (continuing federal framework); Ch. 4 (§ 4.6(f), proceeds); Ch. 15 (the United States’ continuing interest).</w:t>
      </w:r>
    </w:p>
    <w:p>
      <w:pPr>
        <w:numPr>
          <w:ilvl w:val="0"/>
          <w:numId w:val="1024"/>
        </w:numPr>
        <w:pStyle w:val="Compact"/>
      </w:pPr>
      <w:r>
        <w:rPr>
          <w:b/>
        </w:rPr>
        <w:t xml:space="preserve">Deer Valley Unified School District No. 97 v. Superior Court</w:t>
      </w:r>
      <w:r>
        <w:t xml:space="preserve">, 157 Ariz. 537, 760 P.2d 537 (1988)</w:t>
      </w:r>
      <w:r>
        <w:t xml:space="preserve"> </w:t>
      </w:r>
      <w:r>
        <w:t xml:space="preserve">[@deer-valley-1988]</w:t>
      </w:r>
      <w:r>
        <w:t xml:space="preserve">.</w:t>
      </w:r>
    </w:p>
    <w:p>
      <w:pPr>
        <w:numPr>
          <w:ilvl w:val="1"/>
          <w:numId w:val="1027"/>
        </w:numPr>
        <w:pStyle w:val="Compact"/>
      </w:pPr>
      <w:r>
        <w:rPr>
          <w:i/>
        </w:rPr>
        <w:t xml:space="preserve">Posture.</w:t>
      </w:r>
      <w:r>
        <w:t xml:space="preserve"> </w:t>
      </w:r>
      <w:r>
        <w:t xml:space="preserve">A school district — itself within a beneficiary class of the trust — sought to condemn trust acreage administered by the State Land Commissioner; condemnation barred.</w:t>
      </w:r>
    </w:p>
    <w:p>
      <w:pPr>
        <w:numPr>
          <w:ilvl w:val="1"/>
          <w:numId w:val="1027"/>
        </w:numPr>
        <w:pStyle w:val="Compact"/>
      </w:pPr>
      <w:r>
        <w:rPr>
          <w:i/>
        </w:rPr>
        <w:t xml:space="preserve">Holdings.</w:t>
      </w:r>
      <w:r>
        <w:t xml:space="preserve"> </w:t>
      </w:r>
      <w:r>
        <w:t xml:space="preserve">Neither the state nor its political subdivisions may condemn school trust land. Trust land is not part of the State’s general estate but is held by the State as trustee for the specified beneficiaries; condemnation by any state actor would deprive the trust of the opportunity to obtain prices above appraised value at public auction. (The phrase</w:t>
      </w:r>
      <w:r>
        <w:t xml:space="preserve"> </w:t>
      </w:r>
      <w:r>
        <w:t xml:space="preserve">“</w:t>
      </w:r>
      <w:r>
        <w:t xml:space="preserve">is not state land,</w:t>
      </w:r>
      <w:r>
        <w:t xml:space="preserve">”</w:t>
      </w:r>
      <w:r>
        <w:t xml:space="preserve"> </w:t>
      </w:r>
      <w:r>
        <w:t xml:space="preserve">carried in some secondary materials, does not appear in the opinion; the court recounted the trial court’s reasoning that the trust land</w:t>
      </w:r>
      <w:r>
        <w:t xml:space="preserve"> </w:t>
      </w:r>
      <w:r>
        <w:t xml:space="preserve">“</w:t>
      </w:r>
      <w:r>
        <w:t xml:space="preserve">did not belong to the state</w:t>
      </w:r>
      <w:r>
        <w:t xml:space="preserve">”</w:t>
      </w:r>
      <w:r>
        <w:t xml:space="preserve"> </w:t>
      </w:r>
      <w:r>
        <w:t xml:space="preserve">and affirmed on the Enabling Act § 28 / Ariz. Const. art. 10 public-auction requirements.) The opinion (Vice Chief Justice Feldman) turns on the structural separation between the State-as-sovereign and the State-as-trustee: even when two state actors stand on opposite sides of a proposed transfer, the disposition requirements of the Enabling Act apply. Doctrinal cousin of</w:t>
      </w:r>
      <w:r>
        <w:t xml:space="preserve"> </w:t>
      </w:r>
      <w:r>
        <w:rPr>
          <w:i/>
        </w:rPr>
        <w:t xml:space="preserve">Kanaly</w:t>
      </w:r>
      <w:r>
        <w:t xml:space="preserve"> </w:t>
      </w:r>
      <w:r>
        <w:t xml:space="preserve">(S.D.), approaching the same principle from the condemnation direction.</w:t>
      </w:r>
    </w:p>
    <w:p>
      <w:pPr>
        <w:numPr>
          <w:ilvl w:val="1"/>
          <w:numId w:val="1027"/>
        </w:numPr>
        <w:pStyle w:val="Compact"/>
      </w:pPr>
      <w:r>
        <w:rPr>
          <w:i/>
        </w:rPr>
        <w:t xml:space="preserve">Supports:</w:t>
      </w:r>
      <w:r>
        <w:t xml:space="preserve"> </w:t>
      </w:r>
      <w:r>
        <w:t xml:space="preserve">Ch. 5 (two capacities — lead state case); Ch. 10 (condemnation bars).</w:t>
      </w:r>
    </w:p>
    <w:p>
      <w:pPr>
        <w:numPr>
          <w:ilvl w:val="0"/>
          <w:numId w:val="1024"/>
        </w:numPr>
        <w:pStyle w:val="Compact"/>
      </w:pPr>
      <w:r>
        <w:rPr>
          <w:b/>
        </w:rPr>
        <w:t xml:space="preserve">ASARCO Inc. v. Kadish</w:t>
      </w:r>
      <w:r>
        <w:t xml:space="preserve">, 490 U.S. 605 (1989)</w:t>
      </w:r>
      <w:r>
        <w:t xml:space="preserve"> </w:t>
      </w:r>
      <w:r>
        <w:t xml:space="preserve">[@asarco-1989]</w:t>
      </w:r>
      <w:r>
        <w:t xml:space="preserve">.</w:t>
      </w:r>
    </w:p>
    <w:p>
      <w:pPr>
        <w:numPr>
          <w:ilvl w:val="1"/>
          <w:numId w:val="1028"/>
        </w:numPr>
        <w:pStyle w:val="Compact"/>
      </w:pPr>
      <w:r>
        <w:rPr>
          <w:i/>
        </w:rPr>
        <w:t xml:space="preserve">Posture.</w:t>
      </w:r>
      <w:r>
        <w:t xml:space="preserve"> </w:t>
      </w:r>
      <w:r>
        <w:t xml:space="preserve">Arizona schoolteachers and the Arizona Education Association sued in state court alleging that A.R.S. § 27-234, the mineral-leasing statute for school trust lands, permitted dispositions without the appraisal and public-auction protections § 28 of the 1910 Enabling Act required; the Arizona Supreme Court invalidated the statute; lessees appealed; affirmed.</w:t>
      </w:r>
    </w:p>
    <w:p>
      <w:pPr>
        <w:numPr>
          <w:ilvl w:val="1"/>
          <w:numId w:val="1028"/>
        </w:numPr>
        <w:pStyle w:val="Compact"/>
      </w:pPr>
      <w:r>
        <w:rPr>
          <w:i/>
        </w:rPr>
        <w:t xml:space="preserve">Holdings.</w:t>
      </w:r>
      <w:r>
        <w:t xml:space="preserve"> </w:t>
      </w:r>
      <w:r>
        <w:t xml:space="preserve">Justice Kennedy framed the question:</w:t>
      </w:r>
      <w:r>
        <w:t xml:space="preserve"> </w:t>
      </w:r>
      <w:r>
        <w:t xml:space="preserve">“</w:t>
      </w:r>
      <w:r>
        <w:t xml:space="preserve">The ultimate question for our decision is whether Arizona’s statute governing mineral leases on state lands is void because it does not conform with the federal laws that originally granted those lands from the United States to Arizona.</w:t>
      </w:r>
      <w:r>
        <w:t xml:space="preserve">”</w:t>
      </w:r>
      <w:r>
        <w:t xml:space="preserve"> </w:t>
      </w:r>
      <w:r>
        <w:t xml:space="preserve">The Court answered yes: Congress</w:t>
      </w:r>
      <w:r>
        <w:t xml:space="preserve"> </w:t>
      </w:r>
      <w:r>
        <w:t xml:space="preserve">“</w:t>
      </w:r>
      <w:r>
        <w:t xml:space="preserve">provided . . . that the new State would hold those granted lands in trust and subject to the specific conditions set out in § 28 of the Act,</w:t>
      </w:r>
      <w:r>
        <w:t xml:space="preserve">”</w:t>
      </w:r>
      <w:r>
        <w:t xml:space="preserve"> </w:t>
      </w:r>
      <w:r>
        <w:t xml:space="preserve">and a nonconforming state statute could not stand. The most recent U.S. Supreme Court decision in the school-trust line; the modern restatement that state-court beneficiaries can enforce the federal-compact trust and that inconsistent statutes are void.</w:t>
      </w:r>
    </w:p>
    <w:p>
      <w:pPr>
        <w:numPr>
          <w:ilvl w:val="1"/>
          <w:numId w:val="1028"/>
        </w:numPr>
        <w:pStyle w:val="Compact"/>
      </w:pPr>
      <w:r>
        <w:rPr>
          <w:i/>
        </w:rPr>
        <w:t xml:space="preserve">Supports:</w:t>
      </w:r>
      <w:r>
        <w:t xml:space="preserve"> </w:t>
      </w:r>
      <w:r>
        <w:t xml:space="preserve">Ch. 4 (§§ 4.2, 4.6 — modern capstone of the federal line); Ch. 9 (appraisal and auction floors); Ch. 13 (beneficiary enforcement in state court); Ch. 18 (nullity).</w:t>
      </w:r>
    </w:p>
    <w:p>
      <w:pPr>
        <w:pStyle w:val="Heading3"/>
      </w:pPr>
      <w:bookmarkStart w:id="781" w:name="Xc44379bb6604e2178d03925d8825aa5817c4141"/>
      <w:r>
        <w:t xml:space="preserve">Authorities identified but not yet verified</w:t>
      </w:r>
      <w:bookmarkEnd w:id="781"/>
    </w:p>
    <w:p>
      <w:pPr>
        <w:numPr>
          <w:ilvl w:val="0"/>
          <w:numId w:val="1029"/>
        </w:numPr>
        <w:pStyle w:val="Compact"/>
      </w:pPr>
      <w:r>
        <w:rPr>
          <w:b/>
        </w:rPr>
        <w:t xml:space="preserve">Forest Guardians v. Wells</w:t>
      </w:r>
      <w:r>
        <w:t xml:space="preserve">, 201 Ariz. 255, 34 P.3d 364 (2001)</w:t>
      </w:r>
      <w:r>
        <w:t xml:space="preserve"> </w:t>
      </w:r>
      <w:r>
        <w:t xml:space="preserve">[@forest-guardians-wells-2001]</w:t>
      </w:r>
      <w:r>
        <w:t xml:space="preserve"> </w:t>
      </w:r>
      <w:r>
        <w:t xml:space="preserve">(Ariz. Supreme Court; Feldman, J.). Verified against the L0 opinion. The Commissioner rejected the highest bids for grazing leases because the bidders (conservation groups) intended to rest the land rather than graze it. The court vacated the court of appeals’ opinion, reversed the superior court, and remanded with instructions requiring the Commissioner to determine whether the high bids were, in the long term, in the best interest of the trust — grounding the analysis in the Commissioner’s fiduciary duty as trustee of the school trust lands. Feeds Ch. 4, Ch. 13.</w:t>
      </w:r>
    </w:p>
    <w:p>
      <w:pPr>
        <w:numPr>
          <w:ilvl w:val="0"/>
          <w:numId w:val="1029"/>
        </w:numPr>
        <w:pStyle w:val="Compact"/>
      </w:pPr>
      <w:r>
        <w:t xml:space="preserve">Current trust acreage (~9.2 million acres per dossier) and corpus value [CITE PENDING in dossier; verify for the state-profile headnote].</w:t>
      </w:r>
    </w:p>
    <w:p>
      <w:pPr>
        <w:numPr>
          <w:ilvl w:val="0"/>
          <w:numId w:val="1029"/>
        </w:numPr>
        <w:pStyle w:val="Compact"/>
      </w:pPr>
      <w:r>
        <w:rPr>
          <w:i/>
        </w:rPr>
        <w:t xml:space="preserve">Arizona Bar Journal</w:t>
      </w:r>
      <w:r>
        <w:t xml:space="preserve"> </w:t>
      </w:r>
      <w:r>
        <w:t xml:space="preserve">(Dec./Jan. 1988)</w:t>
      </w:r>
      <w:r>
        <w:t xml:space="preserve"> </w:t>
      </w:r>
      <w:r>
        <w:t xml:space="preserve">[@azbarj-cannon-1988]</w:t>
      </w:r>
      <w:r>
        <w:t xml:space="preserve"> </w:t>
      </w:r>
      <w:r>
        <w:t xml:space="preserve">— Judge Cannon:</w:t>
      </w:r>
      <w:r>
        <w:t xml:space="preserve"> </w:t>
      </w:r>
      <w:r>
        <w:t xml:space="preserve">“</w:t>
      </w:r>
      <w:r>
        <w:t xml:space="preserve">Beware of the Enabling Act; it’s guarding the hen house</w:t>
      </w:r>
      <w:r>
        <w:t xml:space="preserve">”</w:t>
      </w:r>
      <w:r>
        <w:t xml:space="preserve">;</w:t>
      </w:r>
      <w:r>
        <w:t xml:space="preserve"> </w:t>
      </w:r>
      <w:r>
        <w:t xml:space="preserve">“</w:t>
      </w:r>
      <w:r>
        <w:t xml:space="preserve">state trust land is not owned by the State of Arizona. It is held by the State in trust for specified beneficiaries.</w:t>
      </w:r>
      <w:r>
        <w:t xml:space="preserve">”</w:t>
      </w:r>
      <w:r>
        <w:t xml:space="preserve"> </w:t>
      </w:r>
      <w:r>
        <w:t xml:space="preserve">Ch. 5 epigraph candidate (secondary authority; quotation carried per dossier).</w:t>
      </w:r>
    </w:p>
    <w:p>
      <w:pPr>
        <w:pStyle w:val="Heading3"/>
      </w:pPr>
      <w:bookmarkStart w:id="782" w:name="X2807f5a5c94afec7952ec0c6b0502c723c031d1"/>
      <w:r>
        <w:t xml:space="preserve">Cross-reference map (section → Arizona authority)</w:t>
      </w:r>
      <w:bookmarkEnd w:id="782"/>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Arizona authority</w:t>
            </w:r>
          </w:p>
        </w:tc>
      </w:tr>
      <w:tr>
        <w:tc>
          <w:p>
            <w:pPr>
              <w:pStyle w:val="Compact"/>
              <w:jc w:val="left"/>
            </w:pPr>
            <w:r>
              <w:t xml:space="preserve">§ 2.5 (four-section generation; 1910 Act)</w:t>
            </w:r>
          </w:p>
        </w:tc>
        <w:tc>
          <w:p>
            <w:pPr>
              <w:pStyle w:val="Compact"/>
              <w:jc w:val="left"/>
            </w:pPr>
            <w:r>
              <w:t xml:space="preserve">NM-AZ Enabling Act, 36 Stat. 557, § 28</w:t>
            </w:r>
          </w:p>
        </w:tc>
      </w:tr>
      <w:tr>
        <w:tc>
          <w:p>
            <w:pPr>
              <w:pStyle w:val="Compact"/>
              <w:jc w:val="left"/>
            </w:pPr>
            <w:r>
              <w:t xml:space="preserve">§ 2.8 / Ch. 15 (continuing federal interest)</w:t>
            </w:r>
          </w:p>
        </w:tc>
        <w:tc>
          <w:p>
            <w:pPr>
              <w:pStyle w:val="Compact"/>
              <w:jc w:val="left"/>
            </w:pPr>
            <w:r>
              <w:t xml:space="preserve">Alamo</w:t>
            </w:r>
          </w:p>
        </w:tc>
      </w:tr>
      <w:tr>
        <w:tc>
          <w:p>
            <w:pPr>
              <w:pStyle w:val="Compact"/>
              <w:jc w:val="left"/>
            </w:pPr>
            <w:r>
              <w:t xml:space="preserve">Ch. 4 § 4.2 (the federal line)</w:t>
            </w:r>
          </w:p>
        </w:tc>
        <w:tc>
          <w:p>
            <w:pPr>
              <w:pStyle w:val="Compact"/>
              <w:jc w:val="left"/>
            </w:pPr>
            <w:r>
              <w:t xml:space="preserve">Lassen; ASARCO</w:t>
            </w:r>
          </w:p>
        </w:tc>
      </w:tr>
      <w:tr>
        <w:tc>
          <w:p>
            <w:pPr>
              <w:pStyle w:val="Compact"/>
              <w:jc w:val="left"/>
            </w:pPr>
            <w:r>
              <w:t xml:space="preserve">Ch. 4 § 4.6(f) (proceeds carry the trust)</w:t>
            </w:r>
          </w:p>
        </w:tc>
        <w:tc>
          <w:p>
            <w:pPr>
              <w:pStyle w:val="Compact"/>
              <w:jc w:val="left"/>
            </w:pPr>
            <w:r>
              <w:t xml:space="preserve">Alamo</w:t>
            </w:r>
          </w:p>
        </w:tc>
      </w:tr>
      <w:tr>
        <w:tc>
          <w:p>
            <w:pPr>
              <w:pStyle w:val="Compact"/>
              <w:jc w:val="left"/>
            </w:pPr>
            <w:r>
              <w:t xml:space="preserve">Ch. 5 (sovereign vs. trustee)</w:t>
            </w:r>
          </w:p>
        </w:tc>
        <w:tc>
          <w:p>
            <w:pPr>
              <w:pStyle w:val="Compact"/>
              <w:jc w:val="left"/>
            </w:pPr>
            <w:r>
              <w:t xml:space="preserve">Deer Valley (lead); Lassen</w:t>
            </w:r>
          </w:p>
        </w:tc>
      </w:tr>
      <w:tr>
        <w:tc>
          <w:p>
            <w:pPr>
              <w:pStyle w:val="Compact"/>
              <w:jc w:val="left"/>
            </w:pPr>
            <w:r>
              <w:t xml:space="preserve">Ch. 9 (full value; auction)</w:t>
            </w:r>
          </w:p>
        </w:tc>
        <w:tc>
          <w:p>
            <w:pPr>
              <w:pStyle w:val="Compact"/>
              <w:jc w:val="left"/>
            </w:pPr>
            <w:r>
              <w:t xml:space="preserve">Lassen; ASARCO</w:t>
            </w:r>
          </w:p>
        </w:tc>
      </w:tr>
      <w:tr>
        <w:tc>
          <w:p>
            <w:pPr>
              <w:pStyle w:val="Compact"/>
              <w:jc w:val="left"/>
            </w:pPr>
            <w:r>
              <w:t xml:space="preserve">Ch. 10 (intra-governmental takings; condemnation)</w:t>
            </w:r>
          </w:p>
        </w:tc>
        <w:tc>
          <w:p>
            <w:pPr>
              <w:pStyle w:val="Compact"/>
              <w:jc w:val="left"/>
            </w:pPr>
            <w:r>
              <w:t xml:space="preserve">Lassen (lead federal); Deer Valley</w:t>
            </w:r>
          </w:p>
        </w:tc>
      </w:tr>
      <w:tr>
        <w:tc>
          <w:p>
            <w:pPr>
              <w:pStyle w:val="Compact"/>
              <w:jc w:val="left"/>
            </w:pPr>
            <w:r>
              <w:t xml:space="preserve">Ch. 13 (beneficiary enforcement)</w:t>
            </w:r>
          </w:p>
        </w:tc>
        <w:tc>
          <w:p>
            <w:pPr>
              <w:pStyle w:val="Compact"/>
              <w:jc w:val="left"/>
            </w:pPr>
            <w:r>
              <w:t xml:space="preserve">ASARCO; Forest Guardians v. Wells, 201 Ariz. 255</w:t>
            </w:r>
          </w:p>
        </w:tc>
      </w:tr>
      <w:tr>
        <w:tc>
          <w:p>
            <w:pPr>
              <w:pStyle w:val="Compact"/>
              <w:jc w:val="left"/>
            </w:pPr>
            <w:r>
              <w:t xml:space="preserve">Ch. 18 (nullity)</w:t>
            </w:r>
          </w:p>
        </w:tc>
        <w:tc>
          <w:p>
            <w:pPr>
              <w:pStyle w:val="Compact"/>
              <w:jc w:val="left"/>
            </w:pPr>
            <w:r>
              <w:t xml:space="preserve">ASARCO (A.R.S. § 27-234 void)</w:t>
            </w:r>
          </w:p>
        </w:tc>
      </w:tr>
    </w:tbl>
    <w:p>
      <w:r>
        <w:pict>
          <v:rect style="width:0;height:1.5pt" o:hralign="center" o:hrstd="t" o:hr="t"/>
        </w:pict>
      </w:r>
    </w:p>
    <w:p>
      <w:pPr>
        <w:pStyle w:val="FirstParagraph"/>
      </w:pPr>
      <w:r>
        <w:rPr>
          <w:i/>
        </w:rPr>
        <w:t xml:space="preserve">End of Arizona entry v1.</w:t>
      </w:r>
    </w:p>
    <w:p>
      <w:r>
        <w:br w:type="page"/>
      </w:r>
    </w:p>
    <w:p>
      <w:pPr>
        <w:pStyle w:val="Heading1"/>
      </w:pPr>
      <w:bookmarkStart w:id="783" w:name="state-appendix-california"/>
      <w:r>
        <w:t xml:space="preserve">State Appendix — California</w:t>
      </w:r>
      <w:bookmarkEnd w:id="783"/>
    </w:p>
    <w:p>
      <w:pPr>
        <w:pStyle w:val="FirstParagraph"/>
      </w:pPr>
      <w:r>
        <w:rPr>
          <w:i/>
        </w:rPr>
        <w:t xml:space="preserve">Stub entry. The verified hornbook corpus holds no case law for this state (the Library’s authorities register G-8); the case line is queued — see the verification queue (Priority 3). Instrument citation carried as given in the Fifty-States encyclopedia dossier; candidate authorities named there are listed for the harvest, not for citation.</w:t>
      </w:r>
    </w:p>
    <w:p>
      <w:r>
        <w:pict>
          <v:rect style="width:0;height:1.5pt" o:hralign="center" o:hrstd="t" o:hr="t"/>
        </w:pict>
      </w:r>
    </w:p>
    <w:p>
      <w:pPr>
        <w:pStyle w:val="Heading2"/>
      </w:pPr>
      <w:bookmarkStart w:id="784" w:name="california-stub"/>
      <w:r>
        <w:t xml:space="preserve">CALIFORNIA (stub)</w:t>
      </w:r>
      <w:bookmarkEnd w:id="784"/>
    </w:p>
    <w:p>
      <w:pPr>
        <w:pStyle w:val="FirstParagraph"/>
      </w:pPr>
      <w:r>
        <w:rPr>
          <w:b/>
        </w:rPr>
        <w:t xml:space="preserve">Granting instrument.</w:t>
      </w:r>
      <w:r>
        <w:t xml:space="preserve"> </w:t>
      </w:r>
      <w:r>
        <w:t xml:space="preserve">Act of September 9, 1850, ch. 50, 9 Stat. 452 (admission); per the Fifty-States dossier the operative sections-16-and-36 school grant came through the 1853 public-land survey act rather than the short admission act itself, with indemnity selection for unavailable sections [VERIFY exact 1853 citation before Appendix B use]. → § 2.4; Appendix B.</w:t>
      </w:r>
    </w:p>
    <w:p>
      <w:pPr>
        <w:pStyle w:val="BodyText"/>
      </w:pPr>
      <w:r>
        <w:rPr>
          <w:b/>
        </w:rPr>
        <w:t xml:space="preserve">Case line.</w:t>
      </w:r>
      <w:r>
        <w:t xml:space="preserve"> </w:t>
      </w:r>
      <w:r>
        <w:t xml:space="preserve">Not yet collected into the verified corpus — see the verification queue (Priority 3). One item flagged in the Library’s authorities register:</w:t>
      </w:r>
      <w:r>
        <w:t xml:space="preserve"> </w:t>
      </w:r>
      <w:r>
        <w:rPr>
          <w:b/>
        </w:rPr>
        <w:t xml:space="preserve">Sherman v. Buick</w:t>
      </w:r>
      <w:r>
        <w:t xml:space="preserve">, 50 Cal. 421 (1875)</w:t>
      </w:r>
      <w:r>
        <w:t xml:space="preserve"> </w:t>
      </w:r>
      <w:r>
        <w:t xml:space="preserve">[@sherman-1875]</w:t>
      </w:r>
      <w:r>
        <w:t xml:space="preserve"> </w:t>
      </w:r>
      <w:r>
        <w:t xml:space="preserve">— appeared in the v11 draft Table of Authorities with a blank page reference; use not carried into the filed Response.</w:t>
      </w:r>
      <w:r>
        <w:t xml:space="preserve"> </w:t>
      </w:r>
      <w:r>
        <w:rPr>
          <w:b/>
        </w:rPr>
        <w:t xml:space="preserve">The exact</w:t>
      </w:r>
      <w:r>
        <w:rPr>
          <w:b/>
        </w:rPr>
        <w:t xml:space="preserve"> </w:t>
      </w:r>
      <w:r>
        <w:rPr>
          <w:b/>
        </w:rPr>
        <w:t xml:space="preserve">“</w:t>
      </w:r>
      <w:r>
        <w:rPr>
          <w:b/>
        </w:rPr>
        <w:t xml:space="preserve">50 Cal. 421 (1875)</w:t>
      </w:r>
      <w:r>
        <w:rPr>
          <w:b/>
        </w:rPr>
        <w:t xml:space="preserve">”</w:t>
      </w:r>
      <w:r>
        <w:rPr>
          <w:b/>
        </w:rPr>
        <w:t xml:space="preserve"> </w:t>
      </w:r>
      <w:r>
        <w:rPr>
          <w:b/>
        </w:rPr>
        <w:t xml:space="preserve">citation is not on CourtListener and could not be verified against a primary; the flag stands.</w:t>
      </w:r>
      <w:r>
        <w:t xml:space="preserve"> </w:t>
      </w:r>
      <w:r>
        <w:t xml:space="preserve">The L0 corpus does hold the same litigation’s 1873 round,</w:t>
      </w:r>
      <w:r>
        <w:t xml:space="preserve"> </w:t>
      </w:r>
      <w:r>
        <w:rPr>
          <w:i/>
        </w:rPr>
        <w:t xml:space="preserve">Sherman v. Buick</w:t>
      </w:r>
      <w:r>
        <w:t xml:space="preserve">, 45 Cal. 656 (1873), which held that under the 1853 California school-land grant title to each 16th/36th section vested absolutely in the State upon survey (later reversed on the settler’s-preemption point by the U.S. Supreme Court in</w:t>
      </w:r>
      <w:r>
        <w:t xml:space="preserve"> </w:t>
      </w:r>
      <w:r>
        <w:rPr>
          <w:i/>
        </w:rPr>
        <w:t xml:space="preserve">Sherman v. Buick</w:t>
      </w:r>
      <w:r>
        <w:t xml:space="preserve">, 93 U.S. 209 (1876)). Confirm whether the intended authority is the 1873 round, the 1875 round, or the U.S. Supreme Court reversal before any hornbook citation. The Fifty-States dossier’s Pass 1 finding — that no definitive California fiduciary-breach decision under the 1850/1853 grants surfaced, and that the state’s large-scale 19th-century disposition without a preserved permanent-fund corpus makes California the</w:t>
      </w:r>
      <w:r>
        <w:t xml:space="preserve"> </w:t>
      </w:r>
      <w:r>
        <w:t xml:space="preserve">“</w:t>
      </w:r>
      <w:r>
        <w:t xml:space="preserve">failure by omission</w:t>
      </w:r>
      <w:r>
        <w:t xml:space="preserve">”</w:t>
      </w:r>
      <w:r>
        <w:t xml:space="preserve"> </w:t>
      </w:r>
      <w:r>
        <w:t xml:space="preserve">case — is itself a candidate observation for Ch. 12 and Ch. 19, pending Pass 2 verification.</w:t>
      </w:r>
    </w:p>
    <w:p>
      <w:r>
        <w:pict>
          <v:rect style="width:0;height:1.5pt" o:hralign="center" o:hrstd="t" o:hr="t"/>
        </w:pict>
      </w:r>
    </w:p>
    <w:p>
      <w:pPr>
        <w:pStyle w:val="FirstParagraph"/>
      </w:pPr>
      <w:r>
        <w:rPr>
          <w:i/>
        </w:rPr>
        <w:t xml:space="preserve">End of California stub v0.</w:t>
      </w:r>
    </w:p>
    <w:p>
      <w:r>
        <w:br w:type="page"/>
      </w:r>
    </w:p>
    <w:p>
      <w:pPr>
        <w:pStyle w:val="Heading1"/>
      </w:pPr>
      <w:bookmarkStart w:id="785" w:name="state-appendix-colorado"/>
      <w:r>
        <w:t xml:space="preserve">State Appendix — Colorado</w:t>
      </w:r>
      <w:bookmarkEnd w:id="785"/>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786" w:name="colorado"/>
      <w:r>
        <w:t xml:space="preserve">COLORADO</w:t>
      </w:r>
      <w:bookmarkEnd w:id="786"/>
    </w:p>
    <w:p>
      <w:pPr>
        <w:pStyle w:val="FirstParagraph"/>
      </w:pPr>
      <w:r>
        <w:rPr>
          <w:b/>
        </w:rPr>
        <w:t xml:space="preserve">Granting instrument.</w:t>
      </w:r>
      <w:r>
        <w:t xml:space="preserve"> </w:t>
      </w:r>
      <w:r>
        <w:t xml:space="preserve">Colorado Enabling Act of March 3, 1875 (18 Stat. 474)</w:t>
      </w:r>
      <w:r>
        <w:t xml:space="preserve"> </w:t>
      </w:r>
      <w:r>
        <w:t xml:space="preserve">[@act-colorado-1875]</w:t>
      </w:r>
      <w:r>
        <w:t xml:space="preserve"> </w:t>
      </w:r>
      <w:r>
        <w:t xml:space="preserve">— sections 16 and 36 of every township for the support of common schools; proceeds of any disposition held in a permanent fund, subject to inviolability. → §§ 2.4, 2.7; Appendix B.</w:t>
      </w:r>
    </w:p>
    <w:p>
      <w:pPr>
        <w:pStyle w:val="BodyText"/>
      </w:pPr>
      <w:r>
        <w:rPr>
          <w:b/>
        </w:rPr>
        <w:t xml:space="preserve">Constitutional reception and administering body.</w:t>
      </w:r>
      <w:r>
        <w:t xml:space="preserve"> </w:t>
      </w:r>
      <w:r>
        <w:t xml:space="preserve">Colorado was admitted August 1, 1876; the 1876 Constitution accepted the grant and established the State Board of Land Commissioners as a constitutional body. Colorado is distinctive for having reformed its trust governance at the constitutional level by ballot initiative: Amendment 16 (1996)</w:t>
      </w:r>
      <w:r>
        <w:t xml:space="preserve"> </w:t>
      </w:r>
      <w:r>
        <w:t xml:space="preserve">[@const-co-amend16]</w:t>
      </w:r>
      <w:r>
        <w:t xml:space="preserve"> </w:t>
      </w:r>
      <w:r>
        <w:t xml:space="preserve">redefined the Land Board’s mandate and added stewardship and long-term-productivity duties — the provision that produced</w:t>
      </w:r>
      <w:r>
        <w:t xml:space="preserve"> </w:t>
      </w:r>
      <w:r>
        <w:rPr>
          <w:i/>
        </w:rPr>
        <w:t xml:space="preserve">Branson</w:t>
      </w:r>
      <w:r>
        <w:t xml:space="preserve">. → Ch. 3; Ch. 19.</w:t>
      </w:r>
    </w:p>
    <w:p>
      <w:pPr>
        <w:pStyle w:val="BodyText"/>
      </w:pPr>
      <w:r>
        <w:rPr>
          <w:b/>
        </w:rPr>
        <w:t xml:space="preserve">Why Colorado matters to the field.</w:t>
      </w:r>
      <w:r>
        <w:t xml:space="preserve"> </w:t>
      </w:r>
      <w:r>
        <w:rPr>
          <w:i/>
        </w:rPr>
        <w:t xml:space="preserve">Branson</w:t>
      </w:r>
      <w:r>
        <w:t xml:space="preserve"> </w:t>
      </w:r>
      <w:r>
        <w:t xml:space="preserve">is the federal-court test of state-level trust reform: the leading analysis of when structural change to a school trust is permissible reform and when it is impermissible diversion. It is also (per the litigation research corpus and the filed May 29, 2026 Response, pin 633) authority that the compact is an enforceable trust, that the Restatement applies to state trustees, and that school districts have beneficiary standing.</w:t>
      </w:r>
    </w:p>
    <w:p>
      <w:pPr>
        <w:pStyle w:val="Heading3"/>
      </w:pPr>
      <w:bookmarkStart w:id="787" w:name="the-cases-2"/>
      <w:r>
        <w:t xml:space="preserve">The cases</w:t>
      </w:r>
      <w:bookmarkEnd w:id="787"/>
    </w:p>
    <w:p>
      <w:pPr>
        <w:numPr>
          <w:ilvl w:val="0"/>
          <w:numId w:val="1030"/>
        </w:numPr>
        <w:pStyle w:val="Compact"/>
      </w:pPr>
      <w:r>
        <w:rPr>
          <w:b/>
        </w:rPr>
        <w:t xml:space="preserve">Branson School District RE-82 v. Romer</w:t>
      </w:r>
      <w:r>
        <w:t xml:space="preserve">, 958 F. Supp. 1501 (D. Colo. 1997), aff’d, 161 F.3d 619 (10th Cir. 1998)</w:t>
      </w:r>
      <w:r>
        <w:t xml:space="preserve"> </w:t>
      </w:r>
      <w:r>
        <w:t xml:space="preserve">[@branson-1998]</w:t>
      </w:r>
      <w:r>
        <w:t xml:space="preserve">.</w:t>
      </w:r>
    </w:p>
    <w:p>
      <w:pPr>
        <w:numPr>
          <w:ilvl w:val="1"/>
          <w:numId w:val="1031"/>
        </w:numPr>
        <w:pStyle w:val="Compact"/>
      </w:pPr>
      <w:r>
        <w:rPr>
          <w:i/>
        </w:rPr>
        <w:t xml:space="preserve">Posture.</w:t>
      </w:r>
      <w:r>
        <w:t xml:space="preserve"> </w:t>
      </w:r>
      <w:r>
        <w:t xml:space="preserve">School-district challenge to Colorado’s 1996 Amendment 16, which altered the State Land Board’s composition and management mandate; the reforms were sustained as reconcilable with the trust duty.</w:t>
      </w:r>
    </w:p>
    <w:p>
      <w:pPr>
        <w:numPr>
          <w:ilvl w:val="1"/>
          <w:numId w:val="1031"/>
        </w:numPr>
        <w:pStyle w:val="Compact"/>
      </w:pPr>
      <w:r>
        <w:rPr>
          <w:i/>
        </w:rPr>
        <w:t xml:space="preserve">Holdings.</w:t>
      </w:r>
      <w:r>
        <w:t xml:space="preserve"> </w:t>
      </w:r>
      <w:r>
        <w:t xml:space="preserve">The federal-state compact creating the school trust is an enforceable trust, not aspirational policy; the Restatement applies to state trustees; school-district beneficiary standing recognized; Amendment 16’s reforms — properly construed — could be reconciled with the Enabling Act’s trust obligations. Widely cited on the line between permissible structural reform and impermissible diversion of trust corpus. (Filed Response pin: 633.)</w:t>
      </w:r>
    </w:p>
    <w:p>
      <w:pPr>
        <w:numPr>
          <w:ilvl w:val="1"/>
          <w:numId w:val="1031"/>
        </w:numPr>
        <w:pStyle w:val="Compact"/>
      </w:pPr>
      <w:r>
        <w:rPr>
          <w:i/>
        </w:rPr>
        <w:t xml:space="preserve">Supports:</w:t>
      </w:r>
      <w:r>
        <w:t xml:space="preserve"> </w:t>
      </w:r>
      <w:r>
        <w:t xml:space="preserve">Ch. 2 (instruments as enforceable compacts); Ch. 4 (binding-trust character — federal-court accord); Ch. 13 (school-district standing); Ch. 19 (constitutional reform tested — lead case).</w:t>
      </w:r>
    </w:p>
    <w:p>
      <w:pPr>
        <w:pStyle w:val="Heading3"/>
      </w:pPr>
      <w:bookmarkStart w:id="788" w:name="X494e77fb550f53572ad4cbf67c85196ee16aead"/>
      <w:r>
        <w:t xml:space="preserve">Authorities identified but not yet verified</w:t>
      </w:r>
      <w:bookmarkEnd w:id="788"/>
    </w:p>
    <w:p>
      <w:pPr>
        <w:numPr>
          <w:ilvl w:val="0"/>
          <w:numId w:val="1032"/>
        </w:numPr>
        <w:pStyle w:val="Compact"/>
      </w:pPr>
      <w:r>
        <w:rPr>
          <w:b/>
        </w:rPr>
        <w:t xml:space="preserve">State ex rel. Bd. of Comm’rs v. Goldfield Mines, Inc.</w:t>
      </w:r>
      <w:r>
        <w:t xml:space="preserve"> </w:t>
      </w:r>
      <w:r>
        <w:t xml:space="preserve">and the Colorado Supreme Court line on royalty calculation and fair-market-value mineral leasing [CITE PENDING in dossier for full citation chain — verify before any hornbook use].</w:t>
      </w:r>
    </w:p>
    <w:p>
      <w:pPr>
        <w:numPr>
          <w:ilvl w:val="0"/>
          <w:numId w:val="1032"/>
        </w:numPr>
        <w:pStyle w:val="Compact"/>
      </w:pPr>
      <w:r>
        <w:t xml:space="preserve">Current corpus values (~2.8 million surface acres per dossier) [CITE PENDING in dossier].</w:t>
      </w:r>
    </w:p>
    <w:p>
      <w:pPr>
        <w:pStyle w:val="Heading3"/>
      </w:pPr>
      <w:bookmarkStart w:id="789" w:name="X50e70f82f684ae09561e9304752f6d438c2b045"/>
      <w:r>
        <w:t xml:space="preserve">Cross-reference map (section → Colorado authority)</w:t>
      </w:r>
      <w:bookmarkEnd w:id="789"/>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Colorado authority</w:t>
            </w:r>
          </w:p>
        </w:tc>
      </w:tr>
      <w:tr>
        <w:tc>
          <w:p>
            <w:pPr>
              <w:pStyle w:val="Compact"/>
              <w:jc w:val="left"/>
            </w:pPr>
            <w:r>
              <w:t xml:space="preserve">§ 2.4 (1875 Enabling Act)</w:t>
            </w:r>
          </w:p>
        </w:tc>
        <w:tc>
          <w:p>
            <w:pPr>
              <w:pStyle w:val="Compact"/>
              <w:jc w:val="left"/>
            </w:pPr>
            <w:r>
              <w:t xml:space="preserve">Colorado Enabling Act, 18 Stat. 474</w:t>
            </w:r>
          </w:p>
        </w:tc>
      </w:tr>
      <w:tr>
        <w:tc>
          <w:p>
            <w:pPr>
              <w:pStyle w:val="Compact"/>
              <w:jc w:val="left"/>
            </w:pPr>
            <w:r>
              <w:t xml:space="preserve">Ch. 3 (reception; constitutional land board)</w:t>
            </w:r>
          </w:p>
        </w:tc>
        <w:tc>
          <w:p>
            <w:pPr>
              <w:pStyle w:val="Compact"/>
              <w:jc w:val="left"/>
            </w:pPr>
            <w:r>
              <w:t xml:space="preserve">1876 Constitution; Amendment 16 (1996)</w:t>
            </w:r>
          </w:p>
        </w:tc>
      </w:tr>
      <w:tr>
        <w:tc>
          <w:p>
            <w:pPr>
              <w:pStyle w:val="Compact"/>
              <w:jc w:val="left"/>
            </w:pPr>
            <w:r>
              <w:t xml:space="preserve">Ch. 4 (binding-trust character)</w:t>
            </w:r>
          </w:p>
        </w:tc>
        <w:tc>
          <w:p>
            <w:pPr>
              <w:pStyle w:val="Compact"/>
              <w:jc w:val="left"/>
            </w:pPr>
            <w:r>
              <w:t xml:space="preserve">Branson</w:t>
            </w:r>
          </w:p>
        </w:tc>
      </w:tr>
      <w:tr>
        <w:tc>
          <w:p>
            <w:pPr>
              <w:pStyle w:val="Compact"/>
              <w:jc w:val="left"/>
            </w:pPr>
            <w:r>
              <w:t xml:space="preserve">Ch. 13 (school-district standing)</w:t>
            </w:r>
          </w:p>
        </w:tc>
        <w:tc>
          <w:p>
            <w:pPr>
              <w:pStyle w:val="Compact"/>
              <w:jc w:val="left"/>
            </w:pPr>
            <w:r>
              <w:t xml:space="preserve">Branson</w:t>
            </w:r>
          </w:p>
        </w:tc>
      </w:tr>
      <w:tr>
        <w:tc>
          <w:p>
            <w:pPr>
              <w:pStyle w:val="Compact"/>
              <w:jc w:val="left"/>
            </w:pPr>
            <w:r>
              <w:t xml:space="preserve">Ch. 19 (structural reform)</w:t>
            </w:r>
          </w:p>
        </w:tc>
        <w:tc>
          <w:p>
            <w:pPr>
              <w:pStyle w:val="Compact"/>
              <w:jc w:val="left"/>
            </w:pPr>
            <w:r>
              <w:t xml:space="preserve">Branson (lead); Amendment 16</w:t>
            </w:r>
          </w:p>
        </w:tc>
      </w:tr>
    </w:tbl>
    <w:p>
      <w:r>
        <w:pict>
          <v:rect style="width:0;height:1.5pt" o:hralign="center" o:hrstd="t" o:hr="t"/>
        </w:pict>
      </w:r>
    </w:p>
    <w:p>
      <w:pPr>
        <w:pStyle w:val="FirstParagraph"/>
      </w:pPr>
      <w:r>
        <w:rPr>
          <w:i/>
        </w:rPr>
        <w:t xml:space="preserve">End of Colorado entry v1.</w:t>
      </w:r>
    </w:p>
    <w:p>
      <w:r>
        <w:br w:type="page"/>
      </w:r>
    </w:p>
    <w:p>
      <w:pPr>
        <w:pStyle w:val="Heading1"/>
      </w:pPr>
      <w:bookmarkStart w:id="790" w:name="state-appendix-idaho"/>
      <w:r>
        <w:t xml:space="preserve">State Appendix — Idaho</w:t>
      </w:r>
      <w:bookmarkEnd w:id="790"/>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791" w:name="idaho"/>
      <w:r>
        <w:t xml:space="preserve">IDAHO</w:t>
      </w:r>
      <w:bookmarkEnd w:id="791"/>
    </w:p>
    <w:p>
      <w:pPr>
        <w:pStyle w:val="FirstParagraph"/>
      </w:pPr>
      <w:r>
        <w:rPr>
          <w:b/>
        </w:rPr>
        <w:t xml:space="preserve">Granting instrument.</w:t>
      </w:r>
      <w:r>
        <w:t xml:space="preserve"> </w:t>
      </w:r>
      <w:r>
        <w:t xml:space="preserve">Idaho Admission Act of July 3, 1890 (26 Stat. 215)</w:t>
      </w:r>
      <w:r>
        <w:t xml:space="preserve"> </w:t>
      </w:r>
      <w:r>
        <w:t xml:space="preserve">[@act-idaho-1890]</w:t>
      </w:r>
      <w:r>
        <w:t xml:space="preserve"> </w:t>
      </w:r>
      <w:r>
        <w:t xml:space="preserve">— sections 16 and 36 of every township in trust for common schools, with additional grants for the state university, normal schools, agricultural college, scientific schools, and other named institutions, each a distinct trust for its named beneficiary; ~3.65 million acres at grant. → §§ 2.4, 2.7; Appendix B.</w:t>
      </w:r>
    </w:p>
    <w:p>
      <w:pPr>
        <w:pStyle w:val="BodyText"/>
      </w:pPr>
      <w:r>
        <w:rPr>
          <w:b/>
        </w:rPr>
        <w:t xml:space="preserve">Constitutional reception and administering body.</w:t>
      </w:r>
      <w:r>
        <w:t xml:space="preserve"> </w:t>
      </w:r>
      <w:r>
        <w:t xml:space="preserve">Idaho Const. Art. IX, § 3</w:t>
      </w:r>
      <w:r>
        <w:t xml:space="preserve"> </w:t>
      </w:r>
      <w:r>
        <w:t xml:space="preserve">[@const-id-art9]</w:t>
      </w:r>
      <w:r>
        <w:t xml:space="preserve"> </w:t>
      </w:r>
      <w:r>
        <w:t xml:space="preserve">accepts the federal grants and dedicates the income to the institutions named in the Act; § 4 establishes the public school permanent endowment fund as inviolate; § 8 directs that the lands be managed</w:t>
      </w:r>
      <w:r>
        <w:t xml:space="preserve"> </w:t>
      </w:r>
      <w:r>
        <w:t xml:space="preserve">“</w:t>
      </w:r>
      <w:r>
        <w:t xml:space="preserve">in such manner as will secure the maximum long term financial return to the institution to which granted.</w:t>
      </w:r>
      <w:r>
        <w:t xml:space="preserve">”</w:t>
      </w:r>
      <w:r>
        <w:t xml:space="preserve"> </w:t>
      </w:r>
      <w:r>
        <w:t xml:space="preserve">The Idaho Department of Lands, under the State Board of Land Commissioners (Governor, Secretary of State, Attorney General, State Controller, Superintendent of Public Instruction), administers the lands; the Endowment Fund Investment Board supervises the permanent fund. → Ch. 3; Ch. 7 (the maximum-long-term-return mandate).</w:t>
      </w:r>
    </w:p>
    <w:p>
      <w:pPr>
        <w:pStyle w:val="BodyText"/>
      </w:pPr>
      <w:r>
        <w:rPr>
          <w:b/>
        </w:rPr>
        <w:t xml:space="preserve">Why Idaho matters to the field.</w:t>
      </w:r>
      <w:r>
        <w:t xml:space="preserve"> </w:t>
      </w:r>
      <w:r>
        <w:t xml:space="preserve">The two 1999</w:t>
      </w:r>
      <w:r>
        <w:t xml:space="preserve"> </w:t>
      </w:r>
      <w:r>
        <w:rPr>
          <w:i/>
        </w:rPr>
        <w:t xml:space="preserve">Idaho Watersheds</w:t>
      </w:r>
      <w:r>
        <w:t xml:space="preserve"> </w:t>
      </w:r>
      <w:r>
        <w:t xml:space="preserve">decisions are the leading modern authority that a constitutional return-maximization mandate overrides lessee-preference machinery — whether installed by the land board’s rules or by the legislature itself.</w:t>
      </w:r>
    </w:p>
    <w:p>
      <w:pPr>
        <w:pStyle w:val="Heading3"/>
      </w:pPr>
      <w:bookmarkStart w:id="792" w:name="the-cases-3"/>
      <w:r>
        <w:t xml:space="preserve">The cases</w:t>
      </w:r>
      <w:bookmarkEnd w:id="792"/>
    </w:p>
    <w:p>
      <w:pPr>
        <w:numPr>
          <w:ilvl w:val="0"/>
          <w:numId w:val="1033"/>
        </w:numPr>
        <w:pStyle w:val="Compact"/>
      </w:pPr>
      <w:r>
        <w:rPr>
          <w:b/>
        </w:rPr>
        <w:t xml:space="preserve">Idaho Watersheds Project v. State Board of Land Commissioners</w:t>
      </w:r>
      <w:r>
        <w:t xml:space="preserve">, 133 Idaho 55, 982 P.2d 358 (1999)</w:t>
      </w:r>
      <w:r>
        <w:t xml:space="preserve"> </w:t>
      </w:r>
      <w:r>
        <w:t xml:space="preserve">[@idaho-watersheds-1999]</w:t>
      </w:r>
      <w:r>
        <w:t xml:space="preserve">.</w:t>
      </w:r>
    </w:p>
    <w:p>
      <w:pPr>
        <w:numPr>
          <w:ilvl w:val="1"/>
          <w:numId w:val="1034"/>
        </w:numPr>
        <w:pStyle w:val="Compact"/>
      </w:pPr>
      <w:r>
        <w:rPr>
          <w:i/>
        </w:rPr>
        <w:t xml:space="preserve">Posture.</w:t>
      </w:r>
      <w:r>
        <w:t xml:space="preserve"> </w:t>
      </w:r>
      <w:r>
        <w:t xml:space="preserve">Challenge to the Board’s grazing-lease conflict-resolution rules; rules invalidated to the extent they preferred existing lessees over higher competitive bids.</w:t>
      </w:r>
    </w:p>
    <w:p>
      <w:pPr>
        <w:numPr>
          <w:ilvl w:val="1"/>
          <w:numId w:val="1034"/>
        </w:numPr>
        <w:pStyle w:val="Compact"/>
      </w:pPr>
      <w:r>
        <w:rPr>
          <w:i/>
        </w:rPr>
        <w:t xml:space="preserve">Holdings.</w:t>
      </w:r>
      <w:r>
        <w:t xml:space="preserve"> </w:t>
      </w:r>
      <w:r>
        <w:t xml:space="preserve">The maximum-long-term-return mandate of Art. IX, § 8 requires true competitive auction when conflicting applications are submitted; lessee-preference rules cannot override the constitutional duty to obtain fair market value. Cited alongside Montana’s</w:t>
      </w:r>
      <w:r>
        <w:t xml:space="preserve"> </w:t>
      </w:r>
      <w:r>
        <w:rPr>
          <w:i/>
        </w:rPr>
        <w:t xml:space="preserve">Jerke</w:t>
      </w:r>
      <w:r>
        <w:t xml:space="preserve"> </w:t>
      </w:r>
      <w:r>
        <w:t xml:space="preserve">for that proposition.</w:t>
      </w:r>
    </w:p>
    <w:p>
      <w:pPr>
        <w:numPr>
          <w:ilvl w:val="1"/>
          <w:numId w:val="1034"/>
        </w:numPr>
        <w:pStyle w:val="Compact"/>
      </w:pPr>
      <w:r>
        <w:rPr>
          <w:i/>
        </w:rPr>
        <w:t xml:space="preserve">Supports:</w:t>
      </w:r>
      <w:r>
        <w:t xml:space="preserve"> </w:t>
      </w:r>
      <w:r>
        <w:t xml:space="preserve">Ch. 7 (the productivity duty — lead constitutional-mandate case); Ch. 11 (preference rights vs. competitive return).</w:t>
      </w:r>
    </w:p>
    <w:p>
      <w:pPr>
        <w:numPr>
          <w:ilvl w:val="0"/>
          <w:numId w:val="1033"/>
        </w:numPr>
        <w:pStyle w:val="Compact"/>
      </w:pPr>
      <w:r>
        <w:rPr>
          <w:b/>
        </w:rPr>
        <w:t xml:space="preserve">Idaho Watersheds Project v. State Board of Land Commissioners (IWP II)</w:t>
      </w:r>
      <w:r>
        <w:t xml:space="preserve">, 133 Idaho 64 (1999)</w:t>
      </w:r>
      <w:r>
        <w:t xml:space="preserve"> </w:t>
      </w:r>
      <w:r>
        <w:t xml:space="preserve">[@iwp2-1999]</w:t>
      </w:r>
      <w:r>
        <w:t xml:space="preserve">.</w:t>
      </w:r>
    </w:p>
    <w:p>
      <w:pPr>
        <w:numPr>
          <w:ilvl w:val="1"/>
          <w:numId w:val="1035"/>
        </w:numPr>
        <w:pStyle w:val="Compact"/>
      </w:pPr>
      <w:r>
        <w:rPr>
          <w:i/>
        </w:rPr>
        <w:t xml:space="preserve">Posture.</w:t>
      </w:r>
      <w:r>
        <w:t xml:space="preserve"> </w:t>
      </w:r>
      <w:r>
        <w:t xml:space="preserve">Companion 1999 decision; Idaho Code § 58-310B held invalid.</w:t>
      </w:r>
    </w:p>
    <w:p>
      <w:pPr>
        <w:numPr>
          <w:ilvl w:val="1"/>
          <w:numId w:val="1035"/>
        </w:numPr>
        <w:pStyle w:val="Compact"/>
      </w:pPr>
      <w:r>
        <w:rPr>
          <w:i/>
        </w:rPr>
        <w:t xml:space="preserve">Holdings.</w:t>
      </w:r>
      <w:r>
        <w:t xml:space="preserve"> </w:t>
      </w:r>
      <w:r>
        <w:t xml:space="preserve">The legislature itself may not direct the trustee toward non-beneficiary interests. Idaho Code § 58-310B impermissibly directed the Board to focus on</w:t>
      </w:r>
      <w:r>
        <w:t xml:space="preserve"> </w:t>
      </w:r>
      <w:r>
        <w:t xml:space="preserve">“</w:t>
      </w:r>
      <w:r>
        <w:t xml:space="preserve">the schools, the state, and Idaho livestock industry</w:t>
      </w:r>
      <w:r>
        <w:t xml:space="preserve">”</w:t>
      </w:r>
      <w:r>
        <w:t xml:space="preserve"> </w:t>
      </w:r>
      <w:r>
        <w:t xml:space="preserve">in assessing grazing-lease applications,</w:t>
      </w:r>
      <w:r>
        <w:t xml:space="preserve"> </w:t>
      </w:r>
      <w:r>
        <w:t xml:space="preserve">“</w:t>
      </w:r>
      <w:r>
        <w:t xml:space="preserve">all to the detriment of other potential bidders … which might provide</w:t>
      </w:r>
      <w:r>
        <w:t xml:space="preserve"> </w:t>
      </w:r>
      <w:r>
        <w:t xml:space="preserve">‘</w:t>
      </w:r>
      <w:r>
        <w:t xml:space="preserve">maximum long term financial return</w:t>
      </w:r>
      <w:r>
        <w:t xml:space="preserve">’</w:t>
      </w:r>
      <w:r>
        <w:t xml:space="preserve"> </w:t>
      </w:r>
      <w:r>
        <w:t xml:space="preserve">to the schools, but not the state and the Idaho livestock industry</w:t>
      </w:r>
      <w:r>
        <w:t xml:space="preserve">”</w:t>
      </w:r>
      <w:r>
        <w:t xml:space="preserve"> </w:t>
      </w:r>
      <w:r>
        <w:t xml:space="preserve">(133 Idaho at 67-68, 982 P.2d at 370-71). Both 1999 opinions are now in L0: IWP I (133 Idaho 55, the April 2 original proceeding on H.J.R. 6’s proposed art. 9 amendments) and this companion IWP II (133 Idaho 64, the July 22 opinion striking § 58-310B). Verified against the L0 opinions.</w:t>
      </w:r>
    </w:p>
    <w:p>
      <w:pPr>
        <w:numPr>
          <w:ilvl w:val="1"/>
          <w:numId w:val="1035"/>
        </w:numPr>
        <w:pStyle w:val="Compact"/>
      </w:pPr>
      <w:r>
        <w:rPr>
          <w:i/>
        </w:rPr>
        <w:t xml:space="preserve">Supports:</w:t>
      </w:r>
      <w:r>
        <w:t xml:space="preserve"> </w:t>
      </w:r>
      <w:r>
        <w:t xml:space="preserve">Ch. 4 (§ 4.6(a), breaching statutes void); Ch. 6 (loyalty; the legislature cannot split allegiance); Ch. 18 (nullity).</w:t>
      </w:r>
    </w:p>
    <w:p>
      <w:pPr>
        <w:numPr>
          <w:ilvl w:val="0"/>
          <w:numId w:val="1033"/>
        </w:numPr>
        <w:pStyle w:val="Compact"/>
      </w:pPr>
      <w:r>
        <w:rPr>
          <w:b/>
        </w:rPr>
        <w:t xml:space="preserve">Selkirk-Priest Basin Association v. State</w:t>
      </w:r>
      <w:r>
        <w:t xml:space="preserve">, 127 Idaho 239 (1995)</w:t>
      </w:r>
      <w:r>
        <w:t xml:space="preserve"> </w:t>
      </w:r>
      <w:r>
        <w:t xml:space="preserve">[@selkirk-1995]</w:t>
      </w:r>
      <w:r>
        <w:t xml:space="preserve">.</w:t>
      </w:r>
    </w:p>
    <w:p>
      <w:pPr>
        <w:numPr>
          <w:ilvl w:val="1"/>
          <w:numId w:val="1036"/>
        </w:numPr>
        <w:pStyle w:val="Compact"/>
      </w:pPr>
      <w:r>
        <w:rPr>
          <w:i/>
        </w:rPr>
        <w:t xml:space="preserve">Holdings.</w:t>
      </w:r>
      <w:r>
        <w:t xml:space="preserve"> </w:t>
      </w:r>
      <w:r>
        <w:t xml:space="preserve">Idaho line companion; standing context per the litigation research corpus. (Register notes the primary-source-archive pull is partial — re-verify completeness before quotation.)</w:t>
      </w:r>
    </w:p>
    <w:p>
      <w:pPr>
        <w:numPr>
          <w:ilvl w:val="1"/>
          <w:numId w:val="1036"/>
        </w:numPr>
        <w:pStyle w:val="Compact"/>
      </w:pPr>
      <w:r>
        <w:rPr>
          <w:i/>
        </w:rPr>
        <w:t xml:space="preserve">Supports:</w:t>
      </w:r>
      <w:r>
        <w:t xml:space="preserve"> </w:t>
      </w:r>
      <w:r>
        <w:t xml:space="preserve">Ch. 13 (standing).</w:t>
      </w:r>
    </w:p>
    <w:p>
      <w:pPr>
        <w:pStyle w:val="Heading3"/>
      </w:pPr>
      <w:bookmarkStart w:id="793" w:name="X627bda3a3a42f7f3de4645b90b83d817c64a3b9"/>
      <w:r>
        <w:t xml:space="preserve">Authorities identified but not yet verified</w:t>
      </w:r>
      <w:bookmarkEnd w:id="793"/>
    </w:p>
    <w:p>
      <w:pPr>
        <w:numPr>
          <w:ilvl w:val="0"/>
          <w:numId w:val="1037"/>
        </w:numPr>
        <w:pStyle w:val="Compact"/>
      </w:pPr>
      <w:r>
        <w:t xml:space="preserve">Subsequent Idaho cases on the boundary between Board discretion and the constitutional maximum-long-term-return floor [CITE PENDING in dossier for full citation chain].</w:t>
      </w:r>
    </w:p>
    <w:p>
      <w:pPr>
        <w:numPr>
          <w:ilvl w:val="0"/>
          <w:numId w:val="1037"/>
        </w:numPr>
        <w:pStyle w:val="Compact"/>
      </w:pPr>
      <w:r>
        <w:t xml:space="preserve">Current acreage retained, corpus value, and annual distribution [CITE PENDING in dossier].</w:t>
      </w:r>
    </w:p>
    <w:p>
      <w:pPr>
        <w:pStyle w:val="Heading3"/>
      </w:pPr>
      <w:bookmarkStart w:id="794" w:name="Xf2f13471460db57713183b6ba8e33333fedcf52"/>
      <w:r>
        <w:t xml:space="preserve">Cross-reference map (section → Idaho authority)</w:t>
      </w:r>
      <w:bookmarkEnd w:id="794"/>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Idaho authority</w:t>
            </w:r>
          </w:p>
        </w:tc>
      </w:tr>
      <w:tr>
        <w:tc>
          <w:p>
            <w:pPr>
              <w:pStyle w:val="Compact"/>
              <w:jc w:val="left"/>
            </w:pPr>
            <w:r>
              <w:t xml:space="preserve">§ 2.4 (1890 Admission Act)</w:t>
            </w:r>
          </w:p>
        </w:tc>
        <w:tc>
          <w:p>
            <w:pPr>
              <w:pStyle w:val="Compact"/>
              <w:jc w:val="left"/>
            </w:pPr>
            <w:r>
              <w:t xml:space="preserve">Idaho Admission Act, 26 Stat. 215</w:t>
            </w:r>
          </w:p>
        </w:tc>
      </w:tr>
      <w:tr>
        <w:tc>
          <w:p>
            <w:pPr>
              <w:pStyle w:val="Compact"/>
              <w:jc w:val="left"/>
            </w:pPr>
            <w:r>
              <w:t xml:space="preserve">Ch. 3 (reception; inviolate fund)</w:t>
            </w:r>
          </w:p>
        </w:tc>
        <w:tc>
          <w:p>
            <w:pPr>
              <w:pStyle w:val="Compact"/>
              <w:jc w:val="left"/>
            </w:pPr>
            <w:r>
              <w:t xml:space="preserve">Idaho Const. Art. IX §§ 3, 4, 8</w:t>
            </w:r>
          </w:p>
        </w:tc>
      </w:tr>
      <w:tr>
        <w:tc>
          <w:p>
            <w:pPr>
              <w:pStyle w:val="Compact"/>
              <w:jc w:val="left"/>
            </w:pPr>
            <w:r>
              <w:t xml:space="preserve">Ch. 4 § 4.6(a) (breaching statutes void)</w:t>
            </w:r>
          </w:p>
        </w:tc>
        <w:tc>
          <w:p>
            <w:pPr>
              <w:pStyle w:val="Compact"/>
              <w:jc w:val="left"/>
            </w:pPr>
            <w:r>
              <w:t xml:space="preserve">IWP II (Idaho Code § 58-310B struck)</w:t>
            </w:r>
          </w:p>
        </w:tc>
      </w:tr>
      <w:tr>
        <w:tc>
          <w:p>
            <w:pPr>
              <w:pStyle w:val="Compact"/>
              <w:jc w:val="left"/>
            </w:pPr>
            <w:r>
              <w:t xml:space="preserve">Ch. 6 (loyalty)</w:t>
            </w:r>
          </w:p>
        </w:tc>
        <w:tc>
          <w:p>
            <w:pPr>
              <w:pStyle w:val="Compact"/>
              <w:jc w:val="left"/>
            </w:pPr>
            <w:r>
              <w:t xml:space="preserve">IWP II</w:t>
            </w:r>
          </w:p>
        </w:tc>
      </w:tr>
      <w:tr>
        <w:tc>
          <w:p>
            <w:pPr>
              <w:pStyle w:val="Compact"/>
              <w:jc w:val="left"/>
            </w:pPr>
            <w:r>
              <w:t xml:space="preserve">Ch. 7 (productivity; return maximization)</w:t>
            </w:r>
          </w:p>
        </w:tc>
        <w:tc>
          <w:p>
            <w:pPr>
              <w:pStyle w:val="Compact"/>
              <w:jc w:val="left"/>
            </w:pPr>
            <w:r>
              <w:t xml:space="preserve">Idaho Watersheds (lead); Art. IX § 8</w:t>
            </w:r>
          </w:p>
        </w:tc>
      </w:tr>
      <w:tr>
        <w:tc>
          <w:p>
            <w:pPr>
              <w:pStyle w:val="Compact"/>
              <w:jc w:val="left"/>
            </w:pPr>
            <w:r>
              <w:t xml:space="preserve">Ch. 11 (preference rights)</w:t>
            </w:r>
          </w:p>
        </w:tc>
        <w:tc>
          <w:p>
            <w:pPr>
              <w:pStyle w:val="Compact"/>
              <w:jc w:val="left"/>
            </w:pPr>
            <w:r>
              <w:t xml:space="preserve">Idaho Watersheds</w:t>
            </w:r>
          </w:p>
        </w:tc>
      </w:tr>
      <w:tr>
        <w:tc>
          <w:p>
            <w:pPr>
              <w:pStyle w:val="Compact"/>
              <w:jc w:val="left"/>
            </w:pPr>
            <w:r>
              <w:t xml:space="preserve">Ch. 13 (standing)</w:t>
            </w:r>
          </w:p>
        </w:tc>
        <w:tc>
          <w:p>
            <w:pPr>
              <w:pStyle w:val="Compact"/>
              <w:jc w:val="left"/>
            </w:pPr>
            <w:r>
              <w:t xml:space="preserve">Selkirk-Priest Basin</w:t>
            </w:r>
          </w:p>
        </w:tc>
      </w:tr>
      <w:tr>
        <w:tc>
          <w:p>
            <w:pPr>
              <w:pStyle w:val="Compact"/>
              <w:jc w:val="left"/>
            </w:pPr>
            <w:r>
              <w:t xml:space="preserve">Ch. 18 (nullity)</w:t>
            </w:r>
          </w:p>
        </w:tc>
        <w:tc>
          <w:p>
            <w:pPr>
              <w:pStyle w:val="Compact"/>
              <w:jc w:val="left"/>
            </w:pPr>
            <w:r>
              <w:t xml:space="preserve">IWP II</w:t>
            </w:r>
          </w:p>
        </w:tc>
      </w:tr>
    </w:tbl>
    <w:p>
      <w:r>
        <w:pict>
          <v:rect style="width:0;height:1.5pt" o:hralign="center" o:hrstd="t" o:hr="t"/>
        </w:pict>
      </w:r>
    </w:p>
    <w:p>
      <w:pPr>
        <w:pStyle w:val="FirstParagraph"/>
      </w:pPr>
      <w:r>
        <w:rPr>
          <w:i/>
        </w:rPr>
        <w:t xml:space="preserve">End of Idaho entry v1.</w:t>
      </w:r>
    </w:p>
    <w:p>
      <w:r>
        <w:br w:type="page"/>
      </w:r>
    </w:p>
    <w:p>
      <w:pPr>
        <w:pStyle w:val="Heading1"/>
      </w:pPr>
      <w:bookmarkStart w:id="795" w:name="state-appendix-louisiana"/>
      <w:r>
        <w:t xml:space="preserve">State Appendix — Louisiana</w:t>
      </w:r>
      <w:bookmarkEnd w:id="795"/>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796" w:name="louisiana"/>
      <w:r>
        <w:t xml:space="preserve">LOUISIANA</w:t>
      </w:r>
      <w:bookmarkEnd w:id="796"/>
    </w:p>
    <w:p>
      <w:pPr>
        <w:pStyle w:val="FirstParagraph"/>
      </w:pPr>
      <w:r>
        <w:rPr>
          <w:b/>
        </w:rPr>
        <w:t xml:space="preserve">Granting instrument.</w:t>
      </w:r>
      <w:r>
        <w:t xml:space="preserve"> </w:t>
      </w:r>
      <w:r>
        <w:t xml:space="preserve">Louisiana Enabling Act of February 20, 1811 (2 Stat. 641)</w:t>
      </w:r>
      <w:r>
        <w:t xml:space="preserve"> </w:t>
      </w:r>
      <w:r>
        <w:t xml:space="preserve">[@act-louisiana-1811]</w:t>
      </w:r>
      <w:r>
        <w:t xml:space="preserve">, with the Act of April 8, 1812 (2 Stat. 701)</w:t>
      </w:r>
      <w:r>
        <w:t xml:space="preserve"> </w:t>
      </w:r>
      <w:r>
        <w:t xml:space="preserve">[@act-louisiana-1812]</w:t>
      </w:r>
      <w:r>
        <w:t xml:space="preserve"> </w:t>
      </w:r>
      <w:r>
        <w:t xml:space="preserve">admitting the state — Section 16 of each township reserved for the support of schools within the township (the earliest single-section township-trust generation; the 1812 framework predates the later</w:t>
      </w:r>
      <w:r>
        <w:t xml:space="preserve"> </w:t>
      </w:r>
      <w:r>
        <w:t xml:space="preserve">“</w:t>
      </w:r>
      <w:r>
        <w:t xml:space="preserve">inviolability,</w:t>
      </w:r>
      <w:r>
        <w:t xml:space="preserve">”</w:t>
      </w:r>
      <w:r>
        <w:t xml:space="preserve"> </w:t>
      </w:r>
      <w:r>
        <w:t xml:space="preserve">“</w:t>
      </w:r>
      <w:r>
        <w:t xml:space="preserve">permanent fund,</w:t>
      </w:r>
      <w:r>
        <w:t xml:space="preserve">”</w:t>
      </w:r>
      <w:r>
        <w:t xml:space="preserve"> </w:t>
      </w:r>
      <w:r>
        <w:t xml:space="preserve">and</w:t>
      </w:r>
      <w:r>
        <w:t xml:space="preserve"> </w:t>
      </w:r>
      <w:r>
        <w:t xml:space="preserve">“</w:t>
      </w:r>
      <w:r>
        <w:t xml:space="preserve">appraised value</w:t>
      </w:r>
      <w:r>
        <w:t xml:space="preserve">”</w:t>
      </w:r>
      <w:r>
        <w:t xml:space="preserve"> </w:t>
      </w:r>
      <w:r>
        <w:t xml:space="preserve">conventions). → § 2.3; Appendix B.</w:t>
      </w:r>
    </w:p>
    <w:p>
      <w:pPr>
        <w:pStyle w:val="BodyText"/>
      </w:pPr>
      <w:r>
        <w:rPr>
          <w:b/>
        </w:rPr>
        <w:t xml:space="preserve">Constitutional reception and administering body.</w:t>
      </w:r>
      <w:r>
        <w:t xml:space="preserve"> </w:t>
      </w:r>
      <w:r>
        <w:t xml:space="preserve">Louisiana administers its school trust at the parish level: school boards function as statutory trustees for the Section 16 lands within their parish, with broader supervisory authority in the State Land Office and the legislature. The trust character of the grant is recognized in Louisiana jurisprudence as binding on the state notwithstanding the lean federal text. [VERIFY current constitutional/statutory citations — not yet carried in the corpus.] → Ch. 3.</w:t>
      </w:r>
    </w:p>
    <w:p>
      <w:pPr>
        <w:pStyle w:val="BodyText"/>
      </w:pPr>
      <w:r>
        <w:rPr>
          <w:b/>
        </w:rPr>
        <w:t xml:space="preserve">Why Louisiana matters to the field.</w:t>
      </w:r>
      <w:r>
        <w:t xml:space="preserve"> </w:t>
      </w:r>
      <w:r>
        <w:t xml:space="preserve">Louisiana proves the trust character of the</w:t>
      </w:r>
      <w:r>
        <w:t xml:space="preserve"> </w:t>
      </w:r>
      <w:r>
        <w:rPr>
          <w:i/>
        </w:rPr>
        <w:t xml:space="preserve">earliest</w:t>
      </w:r>
      <w:r>
        <w:t xml:space="preserve"> </w:t>
      </w:r>
      <w:r>
        <w:t xml:space="preserve">instruments — grants that nowhere carry the later protective vocabulary — and supplies a parent-standing decision (</w:t>
      </w:r>
      <w:r>
        <w:rPr>
          <w:i/>
        </w:rPr>
        <w:t xml:space="preserve">Ebey</w:t>
      </w:r>
      <w:r>
        <w:t xml:space="preserve">) of the kind the standing chapter’s beneficiary-side argument builds on.</w:t>
      </w:r>
    </w:p>
    <w:p>
      <w:pPr>
        <w:pStyle w:val="Heading3"/>
      </w:pPr>
      <w:bookmarkStart w:id="797" w:name="the-cases-4"/>
      <w:r>
        <w:t xml:space="preserve">The cases</w:t>
      </w:r>
      <w:bookmarkEnd w:id="797"/>
    </w:p>
    <w:p>
      <w:pPr>
        <w:numPr>
          <w:ilvl w:val="0"/>
          <w:numId w:val="1038"/>
        </w:numPr>
        <w:pStyle w:val="Compact"/>
      </w:pPr>
      <w:r>
        <w:rPr>
          <w:b/>
        </w:rPr>
        <w:t xml:space="preserve">State ex rel. Plaquemines Parish School Board v. Plaquemines Parish Government</w:t>
      </w:r>
      <w:r>
        <w:t xml:space="preserve">, 652 So. 2d 1 (La. App. 4 Cir. 1994)</w:t>
      </w:r>
      <w:r>
        <w:t xml:space="preserve"> </w:t>
      </w:r>
      <w:r>
        <w:t xml:space="preserve">[@plaquemines]</w:t>
      </w:r>
      <w:r>
        <w:t xml:space="preserve"> </w:t>
      </w:r>
      <w:r>
        <w:t xml:space="preserve">(decided Dec. 15, 1994; opinion supplementing the decision on partial rehearing Apr. 7, 1995; Waltzer, J.). Verified against the L0 opinion — full caption, court, and year confirmed; the quotation below is verbatim from the lead opinion.</w:t>
      </w:r>
    </w:p>
    <w:p>
      <w:pPr>
        <w:numPr>
          <w:ilvl w:val="1"/>
          <w:numId w:val="1039"/>
        </w:numPr>
        <w:pStyle w:val="Compact"/>
      </w:pPr>
      <w:r>
        <w:rPr>
          <w:i/>
        </w:rPr>
        <w:t xml:space="preserve">Holdings.</w:t>
      </w:r>
      <w:r>
        <w:t xml:space="preserve"> </w:t>
      </w:r>
      <w:r>
        <w:t xml:space="preserve">“</w:t>
      </w:r>
      <w:r>
        <w:t xml:space="preserve">The existence of a school trust has long been established in both Louisiana and Federal jurisprudence and it has been consistently held that the school trust lands can be alienated only where it is of benefit to school in some manner such as payment of the sale or lease price to the school fund or school board.</w:t>
      </w:r>
      <w:r>
        <w:t xml:space="preserve">”</w:t>
      </w:r>
    </w:p>
    <w:p>
      <w:pPr>
        <w:numPr>
          <w:ilvl w:val="1"/>
          <w:numId w:val="1039"/>
        </w:numPr>
        <w:pStyle w:val="Compact"/>
      </w:pPr>
      <w:r>
        <w:rPr>
          <w:i/>
        </w:rPr>
        <w:t xml:space="preserve">Supports:</w:t>
      </w:r>
      <w:r>
        <w:t xml:space="preserve"> </w:t>
      </w:r>
      <w:r>
        <w:t xml:space="preserve">Ch. 2 (§ 2.3); Ch. 4 (§ 4.4, breadth of agreement — early-instrument accord); Ch. 9 (benefit-to-schools floor on alienation).</w:t>
      </w:r>
    </w:p>
    <w:p>
      <w:pPr>
        <w:numPr>
          <w:ilvl w:val="0"/>
          <w:numId w:val="1038"/>
        </w:numPr>
        <w:pStyle w:val="Compact"/>
      </w:pPr>
      <w:r>
        <w:rPr>
          <w:b/>
        </w:rPr>
        <w:t xml:space="preserve">Ebey v. Avoyelles Parish School Board</w:t>
      </w:r>
      <w:r>
        <w:t xml:space="preserve">, 861 So. 2d 910, 2003-765 (La. App. 3 Cir. 12/17/03)</w:t>
      </w:r>
      <w:r>
        <w:t xml:space="preserve"> </w:t>
      </w:r>
      <w:r>
        <w:t xml:space="preserve">[@ebey-2003]</w:t>
      </w:r>
      <w:r>
        <w:t xml:space="preserve">.</w:t>
      </w:r>
    </w:p>
    <w:p>
      <w:pPr>
        <w:numPr>
          <w:ilvl w:val="1"/>
          <w:numId w:val="1040"/>
        </w:numPr>
        <w:pStyle w:val="Compact"/>
      </w:pPr>
      <w:r>
        <w:rPr>
          <w:i/>
        </w:rPr>
        <w:t xml:space="preserve">Posture.</w:t>
      </w:r>
      <w:r>
        <w:t xml:space="preserve"> </w:t>
      </w:r>
      <w:r>
        <w:t xml:space="preserve">Parent challenge to a school board’s administration of Section 16 lands; standing sustained.</w:t>
      </w:r>
    </w:p>
    <w:p>
      <w:pPr>
        <w:numPr>
          <w:ilvl w:val="1"/>
          <w:numId w:val="1040"/>
        </w:numPr>
        <w:pStyle w:val="Compact"/>
      </w:pPr>
      <w:r>
        <w:rPr>
          <w:i/>
        </w:rPr>
        <w:t xml:space="preserve">Holdings.</w:t>
      </w:r>
      <w:r>
        <w:t xml:space="preserve"> </w:t>
      </w:r>
      <w:r>
        <w:t xml:space="preserve">“</w:t>
      </w:r>
      <w:r>
        <w:t xml:space="preserve">We conclude Section 16 lands are held in trust by the State and managed by school boards</w:t>
      </w:r>
      <w:r>
        <w:t xml:space="preserve"> </w:t>
      </w:r>
      <w:r>
        <w:t xml:space="preserve">‘</w:t>
      </w:r>
      <w:r>
        <w:t xml:space="preserve">in the manner of a statutory trustee</w:t>
      </w:r>
      <w:r>
        <w:t xml:space="preserve">’</w:t>
      </w:r>
      <w:r>
        <w:t xml:space="preserve"> </w:t>
      </w:r>
      <w:r>
        <w:t xml:space="preserve">for the benefit of public education.</w:t>
      </w:r>
      <w:r>
        <w:t xml:space="preserve">”</w:t>
      </w:r>
      <w:r>
        <w:t xml:space="preserve"> </w:t>
      </w:r>
      <w:r>
        <w:t xml:space="preserve">On standing:</w:t>
      </w:r>
      <w:r>
        <w:t xml:space="preserve"> </w:t>
      </w:r>
      <w:r>
        <w:t xml:space="preserve">“</w:t>
      </w:r>
      <w:r>
        <w:t xml:space="preserve">The trial court found Mr. Ebey, as a parent of children currently attending school in Avoyelles Parish, has standing to pursue a grievance against the School Board. We find no error in this decision.</w:t>
      </w:r>
      <w:r>
        <w:t xml:space="preserve">”</w:t>
      </w:r>
    </w:p>
    <w:p>
      <w:pPr>
        <w:numPr>
          <w:ilvl w:val="1"/>
          <w:numId w:val="1040"/>
        </w:numPr>
        <w:pStyle w:val="Compact"/>
      </w:pPr>
      <w:r>
        <w:rPr>
          <w:i/>
        </w:rPr>
        <w:t xml:space="preserve">Supports:</w:t>
      </w:r>
      <w:r>
        <w:t xml:space="preserve"> </w:t>
      </w:r>
      <w:r>
        <w:t xml:space="preserve">Ch. 2 (§ 2.3); Ch. 4 (trust character under the earliest instruments); Ch. 13 (parent standing — accord case for the beneficiary-standing line).</w:t>
      </w:r>
    </w:p>
    <w:p>
      <w:pPr>
        <w:pStyle w:val="Heading3"/>
      </w:pPr>
      <w:bookmarkStart w:id="798" w:name="X722f233e9a10d41b7d9b61f6eed29efdb6f96a6"/>
      <w:r>
        <w:t xml:space="preserve">Authorities identified but not yet verified</w:t>
      </w:r>
      <w:bookmarkEnd w:id="798"/>
    </w:p>
    <w:p>
      <w:pPr>
        <w:numPr>
          <w:ilvl w:val="0"/>
          <w:numId w:val="1041"/>
        </w:numPr>
        <w:pStyle w:val="Compact"/>
      </w:pPr>
      <w:r>
        <w:rPr>
          <w:i/>
        </w:rPr>
        <w:t xml:space="preserve">Plaquemines Parish</w:t>
      </w:r>
      <w:r>
        <w:t xml:space="preserve"> </w:t>
      </w:r>
      <w:r>
        <w:t xml:space="preserve">full caption, court, and year resolved (Register G-9): the corrected caption is</w:t>
      </w:r>
      <w:r>
        <w:t xml:space="preserve"> </w:t>
      </w:r>
      <w:r>
        <w:rPr>
          <w:i/>
        </w:rPr>
        <w:t xml:space="preserve">State ex rel. Plaquemines Parish School Board v. Plaquemines Parish Government</w:t>
      </w:r>
      <w:r>
        <w:t xml:space="preserve">, 652 So. 2d 1 (La. App. 4 Cir. 1994). Both Louisiana primaries (</w:t>
      </w:r>
      <w:r>
        <w:rPr>
          <w:i/>
        </w:rPr>
        <w:t xml:space="preserve">Plaquemines</w:t>
      </w:r>
      <w:r>
        <w:t xml:space="preserve"> </w:t>
      </w:r>
      <w:r>
        <w:t xml:space="preserve">and</w:t>
      </w:r>
      <w:r>
        <w:t xml:space="preserve"> </w:t>
      </w:r>
      <w:r>
        <w:rPr>
          <w:i/>
        </w:rPr>
        <w:t xml:space="preserve">Ebey</w:t>
      </w:r>
      <w:r>
        <w:t xml:space="preserve">) are now held in L0.</w:t>
      </w:r>
    </w:p>
    <w:p>
      <w:pPr>
        <w:numPr>
          <w:ilvl w:val="0"/>
          <w:numId w:val="1041"/>
        </w:numPr>
        <w:pStyle w:val="Compact"/>
      </w:pPr>
      <w:r>
        <w:t xml:space="preserve">Current acreage and corpus values [CITE PENDING in dossier].</w:t>
      </w:r>
    </w:p>
    <w:p>
      <w:pPr>
        <w:pStyle w:val="Heading3"/>
      </w:pPr>
      <w:bookmarkStart w:id="799" w:name="X1662e6fe79cbe01c5363a8dc104f94b62fc014e"/>
      <w:r>
        <w:t xml:space="preserve">Cross-reference map (section → Louisiana authority)</w:t>
      </w:r>
      <w:bookmarkEnd w:id="799"/>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Louisiana authority</w:t>
            </w:r>
          </w:p>
        </w:tc>
      </w:tr>
      <w:tr>
        <w:tc>
          <w:p>
            <w:pPr>
              <w:pStyle w:val="Compact"/>
              <w:jc w:val="left"/>
            </w:pPr>
            <w:r>
              <w:t xml:space="preserve">§ 2.3 (single-section township trusts)</w:t>
            </w:r>
          </w:p>
        </w:tc>
        <w:tc>
          <w:p>
            <w:pPr>
              <w:pStyle w:val="Compact"/>
              <w:jc w:val="left"/>
            </w:pPr>
            <w:r>
              <w:t xml:space="preserve">Acts of 1811/1812; Plaquemines Parish, 652 So. 2d 1; Ebey</w:t>
            </w:r>
          </w:p>
        </w:tc>
      </w:tr>
      <w:tr>
        <w:tc>
          <w:p>
            <w:pPr>
              <w:pStyle w:val="Compact"/>
              <w:jc w:val="left"/>
            </w:pPr>
            <w:r>
              <w:t xml:space="preserve">Ch. 4 § 4.4 (breadth of agreement)</w:t>
            </w:r>
          </w:p>
        </w:tc>
        <w:tc>
          <w:p>
            <w:pPr>
              <w:pStyle w:val="Compact"/>
              <w:jc w:val="left"/>
            </w:pPr>
            <w:r>
              <w:t xml:space="preserve">Plaquemines Parish, 652 So. 2d 1</w:t>
            </w:r>
          </w:p>
        </w:tc>
      </w:tr>
      <w:tr>
        <w:tc>
          <w:p>
            <w:pPr>
              <w:pStyle w:val="Compact"/>
              <w:jc w:val="left"/>
            </w:pPr>
            <w:r>
              <w:t xml:space="preserve">Ch. 9 (alienation only for school benefit)</w:t>
            </w:r>
          </w:p>
        </w:tc>
        <w:tc>
          <w:p>
            <w:pPr>
              <w:pStyle w:val="Compact"/>
              <w:jc w:val="left"/>
            </w:pPr>
            <w:r>
              <w:t xml:space="preserve">Plaquemines Parish, 652 So. 2d 1</w:t>
            </w:r>
          </w:p>
        </w:tc>
      </w:tr>
      <w:tr>
        <w:tc>
          <w:p>
            <w:pPr>
              <w:pStyle w:val="Compact"/>
              <w:jc w:val="left"/>
            </w:pPr>
            <w:r>
              <w:t xml:space="preserve">Ch. 13 (parent standing)</w:t>
            </w:r>
          </w:p>
        </w:tc>
        <w:tc>
          <w:p>
            <w:pPr>
              <w:pStyle w:val="Compact"/>
              <w:jc w:val="left"/>
            </w:pPr>
            <w:r>
              <w:t xml:space="preserve">Ebey</w:t>
            </w:r>
          </w:p>
        </w:tc>
      </w:tr>
    </w:tbl>
    <w:p>
      <w:r>
        <w:pict>
          <v:rect style="width:0;height:1.5pt" o:hralign="center" o:hrstd="t" o:hr="t"/>
        </w:pict>
      </w:r>
    </w:p>
    <w:p>
      <w:pPr>
        <w:pStyle w:val="FirstParagraph"/>
      </w:pPr>
      <w:r>
        <w:rPr>
          <w:i/>
        </w:rPr>
        <w:t xml:space="preserve">End of Louisiana entry v1.</w:t>
      </w:r>
    </w:p>
    <w:p>
      <w:r>
        <w:br w:type="page"/>
      </w:r>
    </w:p>
    <w:p>
      <w:pPr>
        <w:pStyle w:val="Heading1"/>
      </w:pPr>
      <w:bookmarkStart w:id="800" w:name="state-appendix-minnesota"/>
      <w:r>
        <w:t xml:space="preserve">State Appendix — Minnesota</w:t>
      </w:r>
      <w:bookmarkEnd w:id="800"/>
    </w:p>
    <w:p>
      <w:pPr>
        <w:pStyle w:val="FirstParagraph"/>
      </w:pPr>
      <w:r>
        <w:rPr>
          <w:i/>
        </w:rPr>
        <w:t xml:space="preserve">Stub entry. The verified hornbook corpus holds no case law for this state (the Library’s authorities register G-8); the case line is queued — see the verification queue (Priority 3). Instrument citation carried as given in the Fifty-States encyclopedia dossier; candidate authorities named there are listed for the harvest, not for citation.</w:t>
      </w:r>
    </w:p>
    <w:p>
      <w:r>
        <w:pict>
          <v:rect style="width:0;height:1.5pt" o:hralign="center" o:hrstd="t" o:hr="t"/>
        </w:pict>
      </w:r>
    </w:p>
    <w:p>
      <w:pPr>
        <w:pStyle w:val="Heading2"/>
      </w:pPr>
      <w:bookmarkStart w:id="801" w:name="minnesota-stub"/>
      <w:r>
        <w:t xml:space="preserve">MINNESOTA (stub)</w:t>
      </w:r>
      <w:bookmarkEnd w:id="801"/>
    </w:p>
    <w:p>
      <w:pPr>
        <w:pStyle w:val="FirstParagraph"/>
      </w:pPr>
      <w:r>
        <w:rPr>
          <w:b/>
        </w:rPr>
        <w:t xml:space="preserve">Granting instrument.</w:t>
      </w:r>
      <w:r>
        <w:t xml:space="preserve"> </w:t>
      </w:r>
      <w:r>
        <w:t xml:space="preserve">Enabling Act of February 26, 1857, ch. 60, § 5, 11 Stat. 166 (admission by Act of May 11, 1858, ch. 31, 11 Stat. 285). Structurally significant per the Fifty-States dossier: the FIRST admission act with the doubled-section grant (16 AND 36) — the template Oregon inherited two years later. → § 2.4 (the two-section generation begins here); Appendix B.</w:t>
      </w:r>
    </w:p>
    <w:p>
      <w:pPr>
        <w:pStyle w:val="BodyText"/>
      </w:pPr>
      <w:r>
        <w:rPr>
          <w:b/>
        </w:rPr>
        <w:t xml:space="preserve">Case line.</w:t>
      </w:r>
      <w:r>
        <w:t xml:space="preserve"> </w:t>
      </w:r>
      <w:r>
        <w:t xml:space="preserve">Not yet collected into the verified corpus — see the verification queue (Priority 3). Candidate authority identified in the Fifty-States dossier, not yet verified for hornbook use:</w:t>
      </w:r>
      <w:r>
        <w:t xml:space="preserve"> </w:t>
      </w:r>
      <w:r>
        <w:rPr>
          <w:b/>
        </w:rPr>
        <w:t xml:space="preserve">Wanless Iron Co. v. Commissioner of Internal Revenue</w:t>
      </w:r>
      <w:r>
        <w:t xml:space="preserve">, 75 F.2d 779 (8th Cir. 1935) — described there as treating Minnesota’s school-land iron-ore lease as a governmental function for public schools and quoting the 1857 § 5 grant language [VERIFY before any hornbook citation]. Minnesota’s 2012 statutory School Trust Lands Director (Minn. Stat. § 127A.353, per the dossier) is a candidate Ch. 19 reform datum [VERIFY].</w:t>
      </w:r>
    </w:p>
    <w:p>
      <w:r>
        <w:pict>
          <v:rect style="width:0;height:1.5pt" o:hralign="center" o:hrstd="t" o:hr="t"/>
        </w:pict>
      </w:r>
    </w:p>
    <w:p>
      <w:pPr>
        <w:pStyle w:val="FirstParagraph"/>
      </w:pPr>
      <w:r>
        <w:rPr>
          <w:i/>
        </w:rPr>
        <w:t xml:space="preserve">End of Minnesota stub v0.</w:t>
      </w:r>
    </w:p>
    <w:p>
      <w:r>
        <w:br w:type="page"/>
      </w:r>
    </w:p>
    <w:p>
      <w:pPr>
        <w:pStyle w:val="Heading1"/>
      </w:pPr>
      <w:bookmarkStart w:id="802" w:name="state-appendix-mississippi"/>
      <w:r>
        <w:t xml:space="preserve">State Appendix — Mississippi</w:t>
      </w:r>
      <w:bookmarkEnd w:id="802"/>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803" w:name="mississippi"/>
      <w:r>
        <w:t xml:space="preserve">MISSISSIPPI</w:t>
      </w:r>
      <w:bookmarkEnd w:id="803"/>
    </w:p>
    <w:p>
      <w:pPr>
        <w:pStyle w:val="FirstParagraph"/>
      </w:pPr>
      <w:r>
        <w:rPr>
          <w:b/>
        </w:rPr>
        <w:t xml:space="preserve">Granting instrument.</w:t>
      </w:r>
      <w:r>
        <w:t xml:space="preserve"> </w:t>
      </w:r>
      <w:r>
        <w:t xml:space="preserve">Mississippi Enabling Act of March 1, 1817 (3 Stat. 348)</w:t>
      </w:r>
      <w:r>
        <w:t xml:space="preserve"> </w:t>
      </w:r>
      <w:r>
        <w:t xml:space="preserve">[@act-mississippi-1817]</w:t>
      </w:r>
      <w:r>
        <w:t xml:space="preserve">, with the admission Act of December 10, 1817</w:t>
      </w:r>
      <w:r>
        <w:t xml:space="preserve"> </w:t>
      </w:r>
      <w:r>
        <w:t xml:space="preserve">[@act-mississippi-admission-1817]</w:t>
      </w:r>
      <w:r>
        <w:t xml:space="preserve"> </w:t>
      </w:r>
      <w:r>
        <w:t xml:space="preserve">— Section 16 of every township reserved for the support of schools within the township (the single-section township-trust generation, predating the explicit</w:t>
      </w:r>
      <w:r>
        <w:t xml:space="preserve"> </w:t>
      </w:r>
      <w:r>
        <w:t xml:space="preserve">“</w:t>
      </w:r>
      <w:r>
        <w:t xml:space="preserve">inviolability</w:t>
      </w:r>
      <w:r>
        <w:t xml:space="preserve">”</w:t>
      </w:r>
      <w:r>
        <w:t xml:space="preserve"> </w:t>
      </w:r>
      <w:r>
        <w:t xml:space="preserve">and</w:t>
      </w:r>
      <w:r>
        <w:t xml:space="preserve"> </w:t>
      </w:r>
      <w:r>
        <w:t xml:space="preserve">“</w:t>
      </w:r>
      <w:r>
        <w:t xml:space="preserve">permanent fund</w:t>
      </w:r>
      <w:r>
        <w:t xml:space="preserve">”</w:t>
      </w:r>
      <w:r>
        <w:t xml:space="preserve"> </w:t>
      </w:r>
      <w:r>
        <w:t xml:space="preserve">conventions of the later western acts). → § 2.3; Appendix B.</w:t>
      </w:r>
    </w:p>
    <w:p>
      <w:pPr>
        <w:pStyle w:val="BodyText"/>
      </w:pPr>
      <w:r>
        <w:rPr>
          <w:b/>
        </w:rPr>
        <w:t xml:space="preserve">Constitutional reception and administering body.</w:t>
      </w:r>
      <w:r>
        <w:t xml:space="preserve"> </w:t>
      </w:r>
      <w:r>
        <w:t xml:space="preserve">Mississippi administers the trust at the local level: each school district functions as trustee for the Sixteenth Section lands within its boundaries, under state-level supervisory authority. The trust character of the grants has been firmly established in Mississippi jurisprudence and elaborated by two centuries of state constitutional and statutory development. [VERIFY current constitutional/statutory citations — not yet carried in the corpus.] → Ch. 3.</w:t>
      </w:r>
    </w:p>
    <w:p>
      <w:pPr>
        <w:pStyle w:val="BodyText"/>
      </w:pPr>
      <w:r>
        <w:rPr>
          <w:b/>
        </w:rPr>
        <w:t xml:space="preserve">Why Mississippi matters to the field.</w:t>
      </w:r>
      <w:r>
        <w:t xml:space="preserve"> </w:t>
      </w:r>
      <w:r>
        <w:t xml:space="preserve">Mississippi is the canonical American case of long-running, partially-remediated school-trust failure — its own case law refers candidly to historical</w:t>
      </w:r>
      <w:r>
        <w:t xml:space="preserve"> </w:t>
      </w:r>
      <w:r>
        <w:t xml:space="preserve">“</w:t>
      </w:r>
      <w:r>
        <w:t xml:space="preserve">spoliation</w:t>
      </w:r>
      <w:r>
        <w:t xml:space="preserve">”</w:t>
      </w:r>
      <w:r>
        <w:t xml:space="preserve"> </w:t>
      </w:r>
      <w:r>
        <w:t xml:space="preserve">— and the proving ground for the fair-market-value floor enforced transaction by transaction under a local-trustee structure. It is also the state context of</w:t>
      </w:r>
      <w:r>
        <w:t xml:space="preserve"> </w:t>
      </w:r>
      <w:r>
        <w:rPr>
          <w:i/>
        </w:rPr>
        <w:t xml:space="preserve">Papasan v. Allain</w:t>
      </w:r>
      <w:r>
        <w:t xml:space="preserve">, 478 U.S. 265 (1986)</w:t>
      </w:r>
      <w:r>
        <w:t xml:space="preserve"> </w:t>
      </w:r>
      <w:r>
        <w:t xml:space="preserve">[@papasan-1986]</w:t>
      </w:r>
      <w:r>
        <w:t xml:space="preserve">, cited in the filed May 29, 2026 Response within the post-</w:t>
      </w:r>
      <w:r>
        <w:rPr>
          <w:i/>
        </w:rPr>
        <w:t xml:space="preserve">Morrison</w:t>
      </w:r>
      <w:r>
        <w:t xml:space="preserve"> </w:t>
      </w:r>
      <w:r>
        <w:t xml:space="preserve">body of law recognizing enforceable federal-state school trusts (→ Ch. 4, Ch. 13, Ch. 15; cited in briefing, primary not yet pulled).</w:t>
      </w:r>
    </w:p>
    <w:p>
      <w:pPr>
        <w:pStyle w:val="Heading3"/>
      </w:pPr>
      <w:bookmarkStart w:id="804" w:name="the-cases-5"/>
      <w:r>
        <w:t xml:space="preserve">The cases</w:t>
      </w:r>
      <w:bookmarkEnd w:id="804"/>
    </w:p>
    <w:p>
      <w:pPr>
        <w:numPr>
          <w:ilvl w:val="0"/>
          <w:numId w:val="1042"/>
        </w:numPr>
        <w:pStyle w:val="Compact"/>
      </w:pPr>
      <w:r>
        <w:rPr>
          <w:b/>
        </w:rPr>
        <w:t xml:space="preserve">Clark v. Stephen D. Lee Foundation</w:t>
      </w:r>
      <w:r>
        <w:t xml:space="preserve">, 887 So. 2d 798 (Miss. 2004)</w:t>
      </w:r>
      <w:r>
        <w:t xml:space="preserve"> </w:t>
      </w:r>
      <w:r>
        <w:t xml:space="preserve">[@clark-2004]</w:t>
      </w:r>
      <w:r>
        <w:t xml:space="preserve">.</w:t>
      </w:r>
    </w:p>
    <w:p>
      <w:pPr>
        <w:numPr>
          <w:ilvl w:val="1"/>
          <w:numId w:val="1043"/>
        </w:numPr>
        <w:pStyle w:val="Compact"/>
      </w:pPr>
      <w:r>
        <w:rPr>
          <w:i/>
        </w:rPr>
        <w:t xml:space="preserve">Posture.</w:t>
      </w:r>
      <w:r>
        <w:t xml:space="preserve"> </w:t>
      </w:r>
      <w:r>
        <w:t xml:space="preserve">Challenge to a Sixteenth Section lease.</w:t>
      </w:r>
    </w:p>
    <w:p>
      <w:pPr>
        <w:numPr>
          <w:ilvl w:val="1"/>
          <w:numId w:val="1043"/>
        </w:numPr>
        <w:pStyle w:val="Compact"/>
      </w:pPr>
      <w:r>
        <w:rPr>
          <w:i/>
        </w:rPr>
        <w:t xml:space="preserve">Holdings.</w:t>
      </w:r>
      <w:r>
        <w:t xml:space="preserve"> </w:t>
      </w:r>
      <w:r>
        <w:t xml:space="preserve">“</w:t>
      </w:r>
      <w:r>
        <w:t xml:space="preserve">[T]he value of consideration allocated to the School District must be deemed sufficient based on the reasonable market value of the leased land.</w:t>
      </w:r>
      <w:r>
        <w:t xml:space="preserve">”</w:t>
      </w:r>
      <w:r>
        <w:t xml:space="preserve"> </w:t>
      </w:r>
      <w:r>
        <w:t xml:space="preserve">Sits in the long Mississippi line policing the fair-market-value floor: trust consideration is benchmarked against reasonable market value, not negotiated convenience.</w:t>
      </w:r>
    </w:p>
    <w:p>
      <w:pPr>
        <w:numPr>
          <w:ilvl w:val="1"/>
          <w:numId w:val="1043"/>
        </w:numPr>
        <w:pStyle w:val="Compact"/>
      </w:pPr>
      <w:r>
        <w:rPr>
          <w:i/>
        </w:rPr>
        <w:t xml:space="preserve">Supports:</w:t>
      </w:r>
      <w:r>
        <w:t xml:space="preserve"> </w:t>
      </w:r>
      <w:r>
        <w:t xml:space="preserve">Ch. 2 (§ 2.3, the township-trust states); Ch. 4 (trust character under an early instrument); Ch. 9 (the full-value rule); Ch. 11 (below-market leasing).</w:t>
      </w:r>
    </w:p>
    <w:p>
      <w:pPr>
        <w:pStyle w:val="Heading3"/>
      </w:pPr>
      <w:bookmarkStart w:id="805" w:name="Xbde569fef40cc860e492718431fc0129735a32e"/>
      <w:r>
        <w:t xml:space="preserve">Authorities identified but not yet verified</w:t>
      </w:r>
      <w:bookmarkEnd w:id="805"/>
    </w:p>
    <w:p>
      <w:pPr>
        <w:numPr>
          <w:ilvl w:val="0"/>
          <w:numId w:val="1044"/>
        </w:numPr>
        <w:pStyle w:val="Compact"/>
      </w:pPr>
      <w:r>
        <w:rPr>
          <w:b/>
        </w:rPr>
        <w:t xml:space="preserve">Jones County School District v. Covington County School District</w:t>
      </w:r>
      <w:r>
        <w:t xml:space="preserve">, 352 So. 3d 1123 (Miss. 2022)</w:t>
      </w:r>
      <w:r>
        <w:t xml:space="preserve"> </w:t>
      </w:r>
      <w:r>
        <w:t xml:space="preserve">[@jones-county-2022]</w:t>
      </w:r>
      <w:r>
        <w:t xml:space="preserve"> </w:t>
      </w:r>
      <w:r>
        <w:t xml:space="preserve">(Miss. Supreme Court, en banc; Ishee, J.). Verified against the L0 opinion. Holding: Miss. Code §§ 29-3-119(4) and -121, which set the method and one-year procedure for allocating Sixteenth Section funds between a custodial and a noncustodial district, are constitutional exercises of the Legislature’s authority and are not statutes of limitation. The opinion recites the Sixteenth Section trust framework but turns on inter-district fund allocation rather than on expanding trust-character doctrine. Feeds Ch. 4.</w:t>
      </w:r>
    </w:p>
    <w:p>
      <w:pPr>
        <w:numPr>
          <w:ilvl w:val="0"/>
          <w:numId w:val="1044"/>
        </w:numPr>
        <w:pStyle w:val="Compact"/>
      </w:pPr>
      <w:r>
        <w:rPr>
          <w:b/>
        </w:rPr>
        <w:t xml:space="preserve">Hill v. Thompson</w:t>
      </w:r>
      <w:r>
        <w:t xml:space="preserve">, 564 So. 2d 1 (Miss. 1989)</w:t>
      </w:r>
      <w:r>
        <w:t xml:space="preserve"> </w:t>
      </w:r>
      <w:r>
        <w:t xml:space="preserve">[@hill-1989]</w:t>
      </w:r>
      <w:r>
        <w:t xml:space="preserve">;</w:t>
      </w:r>
      <w:r>
        <w:t xml:space="preserve"> </w:t>
      </w:r>
      <w:r>
        <w:rPr>
          <w:b/>
        </w:rPr>
        <w:t xml:space="preserve">Lambert v. State</w:t>
      </w:r>
      <w:r>
        <w:t xml:space="preserve">, 211 Miss. 129, 51 So. 2d 201 (1951)</w:t>
      </w:r>
      <w:r>
        <w:t xml:space="preserve"> </w:t>
      </w:r>
      <w:r>
        <w:t xml:space="preserve">[@lambert-1951]</w:t>
      </w:r>
      <w:r>
        <w:t xml:space="preserve"> </w:t>
      </w:r>
      <w:r>
        <w:t xml:space="preserve">— the historical-default line (full opinions in the primary-source archive; Register G-9 resolved 2026-06-07).</w:t>
      </w:r>
      <w:r>
        <w:t xml:space="preserve"> </w:t>
      </w:r>
      <w:r>
        <w:rPr>
          <w:i/>
        </w:rPr>
        <w:t xml:space="preserve">Hill</w:t>
      </w:r>
      <w:r>
        <w:t xml:space="preserve">: ninety-nine-year leases let for nominal one-time payments voided as</w:t>
      </w:r>
      <w:r>
        <w:t xml:space="preserve"> </w:t>
      </w:r>
      <w:r>
        <w:t xml:space="preserve">“</w:t>
      </w:r>
      <w:r>
        <w:t xml:space="preserve">grossly inadequate</w:t>
      </w:r>
      <w:r>
        <w:t xml:space="preserve">”</w:t>
      </w:r>
      <w:r>
        <w:t xml:space="preserve"> </w:t>
      </w:r>
      <w:r>
        <w:t xml:space="preserve">consideration; the trustee’s continuing duty</w:t>
      </w:r>
      <w:r>
        <w:t xml:space="preserve"> </w:t>
      </w:r>
      <w:r>
        <w:t xml:space="preserve">“</w:t>
      </w:r>
      <w:r>
        <w:t xml:space="preserve">may not be avoided because of past defaults.</w:t>
      </w:r>
      <w:r>
        <w:t xml:space="preserve">”</w:t>
      </w:r>
      <w:r>
        <w:t xml:space="preserve"> </w:t>
      </w:r>
      <w:r>
        <w:rPr>
          <w:i/>
        </w:rPr>
        <w:t xml:space="preserve">Lambert</w:t>
      </w:r>
      <w:r>
        <w:t xml:space="preserve">: the counter-precedent — an 1873 sixteenth-section deed sustained under the 25-year adverse-possession presumption. Neither opinion uses the word</w:t>
      </w:r>
      <w:r>
        <w:t xml:space="preserve"> </w:t>
      </w:r>
      <w:r>
        <w:t xml:space="preserve">“</w:t>
      </w:r>
      <w:r>
        <w:t xml:space="preserve">spoliation</w:t>
      </w:r>
      <w:r>
        <w:t xml:space="preserve">”</w:t>
      </w:r>
      <w:r>
        <w:t xml:space="preserve">; that label was a research-file gloss. Feeds § 2.3; Ch. 12.</w:t>
      </w:r>
    </w:p>
    <w:p>
      <w:pPr>
        <w:numPr>
          <w:ilvl w:val="0"/>
          <w:numId w:val="1044"/>
        </w:numPr>
        <w:pStyle w:val="Compact"/>
      </w:pPr>
      <w:r>
        <w:t xml:space="preserve">Current Sixteenth Section acreage, corpus values, and lease revenues [CITE PENDING in dossier].</w:t>
      </w:r>
    </w:p>
    <w:p>
      <w:pPr>
        <w:pStyle w:val="Heading3"/>
      </w:pPr>
      <w:bookmarkStart w:id="806" w:name="X82679840496e4a1d3fd8e0a18392def757f77bd"/>
      <w:r>
        <w:t xml:space="preserve">Cross-reference map (section → Mississippi authority)</w:t>
      </w:r>
      <w:bookmarkEnd w:id="806"/>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Mississippi authority</w:t>
            </w:r>
          </w:p>
        </w:tc>
      </w:tr>
      <w:tr>
        <w:tc>
          <w:p>
            <w:pPr>
              <w:pStyle w:val="Compact"/>
              <w:jc w:val="left"/>
            </w:pPr>
            <w:r>
              <w:t xml:space="preserve">§ 2.3 (single-section township trusts)</w:t>
            </w:r>
          </w:p>
        </w:tc>
        <w:tc>
          <w:p>
            <w:pPr>
              <w:pStyle w:val="Compact"/>
              <w:jc w:val="left"/>
            </w:pPr>
            <w:r>
              <w:t xml:space="preserve">Enabling Act, 3 Stat. 348; Hill v. Thompson, 564 So. 2d 1</w:t>
            </w:r>
          </w:p>
        </w:tc>
      </w:tr>
      <w:tr>
        <w:tc>
          <w:p>
            <w:pPr>
              <w:pStyle w:val="Compact"/>
              <w:jc w:val="left"/>
            </w:pPr>
            <w:r>
              <w:t xml:space="preserve">Ch. 4 (trust character; early instruments)</w:t>
            </w:r>
          </w:p>
        </w:tc>
        <w:tc>
          <w:p>
            <w:pPr>
              <w:pStyle w:val="Compact"/>
              <w:jc w:val="left"/>
            </w:pPr>
            <w:r>
              <w:t xml:space="preserve">Clark; Papasan (federal, cited in briefing); Jones County, 352 So. 3d 1123</w:t>
            </w:r>
          </w:p>
        </w:tc>
      </w:tr>
      <w:tr>
        <w:tc>
          <w:p>
            <w:pPr>
              <w:pStyle w:val="Compact"/>
              <w:jc w:val="left"/>
            </w:pPr>
            <w:r>
              <w:t xml:space="preserve">Ch. 9 (full value)</w:t>
            </w:r>
          </w:p>
        </w:tc>
        <w:tc>
          <w:p>
            <w:pPr>
              <w:pStyle w:val="Compact"/>
              <w:jc w:val="left"/>
            </w:pPr>
            <w:r>
              <w:t xml:space="preserve">Clark</w:t>
            </w:r>
          </w:p>
        </w:tc>
      </w:tr>
      <w:tr>
        <w:tc>
          <w:p>
            <w:pPr>
              <w:pStyle w:val="Compact"/>
              <w:jc w:val="left"/>
            </w:pPr>
            <w:r>
              <w:t xml:space="preserve">Ch. 11 (below-market leasing)</w:t>
            </w:r>
          </w:p>
        </w:tc>
        <w:tc>
          <w:p>
            <w:pPr>
              <w:pStyle w:val="Compact"/>
              <w:jc w:val="left"/>
            </w:pPr>
            <w:r>
              <w:t xml:space="preserve">Clark</w:t>
            </w:r>
          </w:p>
        </w:tc>
      </w:tr>
      <w:tr>
        <w:tc>
          <w:p>
            <w:pPr>
              <w:pStyle w:val="Compact"/>
              <w:jc w:val="left"/>
            </w:pPr>
            <w:r>
              <w:t xml:space="preserve">Ch. 12 (accounting; the historical-default line)</w:t>
            </w:r>
          </w:p>
        </w:tc>
        <w:tc>
          <w:p>
            <w:pPr>
              <w:pStyle w:val="Compact"/>
              <w:jc w:val="left"/>
            </w:pPr>
            <w:r>
              <w:t xml:space="preserve">Hill v. Thompson, 564 So. 2d 1 (Miss. 1989) / Lambert v. State, 211 Miss. 129 (1951) — ✅ in the primary-source archive</w:t>
            </w:r>
          </w:p>
        </w:tc>
      </w:tr>
      <w:tr>
        <w:tc>
          <w:p>
            <w:pPr>
              <w:pStyle w:val="Compact"/>
              <w:jc w:val="left"/>
            </w:pPr>
            <w:r>
              <w:t xml:space="preserve">Ch. 15 (federal enforcement context)</w:t>
            </w:r>
          </w:p>
        </w:tc>
        <w:tc>
          <w:p>
            <w:pPr>
              <w:pStyle w:val="Compact"/>
              <w:jc w:val="left"/>
            </w:pPr>
            <w:r>
              <w:t xml:space="preserve">Papasan (cited in briefing)</w:t>
            </w:r>
          </w:p>
        </w:tc>
      </w:tr>
    </w:tbl>
    <w:p>
      <w:r>
        <w:pict>
          <v:rect style="width:0;height:1.5pt" o:hralign="center" o:hrstd="t" o:hr="t"/>
        </w:pict>
      </w:r>
    </w:p>
    <w:p>
      <w:pPr>
        <w:pStyle w:val="FirstParagraph"/>
      </w:pPr>
      <w:r>
        <w:rPr>
          <w:i/>
        </w:rPr>
        <w:t xml:space="preserve">End of Mississippi entry v1.</w:t>
      </w:r>
    </w:p>
    <w:p>
      <w:r>
        <w:br w:type="page"/>
      </w:r>
    </w:p>
    <w:p>
      <w:pPr>
        <w:pStyle w:val="Heading1"/>
      </w:pPr>
      <w:bookmarkStart w:id="807" w:name="state-appendix-montana"/>
      <w:r>
        <w:t xml:space="preserve">State Appendix — Montana</w:t>
      </w:r>
      <w:bookmarkEnd w:id="807"/>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808" w:name="montana"/>
      <w:r>
        <w:t xml:space="preserve">MONTANA</w:t>
      </w:r>
      <w:bookmarkEnd w:id="808"/>
    </w:p>
    <w:p>
      <w:pPr>
        <w:pStyle w:val="FirstParagraph"/>
      </w:pPr>
      <w:r>
        <w:rPr>
          <w:b/>
        </w:rPr>
        <w:t xml:space="preserve">Granting instrument.</w:t>
      </w:r>
      <w:r>
        <w:t xml:space="preserve"> </w:t>
      </w:r>
      <w:r>
        <w:t xml:space="preserve">Omnibus Enabling Act of February 22, 1889 (25 Stat. 676)</w:t>
      </w:r>
      <w:r>
        <w:t xml:space="preserve"> </w:t>
      </w:r>
      <w:r>
        <w:t xml:space="preserve">[@act-omnibus-1889]</w:t>
      </w:r>
      <w:r>
        <w:t xml:space="preserve"> </w:t>
      </w:r>
      <w:r>
        <w:t xml:space="preserve">— sections 16 and 36 of every township in trust for common schools; proceeds held in a permanent fund; lands appraised before sale or lease; no disposition at less than appraised value. → §§ 2.4, 2.7; Appendix B.</w:t>
      </w:r>
    </w:p>
    <w:p>
      <w:pPr>
        <w:pStyle w:val="BodyText"/>
      </w:pPr>
      <w:r>
        <w:rPr>
          <w:b/>
        </w:rPr>
        <w:t xml:space="preserve">Constitutional reception and administering body.</w:t>
      </w:r>
      <w:r>
        <w:t xml:space="preserve"> </w:t>
      </w:r>
      <w:r>
        <w:t xml:space="preserve">Montana was admitted November 8, 1889; its first Constitution accepted the grant and built the trust obligations into the state’s organic law. Article X, Section 3 of the current Montana Constitution</w:t>
      </w:r>
      <w:r>
        <w:t xml:space="preserve"> </w:t>
      </w:r>
      <w:r>
        <w:t xml:space="preserve">[@const-mt-art10]</w:t>
      </w:r>
      <w:r>
        <w:t xml:space="preserve"> </w:t>
      </w:r>
      <w:r>
        <w:t xml:space="preserve">requires the public school fund to</w:t>
      </w:r>
      <w:r>
        <w:t xml:space="preserve"> </w:t>
      </w:r>
      <w:r>
        <w:t xml:space="preserve">“</w:t>
      </w:r>
      <w:r>
        <w:t xml:space="preserve">forever remain inviolate, guaranteed by the state against loss or diversion.</w:t>
      </w:r>
      <w:r>
        <w:t xml:space="preserve">”</w:t>
      </w:r>
      <w:r>
        <w:t xml:space="preserve"> </w:t>
      </w:r>
      <w:r>
        <w:t xml:space="preserve">The Department of Natural Resources and Conservation, under the State Board of Land Commissioners, administers approximately 5.1 million acres [CITE PENDING in dossier for corpus values]. → Ch. 3; Ch. 8 (inviolability).</w:t>
      </w:r>
    </w:p>
    <w:p>
      <w:pPr>
        <w:pStyle w:val="BodyText"/>
      </w:pPr>
      <w:r>
        <w:rPr>
          <w:b/>
        </w:rPr>
        <w:t xml:space="preserve">Why Montana matters to the field.</w:t>
      </w:r>
      <w:r>
        <w:t xml:space="preserve"> </w:t>
      </w:r>
      <w:r>
        <w:t xml:space="preserve">Montana’s courts have articulated the rules repeatedly — sustained yield (</w:t>
      </w:r>
      <w:r>
        <w:rPr>
          <w:i/>
        </w:rPr>
        <w:t xml:space="preserve">Burlingame</w:t>
      </w:r>
      <w:r>
        <w:t xml:space="preserve">), competitive bidding over lessee preference (</w:t>
      </w:r>
      <w:r>
        <w:rPr>
          <w:i/>
        </w:rPr>
        <w:t xml:space="preserve">Jerke</w:t>
      </w:r>
      <w:r>
        <w:t xml:space="preserve">), trust lands as a distinct legal category (</w:t>
      </w:r>
      <w:r>
        <w:rPr>
          <w:i/>
        </w:rPr>
        <w:t xml:space="preserve">Pettibone</w:t>
      </w:r>
      <w:r>
        <w:t xml:space="preserve">), nullity of diverting statutes (</w:t>
      </w:r>
      <w:r>
        <w:rPr>
          <w:i/>
        </w:rPr>
        <w:t xml:space="preserve">Montrust I</w:t>
      </w:r>
      <w:r>
        <w:t xml:space="preserve">) — and the political branches have repeatedly tested them.</w:t>
      </w:r>
      <w:r>
        <w:t xml:space="preserve"> </w:t>
      </w:r>
      <w:r>
        <w:rPr>
          <w:i/>
        </w:rPr>
        <w:t xml:space="preserve">Darkenwald</w:t>
      </w:r>
      <w:r>
        <w:t xml:space="preserve"> </w:t>
      </w:r>
      <w:r>
        <w:t xml:space="preserve">(2005) is the field’s leading counter-precedent: a commingling statute sustained over a documented dissent. No other state pairs so strong a doctrinal floor with so live a counter-line.</w:t>
      </w:r>
    </w:p>
    <w:p>
      <w:pPr>
        <w:pStyle w:val="Heading3"/>
      </w:pPr>
      <w:bookmarkStart w:id="809" w:name="the-cases-6"/>
      <w:r>
        <w:t xml:space="preserve">The cases</w:t>
      </w:r>
      <w:bookmarkEnd w:id="809"/>
    </w:p>
    <w:p>
      <w:pPr>
        <w:numPr>
          <w:ilvl w:val="0"/>
          <w:numId w:val="1045"/>
        </w:numPr>
        <w:pStyle w:val="Compact"/>
      </w:pPr>
      <w:r>
        <w:rPr>
          <w:b/>
        </w:rPr>
        <w:t xml:space="preserve">Jerke v. State Department of Lands</w:t>
      </w:r>
      <w:r>
        <w:t xml:space="preserve">, 597 P.2d 49 (Mont. 1979)</w:t>
      </w:r>
      <w:r>
        <w:t xml:space="preserve"> </w:t>
      </w:r>
      <w:r>
        <w:t xml:space="preserve">[@jerke-1979]</w:t>
      </w:r>
      <w:r>
        <w:t xml:space="preserve">.</w:t>
      </w:r>
    </w:p>
    <w:p>
      <w:pPr>
        <w:numPr>
          <w:ilvl w:val="1"/>
          <w:numId w:val="1046"/>
        </w:numPr>
        <w:pStyle w:val="Compact"/>
      </w:pPr>
      <w:r>
        <w:rPr>
          <w:i/>
        </w:rPr>
        <w:t xml:space="preserve">Posture.</w:t>
      </w:r>
      <w:r>
        <w:t xml:space="preserve"> </w:t>
      </w:r>
      <w:r>
        <w:t xml:space="preserve">Application of the statutory grazing-lessee preference right to a grazing district that did not itself use the land; held unconstitutional as applied.</w:t>
      </w:r>
    </w:p>
    <w:p>
      <w:pPr>
        <w:numPr>
          <w:ilvl w:val="1"/>
          <w:numId w:val="1046"/>
        </w:numPr>
        <w:pStyle w:val="Compact"/>
      </w:pPr>
      <w:r>
        <w:rPr>
          <w:i/>
        </w:rPr>
        <w:t xml:space="preserve">Holdings.</w:t>
      </w:r>
      <w:r>
        <w:t xml:space="preserve"> </w:t>
      </w:r>
      <w:r>
        <w:t xml:space="preserve">Only pure competitive bidding could secure full market value in that situation; the preference statute could not be given that application.</w:t>
      </w:r>
    </w:p>
    <w:p>
      <w:pPr>
        <w:numPr>
          <w:ilvl w:val="1"/>
          <w:numId w:val="1046"/>
        </w:numPr>
        <w:pStyle w:val="Compact"/>
      </w:pPr>
      <w:r>
        <w:rPr>
          <w:i/>
        </w:rPr>
        <w:t xml:space="preserve">Supports:</w:t>
      </w:r>
      <w:r>
        <w:t xml:space="preserve"> </w:t>
      </w:r>
      <w:r>
        <w:t xml:space="preserve">Ch. 11 (lessee-preference cases).</w:t>
      </w:r>
    </w:p>
    <w:p>
      <w:pPr>
        <w:numPr>
          <w:ilvl w:val="0"/>
          <w:numId w:val="1045"/>
        </w:numPr>
        <w:pStyle w:val="Compact"/>
      </w:pPr>
      <w:r>
        <w:rPr>
          <w:b/>
        </w:rPr>
        <w:t xml:space="preserve">State ex rel. Department of Highways v. Burlingame</w:t>
      </w:r>
      <w:r>
        <w:t xml:space="preserve">, 597 P.2d 51 (Mont. 1979)</w:t>
      </w:r>
      <w:r>
        <w:t xml:space="preserve"> </w:t>
      </w:r>
      <w:r>
        <w:t xml:space="preserve">[@burlingame-1979]</w:t>
      </w:r>
      <w:r>
        <w:t xml:space="preserve"> </w:t>
      </w:r>
      <w:r>
        <w:t xml:space="preserve">(reported with</w:t>
      </w:r>
      <w:r>
        <w:t xml:space="preserve"> </w:t>
      </w:r>
      <w:r>
        <w:rPr>
          <w:i/>
        </w:rPr>
        <w:t xml:space="preserve">Jerke</w:t>
      </w:r>
      <w:r>
        <w:t xml:space="preserve">).</w:t>
      </w:r>
    </w:p>
    <w:p>
      <w:pPr>
        <w:numPr>
          <w:ilvl w:val="1"/>
          <w:numId w:val="1047"/>
        </w:numPr>
        <w:pStyle w:val="Compact"/>
      </w:pPr>
      <w:r>
        <w:rPr>
          <w:i/>
        </w:rPr>
        <w:t xml:space="preserve">Holdings.</w:t>
      </w:r>
      <w:r>
        <w:t xml:space="preserve"> </w:t>
      </w:r>
      <w:r>
        <w:t xml:space="preserve">Restated the sustained-yield doctrine: long-term productivity of trust land takes priority over short-term income; a preference right that does not further sustained yield cannot be given effect.</w:t>
      </w:r>
    </w:p>
    <w:p>
      <w:pPr>
        <w:numPr>
          <w:ilvl w:val="1"/>
          <w:numId w:val="1047"/>
        </w:numPr>
        <w:pStyle w:val="Compact"/>
      </w:pPr>
      <w:r>
        <w:rPr>
          <w:i/>
        </w:rPr>
        <w:t xml:space="preserve">Supports:</w:t>
      </w:r>
      <w:r>
        <w:t xml:space="preserve"> </w:t>
      </w:r>
      <w:r>
        <w:t xml:space="preserve">Ch. 7 (sustained yield as prudence); Ch. 8 (intergenerational structure); Ch. 11.</w:t>
      </w:r>
    </w:p>
    <w:p>
      <w:pPr>
        <w:numPr>
          <w:ilvl w:val="0"/>
          <w:numId w:val="1045"/>
        </w:numPr>
        <w:pStyle w:val="Compact"/>
      </w:pPr>
      <w:r>
        <w:rPr>
          <w:b/>
        </w:rPr>
        <w:t xml:space="preserve">Department of State Lands v. Pettibone</w:t>
      </w:r>
      <w:r>
        <w:t xml:space="preserve">, 702 P.2d 948 (Mont. 1985)</w:t>
      </w:r>
      <w:r>
        <w:t xml:space="preserve"> </w:t>
      </w:r>
      <w:r>
        <w:t xml:space="preserve">[@pettibone-1985]</w:t>
      </w:r>
      <w:r>
        <w:t xml:space="preserve">.</w:t>
      </w:r>
    </w:p>
    <w:p>
      <w:pPr>
        <w:numPr>
          <w:ilvl w:val="1"/>
          <w:numId w:val="1048"/>
        </w:numPr>
        <w:pStyle w:val="Compact"/>
      </w:pPr>
      <w:r>
        <w:rPr>
          <w:i/>
        </w:rPr>
        <w:t xml:space="preserve">Holdings.</w:t>
      </w:r>
      <w:r>
        <w:t xml:space="preserve"> </w:t>
      </w:r>
      <w:r>
        <w:t xml:space="preserve">School trust lands are</w:t>
      </w:r>
      <w:r>
        <w:t xml:space="preserve"> </w:t>
      </w:r>
      <w:r>
        <w:t xml:space="preserve">“</w:t>
      </w:r>
      <w:r>
        <w:t xml:space="preserve">subject to a different set of rules than other public lands</w:t>
      </w:r>
      <w:r>
        <w:t xml:space="preserve">”</w:t>
      </w:r>
      <w:r>
        <w:t xml:space="preserve">; any infringement on managerial prerogatives that reduces land value is impermissible; water rights appurtenant to school lands are themselves trust interests for which the trust must receive compensation.</w:t>
      </w:r>
    </w:p>
    <w:p>
      <w:pPr>
        <w:numPr>
          <w:ilvl w:val="1"/>
          <w:numId w:val="1048"/>
        </w:numPr>
        <w:pStyle w:val="Compact"/>
      </w:pPr>
      <w:r>
        <w:rPr>
          <w:i/>
        </w:rPr>
        <w:t xml:space="preserve">Supports:</w:t>
      </w:r>
      <w:r>
        <w:t xml:space="preserve"> </w:t>
      </w:r>
      <w:r>
        <w:t xml:space="preserve">Ch. 4 (trust lands as a distinct category); Ch. 10 (compensation for appurtenant interests).</w:t>
      </w:r>
    </w:p>
    <w:p>
      <w:pPr>
        <w:numPr>
          <w:ilvl w:val="0"/>
          <w:numId w:val="1045"/>
        </w:numPr>
        <w:pStyle w:val="Compact"/>
      </w:pPr>
      <w:r>
        <w:rPr>
          <w:b/>
        </w:rPr>
        <w:t xml:space="preserve">Montanans for the Responsible Use of the School Trust v. State (Montrust I)</w:t>
      </w:r>
      <w:r>
        <w:t xml:space="preserve">, 1999 MT 263</w:t>
      </w:r>
      <w:r>
        <w:t xml:space="preserve"> </w:t>
      </w:r>
      <w:r>
        <w:t xml:space="preserve">[@montrust-1999]</w:t>
      </w:r>
      <w:r>
        <w:t xml:space="preserve">.</w:t>
      </w:r>
    </w:p>
    <w:p>
      <w:pPr>
        <w:numPr>
          <w:ilvl w:val="1"/>
          <w:numId w:val="1049"/>
        </w:numPr>
        <w:pStyle w:val="Compact"/>
      </w:pPr>
      <w:r>
        <w:rPr>
          <w:i/>
        </w:rPr>
        <w:t xml:space="preserve">Posture.</w:t>
      </w:r>
      <w:r>
        <w:t xml:space="preserve"> </w:t>
      </w:r>
      <w:r>
        <w:t xml:space="preserve">Citizen challenge to trust-land management statutes and practices. On appeal, four statutes (§§ 77-1-130, 77-5-211, 77-6-304, 77-6-305) and the Department’s below-market cabin-site rental policy were held unconstitutional; § 77-1-208 itself was sustained on its face; private-attorney-general fees awarded. (Count verified against the full opinion, 2026-06-10.)</w:t>
      </w:r>
    </w:p>
    <w:p>
      <w:pPr>
        <w:numPr>
          <w:ilvl w:val="1"/>
          <w:numId w:val="1049"/>
        </w:numPr>
        <w:pStyle w:val="Compact"/>
      </w:pPr>
      <w:r>
        <w:rPr>
          <w:i/>
        </w:rPr>
        <w:t xml:space="preserve">Holdings.</w:t>
      </w:r>
      <w:r>
        <w:t xml:space="preserve"> </w:t>
      </w:r>
      <w:r>
        <w:t xml:space="preserve">The presumption of constitutionality does not save breaching statutes; private-attorney-general doctrine adopted. (Cited in the filed May 29, 2026 Response as</w:t>
      </w:r>
      <w:r>
        <w:t xml:space="preserve"> </w:t>
      </w:r>
      <w:r>
        <w:t xml:space="preserve">“</w:t>
      </w:r>
      <w:r>
        <w:t xml:space="preserve">Mont. 1999.</w:t>
      </w:r>
      <w:r>
        <w:t xml:space="preserve">”</w:t>
      </w:r>
      <w:r>
        <w:t xml:space="preserve">)</w:t>
      </w:r>
    </w:p>
    <w:p>
      <w:pPr>
        <w:numPr>
          <w:ilvl w:val="1"/>
          <w:numId w:val="1049"/>
        </w:numPr>
        <w:pStyle w:val="Compact"/>
      </w:pPr>
      <w:r>
        <w:rPr>
          <w:i/>
        </w:rPr>
        <w:t xml:space="preserve">Supports:</w:t>
      </w:r>
      <w:r>
        <w:t xml:space="preserve"> </w:t>
      </w:r>
      <w:r>
        <w:t xml:space="preserve">Ch. 4 (§ 4.6(a), breaching statutes void); Ch. 13 (who may sue; private-attorney-general fees); Ch. 18 (remedies).</w:t>
      </w:r>
    </w:p>
    <w:p>
      <w:pPr>
        <w:numPr>
          <w:ilvl w:val="0"/>
          <w:numId w:val="1045"/>
        </w:numPr>
        <w:pStyle w:val="Compact"/>
      </w:pPr>
      <w:r>
        <w:rPr>
          <w:b/>
        </w:rPr>
        <w:t xml:space="preserve">Montanans for the Responsible Use of the School Trust v. Darkenwald</w:t>
      </w:r>
      <w:r>
        <w:t xml:space="preserve">, 2005 MT 190, 328 Mont. 105</w:t>
      </w:r>
      <w:r>
        <w:t xml:space="preserve"> </w:t>
      </w:r>
      <w:r>
        <w:t xml:space="preserve">[@darkenwald-2005]</w:t>
      </w:r>
      <w:r>
        <w:t xml:space="preserve">.</w:t>
      </w:r>
    </w:p>
    <w:p>
      <w:pPr>
        <w:numPr>
          <w:ilvl w:val="1"/>
          <w:numId w:val="1050"/>
        </w:numPr>
        <w:pStyle w:val="Compact"/>
      </w:pPr>
      <w:r>
        <w:rPr>
          <w:i/>
        </w:rPr>
        <w:t xml:space="preserve">Posture.</w:t>
      </w:r>
      <w:r>
        <w:t xml:space="preserve"> </w:t>
      </w:r>
      <w:r>
        <w:t xml:space="preserve">Challenge to SB 495, which authorized commingling of school trust distributable revenues with the General Fund subject to a</w:t>
      </w:r>
      <w:r>
        <w:t xml:space="preserve"> </w:t>
      </w:r>
      <w:r>
        <w:t xml:space="preserve">“</w:t>
      </w:r>
      <w:r>
        <w:t xml:space="preserve">no harm, no foul</w:t>
      </w:r>
      <w:r>
        <w:t xml:space="preserve">”</w:t>
      </w:r>
      <w:r>
        <w:t xml:space="preserve"> </w:t>
      </w:r>
      <w:r>
        <w:t xml:space="preserve">reconciliation; statute upheld.</w:t>
      </w:r>
    </w:p>
    <w:p>
      <w:pPr>
        <w:numPr>
          <w:ilvl w:val="1"/>
          <w:numId w:val="1050"/>
        </w:numPr>
        <w:pStyle w:val="Compact"/>
      </w:pPr>
      <w:r>
        <w:rPr>
          <w:i/>
        </w:rPr>
        <w:t xml:space="preserve">Holdings.</w:t>
      </w:r>
      <w:r>
        <w:t xml:space="preserve"> </w:t>
      </w:r>
      <w:r>
        <w:t xml:space="preserve">The commingling-with-reconciliation scheme was sustained — the field’s leading counter-precedent. Justice Nelson, joined by Justice Cotter, dissented: the scheme</w:t>
      </w:r>
      <w:r>
        <w:t xml:space="preserve"> </w:t>
      </w:r>
      <w:r>
        <w:t xml:space="preserve">“</w:t>
      </w:r>
      <w:r>
        <w:t xml:space="preserve">robs Peter (future generations of school children) to pay Paul (present day school children)</w:t>
      </w:r>
      <w:r>
        <w:t xml:space="preserve">”</w:t>
      </w:r>
      <w:r>
        <w:t xml:space="preserve"> </w:t>
      </w:r>
      <w:r>
        <w:t xml:space="preserve">and authorized over $94.6 million in dissipation across thirty years in violation of the inviolability clause.</w:t>
      </w:r>
    </w:p>
    <w:p>
      <w:pPr>
        <w:numPr>
          <w:ilvl w:val="1"/>
          <w:numId w:val="1050"/>
        </w:numPr>
        <w:pStyle w:val="Compact"/>
      </w:pPr>
      <w:r>
        <w:rPr>
          <w:i/>
        </w:rPr>
        <w:t xml:space="preserve">Supports:</w:t>
      </w:r>
      <w:r>
        <w:t xml:space="preserve"> </w:t>
      </w:r>
      <w:r>
        <w:t xml:space="preserve">Ch. 4 (§ 4.7 — the honorary-grant/deference position examined; counter-precedent stated at full strength); Ch. 8 (commingling and impartiality); Ch. 12 (reconciliation accounting).</w:t>
      </w:r>
    </w:p>
    <w:p>
      <w:pPr>
        <w:numPr>
          <w:ilvl w:val="0"/>
          <w:numId w:val="1045"/>
        </w:numPr>
        <w:pStyle w:val="Compact"/>
      </w:pPr>
      <w:r>
        <w:rPr>
          <w:b/>
        </w:rPr>
        <w:t xml:space="preserve">Friends of the Wild Swan v. DNRC</w:t>
      </w:r>
      <w:r>
        <w:t xml:space="preserve">, 2005 MT 351, 330 Mont. 186</w:t>
      </w:r>
      <w:r>
        <w:t xml:space="preserve"> </w:t>
      </w:r>
      <w:r>
        <w:t xml:space="preserve">[@wild-swan-2005]</w:t>
      </w:r>
      <w:r>
        <w:t xml:space="preserve">.</w:t>
      </w:r>
    </w:p>
    <w:p>
      <w:pPr>
        <w:numPr>
          <w:ilvl w:val="1"/>
          <w:numId w:val="1051"/>
        </w:numPr>
        <w:pStyle w:val="Compact"/>
      </w:pPr>
      <w:r>
        <w:rPr>
          <w:i/>
        </w:rPr>
        <w:t xml:space="preserve">Holdings.</w:t>
      </w:r>
      <w:r>
        <w:t xml:space="preserve"> </w:t>
      </w:r>
      <w:r>
        <w:t xml:space="preserve">Montana accepted the granted lands on the terms of the Enabling Act; the lands are held in trust with the State as trustee.</w:t>
      </w:r>
    </w:p>
    <w:p>
      <w:pPr>
        <w:numPr>
          <w:ilvl w:val="1"/>
          <w:numId w:val="1051"/>
        </w:numPr>
        <w:pStyle w:val="Compact"/>
      </w:pPr>
      <w:r>
        <w:rPr>
          <w:i/>
        </w:rPr>
        <w:t xml:space="preserve">Supports:</w:t>
      </w:r>
      <w:r>
        <w:t xml:space="preserve"> </w:t>
      </w:r>
      <w:r>
        <w:t xml:space="preserve">Ch. 4 (§ 4.4, sister-state agreement).</w:t>
      </w:r>
    </w:p>
    <w:p>
      <w:pPr>
        <w:pStyle w:val="Heading3"/>
      </w:pPr>
      <w:bookmarkStart w:id="810" w:name="X81cf6f97ccd47b5ff4fadfd08ab0fb4ec939c00"/>
      <w:r>
        <w:t xml:space="preserve">Authorities identified but not yet verified</w:t>
      </w:r>
      <w:bookmarkEnd w:id="810"/>
    </w:p>
    <w:p>
      <w:pPr>
        <w:numPr>
          <w:ilvl w:val="0"/>
          <w:numId w:val="1052"/>
        </w:numPr>
        <w:pStyle w:val="Compact"/>
      </w:pPr>
      <w:r>
        <w:rPr>
          <w:b/>
        </w:rPr>
        <w:t xml:space="preserve">Friends of the Wild Swan v. DNRC</w:t>
      </w:r>
      <w:r>
        <w:t xml:space="preserve">, 2000 MT 209, 301 Mont. 1, 6 P.3d 972 (Trieweiler, J.) — verified against the L0 opinion and confirmed</w:t>
      </w:r>
      <w:r>
        <w:t xml:space="preserve"> </w:t>
      </w:r>
      <w:r>
        <w:rPr>
          <w:i/>
        </w:rPr>
        <w:t xml:space="preserve">distinct</w:t>
      </w:r>
      <w:r>
        <w:t xml:space="preserve"> </w:t>
      </w:r>
      <w:r>
        <w:t xml:space="preserve">from the 2005 opinion. This is the Middle Soup Creek Project MEPA case (No. 99-158): it affirms an injunction against a school-trust timber sale for inadequate cumulative-impacts analysis and holds that a substantial economic change in a proposed sale (here, from ~5.2M board feet / ~$1.05M projected net revenue down to 1.99M board feet / a projected ~$150K loss to the State) requires a supplemental EIS. The 2005 MT 351 opinion already carried above is the separate harvest-level-accounting case. Prospective feed: Ch. 7 (process duties before disposition).</w:t>
      </w:r>
    </w:p>
    <w:p>
      <w:pPr>
        <w:pStyle w:val="Heading3"/>
      </w:pPr>
      <w:bookmarkStart w:id="811" w:name="Xa9eaacce672ce502c631d904e4d57b62ecf03c1"/>
      <w:r>
        <w:t xml:space="preserve">Cross-reference map (section → Montana authority)</w:t>
      </w:r>
      <w:bookmarkEnd w:id="811"/>
    </w:p>
    <w:tbl>
      <w:tblPr>
        <w:tblStyle w:val="Table"/>
        <w:tblW w:type="pct" w:w="0.0"/>
        <w:tblLook w:firstRow="1"/>
      </w:tblPr>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Montana authority</w:t>
            </w:r>
          </w:p>
        </w:tc>
      </w:tr>
      <w:tr>
        <w:tc>
          <w:p>
            <w:pPr>
              <w:pStyle w:val="Compact"/>
              <w:jc w:val="left"/>
            </w:pPr>
            <w:r>
              <w:t xml:space="preserve">§ 2.4 (Omnibus Act)</w:t>
            </w:r>
          </w:p>
        </w:tc>
        <w:tc>
          <w:p>
            <w:pPr>
              <w:pStyle w:val="Compact"/>
              <w:jc w:val="left"/>
            </w:pPr>
            <w:r>
              <w:t xml:space="preserve">Omnibus Enabling Act, 25 Stat. 676</w:t>
            </w:r>
          </w:p>
        </w:tc>
      </w:tr>
      <w:tr>
        <w:tc>
          <w:p>
            <w:pPr>
              <w:pStyle w:val="Compact"/>
              <w:jc w:val="left"/>
            </w:pPr>
            <w:r>
              <w:t xml:space="preserve">Ch. 3 / Ch. 8 (inviolability clause)</w:t>
            </w:r>
          </w:p>
        </w:tc>
        <w:tc>
          <w:p>
            <w:pPr>
              <w:pStyle w:val="Compact"/>
              <w:jc w:val="left"/>
            </w:pPr>
            <w:r>
              <w:t xml:space="preserve">Mont. Const. Art. X § 3</w:t>
            </w:r>
          </w:p>
        </w:tc>
      </w:tr>
      <w:tr>
        <w:tc>
          <w:p>
            <w:pPr>
              <w:pStyle w:val="Compact"/>
              <w:jc w:val="left"/>
            </w:pPr>
            <w:r>
              <w:t xml:space="preserve">Ch. 4 § 4.4 (sister-state agreement)</w:t>
            </w:r>
          </w:p>
        </w:tc>
        <w:tc>
          <w:p>
            <w:pPr>
              <w:pStyle w:val="Compact"/>
              <w:jc w:val="left"/>
            </w:pPr>
            <w:r>
              <w:t xml:space="preserve">Wild Swan (2005); Pettibone</w:t>
            </w:r>
          </w:p>
        </w:tc>
      </w:tr>
      <w:tr>
        <w:tc>
          <w:p>
            <w:pPr>
              <w:pStyle w:val="Compact"/>
              <w:jc w:val="left"/>
            </w:pPr>
            <w:r>
              <w:t xml:space="preserve">Ch. 4 § 4.6(a) (breaching statutes void)</w:t>
            </w:r>
          </w:p>
        </w:tc>
        <w:tc>
          <w:p>
            <w:pPr>
              <w:pStyle w:val="Compact"/>
              <w:jc w:val="left"/>
            </w:pPr>
            <w:r>
              <w:t xml:space="preserve">Montrust I</w:t>
            </w:r>
          </w:p>
        </w:tc>
      </w:tr>
      <w:tr>
        <w:tc>
          <w:p>
            <w:pPr>
              <w:pStyle w:val="Compact"/>
              <w:jc w:val="left"/>
            </w:pPr>
            <w:r>
              <w:t xml:space="preserve">Ch. 4 § 4.7 (counter-precedent)</w:t>
            </w:r>
          </w:p>
        </w:tc>
        <w:tc>
          <w:p>
            <w:pPr>
              <w:pStyle w:val="Compact"/>
              <w:jc w:val="left"/>
            </w:pPr>
            <w:r>
              <w:t xml:space="preserve">Darkenwald (and Nelson dissent)</w:t>
            </w:r>
          </w:p>
        </w:tc>
      </w:tr>
      <w:tr>
        <w:tc>
          <w:p>
            <w:pPr>
              <w:pStyle w:val="Compact"/>
              <w:jc w:val="left"/>
            </w:pPr>
            <w:r>
              <w:t xml:space="preserve">Ch. 7 (sustained yield)</w:t>
            </w:r>
          </w:p>
        </w:tc>
        <w:tc>
          <w:p>
            <w:pPr>
              <w:pStyle w:val="Compact"/>
              <w:jc w:val="left"/>
            </w:pPr>
            <w:r>
              <w:t xml:space="preserve">Burlingame</w:t>
            </w:r>
          </w:p>
        </w:tc>
      </w:tr>
      <w:tr>
        <w:tc>
          <w:p>
            <w:pPr>
              <w:pStyle w:val="Compact"/>
              <w:jc w:val="left"/>
            </w:pPr>
            <w:r>
              <w:t xml:space="preserve">Ch. 8 (impartiality; commingling)</w:t>
            </w:r>
          </w:p>
        </w:tc>
        <w:tc>
          <w:p>
            <w:pPr>
              <w:pStyle w:val="Compact"/>
              <w:jc w:val="left"/>
            </w:pPr>
            <w:r>
              <w:t xml:space="preserve">Burlingame; Darkenwald</w:t>
            </w:r>
          </w:p>
        </w:tc>
      </w:tr>
      <w:tr>
        <w:tc>
          <w:p>
            <w:pPr>
              <w:pStyle w:val="Compact"/>
              <w:jc w:val="left"/>
            </w:pPr>
            <w:r>
              <w:t xml:space="preserve">Ch. 10 (appurtenant interests)</w:t>
            </w:r>
          </w:p>
        </w:tc>
        <w:tc>
          <w:p>
            <w:pPr>
              <w:pStyle w:val="Compact"/>
              <w:jc w:val="left"/>
            </w:pPr>
            <w:r>
              <w:t xml:space="preserve">Pettibone</w:t>
            </w:r>
          </w:p>
        </w:tc>
      </w:tr>
      <w:tr>
        <w:tc>
          <w:p>
            <w:pPr>
              <w:pStyle w:val="Compact"/>
              <w:jc w:val="left"/>
            </w:pPr>
            <w:r>
              <w:t xml:space="preserve">Ch. 11 (preference rights)</w:t>
            </w:r>
          </w:p>
        </w:tc>
        <w:tc>
          <w:p>
            <w:pPr>
              <w:pStyle w:val="Compact"/>
              <w:jc w:val="left"/>
            </w:pPr>
            <w:r>
              <w:t xml:space="preserve">Jerke; Burlingame</w:t>
            </w:r>
          </w:p>
        </w:tc>
      </w:tr>
      <w:tr>
        <w:tc>
          <w:p>
            <w:pPr>
              <w:pStyle w:val="Compact"/>
              <w:jc w:val="left"/>
            </w:pPr>
            <w:r>
              <w:t xml:space="preserve">Ch. 12 (accounting)</w:t>
            </w:r>
          </w:p>
        </w:tc>
        <w:tc>
          <w:p>
            <w:pPr>
              <w:pStyle w:val="Compact"/>
              <w:jc w:val="left"/>
            </w:pPr>
            <w:r>
              <w:t xml:space="preserve">Darkenwald</w:t>
            </w:r>
          </w:p>
        </w:tc>
      </w:tr>
      <w:tr>
        <w:tc>
          <w:p>
            <w:pPr>
              <w:pStyle w:val="Compact"/>
              <w:jc w:val="left"/>
            </w:pPr>
            <w:r>
              <w:t xml:space="preserve">Ch. 13 / Ch. 18 (enforcement; remedies)</w:t>
            </w:r>
          </w:p>
        </w:tc>
        <w:tc>
          <w:p>
            <w:pPr>
              <w:pStyle w:val="Compact"/>
              <w:jc w:val="left"/>
            </w:pPr>
            <w:r>
              <w:t xml:space="preserve">Montrust I</w:t>
            </w:r>
          </w:p>
        </w:tc>
      </w:tr>
    </w:tbl>
    <w:p>
      <w:r>
        <w:pict>
          <v:rect style="width:0;height:1.5pt" o:hralign="center" o:hrstd="t" o:hr="t"/>
        </w:pict>
      </w:r>
    </w:p>
    <w:p>
      <w:pPr>
        <w:pStyle w:val="FirstParagraph"/>
      </w:pPr>
      <w:r>
        <w:rPr>
          <w:i/>
        </w:rPr>
        <w:t xml:space="preserve">End of Montana entry v1.</w:t>
      </w:r>
    </w:p>
    <w:p>
      <w:r>
        <w:br w:type="page"/>
      </w:r>
    </w:p>
    <w:p>
      <w:pPr>
        <w:pStyle w:val="Heading1"/>
      </w:pPr>
      <w:bookmarkStart w:id="812" w:name="state-appendix-north-dakota"/>
      <w:r>
        <w:t xml:space="preserve">State Appendix — North Dakota</w:t>
      </w:r>
      <w:bookmarkEnd w:id="812"/>
    </w:p>
    <w:p>
      <w:pPr>
        <w:pStyle w:val="FirstParagraph"/>
      </w:pPr>
      <w:r>
        <w:rPr>
          <w:i/>
        </w:rPr>
        <w:t xml:space="preserve">Stub entry. The verified hornbook corpus holds no case law for this state (the Library’s authorities register G-8); the case line is queued — see the verification queue (Priority 3). Instrument citation carried as given in the Fifty-States encyclopedia dossier; candidate authorities named there are listed for the harvest, not for citation.</w:t>
      </w:r>
    </w:p>
    <w:p>
      <w:r>
        <w:pict>
          <v:rect style="width:0;height:1.5pt" o:hralign="center" o:hrstd="t" o:hr="t"/>
        </w:pict>
      </w:r>
    </w:p>
    <w:p>
      <w:pPr>
        <w:pStyle w:val="Heading2"/>
      </w:pPr>
      <w:bookmarkStart w:id="813" w:name="north-dakota-stub"/>
      <w:r>
        <w:t xml:space="preserve">NORTH DAKOTA (stub)</w:t>
      </w:r>
      <w:bookmarkEnd w:id="813"/>
    </w:p>
    <w:p>
      <w:pPr>
        <w:pStyle w:val="FirstParagraph"/>
      </w:pPr>
      <w:r>
        <w:rPr>
          <w:b/>
        </w:rPr>
        <w:t xml:space="preserve">Granting instrument.</w:t>
      </w:r>
      <w:r>
        <w:t xml:space="preserve"> </w:t>
      </w:r>
      <w:r>
        <w:t xml:space="preserve">Omnibus Enabling Act of February 22, 1889, ch. 180, 25 Stat. 676</w:t>
      </w:r>
      <w:r>
        <w:t xml:space="preserve"> </w:t>
      </w:r>
      <w:r>
        <w:t xml:space="preserve">[@act-omnibus-1889]</w:t>
      </w:r>
      <w:r>
        <w:t xml:space="preserve"> </w:t>
      </w:r>
      <w:r>
        <w:t xml:space="preserve">(admitting North Dakota, South Dakota, Montana, and Washington) — sections 16 and 36 of every township for common schools, with permanent-fund, appraisal, minimum-price, and disposition constraints (§§ 10-11, 14, 17 per the Fifty-States dossier), plus institutional grants (university, school of mines, normal schools, and other named beneficiaries). → §§ 2.4, 2.7; Appendix B.</w:t>
      </w:r>
    </w:p>
    <w:p>
      <w:pPr>
        <w:pStyle w:val="BodyText"/>
      </w:pPr>
      <w:r>
        <w:rPr>
          <w:b/>
        </w:rPr>
        <w:t xml:space="preserve">Case line.</w:t>
      </w:r>
      <w:r>
        <w:t xml:space="preserve"> </w:t>
      </w:r>
      <w:r>
        <w:t xml:space="preserve">Not yet collected into the verified corpus — see the verification queue (Priority 3). Candidate authority identified in the Fifty-States dossier, not yet verified for hornbook use:</w:t>
      </w:r>
      <w:r>
        <w:t xml:space="preserve"> </w:t>
      </w:r>
      <w:r>
        <w:rPr>
          <w:b/>
        </w:rPr>
        <w:t xml:space="preserve">State ex rel. Bd. of Univ. &amp; Sch. Lands v. McMillan</w:t>
      </w:r>
      <w:r>
        <w:t xml:space="preserve">, 12 N.D. 280, 96 N.W. 310 (N.D. 1903) — described there as treating the Enabling Act grant as a trust, with the state as trustee required to preserve the permanency of the funds [VERIFY before any hornbook citation]. Prospective feeds: Ch. 4 (§§ 4.3-4.4); Ch. 8.</w:t>
      </w:r>
    </w:p>
    <w:p>
      <w:r>
        <w:pict>
          <v:rect style="width:0;height:1.5pt" o:hralign="center" o:hrstd="t" o:hr="t"/>
        </w:pict>
      </w:r>
    </w:p>
    <w:p>
      <w:pPr>
        <w:pStyle w:val="FirstParagraph"/>
      </w:pPr>
      <w:r>
        <w:rPr>
          <w:i/>
        </w:rPr>
        <w:t xml:space="preserve">End of North Dakota stub v0.</w:t>
      </w:r>
    </w:p>
    <w:p>
      <w:r>
        <w:br w:type="page"/>
      </w:r>
    </w:p>
    <w:p>
      <w:pPr>
        <w:pStyle w:val="Heading1"/>
      </w:pPr>
      <w:bookmarkStart w:id="814" w:name="state-appendix-nebraska"/>
      <w:r>
        <w:t xml:space="preserve">State Appendix — Nebraska</w:t>
      </w:r>
      <w:bookmarkEnd w:id="814"/>
    </w:p>
    <w:p>
      <w:pPr>
        <w:pStyle w:val="FirstParagraph"/>
      </w:pPr>
      <w:r>
        <w:rPr>
          <w:i/>
        </w:rPr>
        <w:t xml:space="preserve">About this appendix.</w:t>
      </w:r>
      <w:r>
        <w:t xml:space="preserve"> </w:t>
      </w:r>
      <w:r>
        <w:t xml:space="preserve">The hornbook reads forward, from doctrine to cases. This appendix reads backward, from state to doctrine: each state’s school-trust cases are listed in bullet form, each entry cross-citing the hornbook sections it supports, so a practitioner can open her own state’s entry and walk into the treatise from there. Cross-cites use drafted section numbers (§§ 2.x, 4.x) where the chapter exists, and chapter numbers per the renumbered working edition where it does not yet. Nebraska is the proving sample for the form.</w:t>
      </w:r>
    </w:p>
    <w:p>
      <w:r>
        <w:pict>
          <v:rect style="width:0;height:1.5pt" o:hralign="center" o:hrstd="t" o:hr="t"/>
        </w:pict>
      </w:r>
    </w:p>
    <w:p>
      <w:pPr>
        <w:pStyle w:val="Heading2"/>
      </w:pPr>
      <w:bookmarkStart w:id="815" w:name="nebraska"/>
      <w:r>
        <w:t xml:space="preserve">NEBRASKA</w:t>
      </w:r>
      <w:bookmarkEnd w:id="815"/>
    </w:p>
    <w:p>
      <w:pPr>
        <w:pStyle w:val="FirstParagraph"/>
      </w:pPr>
      <w:r>
        <w:rPr>
          <w:b/>
        </w:rPr>
        <w:t xml:space="preserve">Granting instrument.</w:t>
      </w:r>
      <w:r>
        <w:t xml:space="preserve"> </w:t>
      </w:r>
      <w:r>
        <w:t xml:space="preserve">Nebraska Enabling Act of April 19, 1864, 13 Stat. 47</w:t>
      </w:r>
      <w:r>
        <w:t xml:space="preserve"> </w:t>
      </w:r>
      <w:r>
        <w:t xml:space="preserve">[@act-nebraska-1864]</w:t>
      </w:r>
      <w:r>
        <w:t xml:space="preserve"> </w:t>
      </w:r>
      <w:r>
        <w:t xml:space="preserve">— sections 16 and 36 of every township for the support of common schools; proceeds held in a permanent fund. → §§ 2.1, 2.4; Appendix B.</w:t>
      </w:r>
    </w:p>
    <w:p>
      <w:pPr>
        <w:pStyle w:val="BodyText"/>
      </w:pPr>
      <w:r>
        <w:rPr>
          <w:b/>
        </w:rPr>
        <w:t xml:space="preserve">Constitutional reception.</w:t>
      </w:r>
      <w:r>
        <w:t xml:space="preserve"> </w:t>
      </w:r>
      <w:r>
        <w:t xml:space="preserve">The Nebraska Constitution incorporated the trust covenants directly into the state’s organic law, making any violation of trust duty simultaneously a violation of the state constitution. Article VII, Section 9</w:t>
      </w:r>
      <w:r>
        <w:t xml:space="preserve"> </w:t>
      </w:r>
      <w:r>
        <w:t xml:space="preserve">[@const-ne-art7]</w:t>
      </w:r>
      <w:r>
        <w:t xml:space="preserve"> </w:t>
      </w:r>
      <w:r>
        <w:t xml:space="preserve">establishes the perpetual school fund and the state’s fiduciary obligations over it [VERIFY current article/section numbering in modern compilations]. → Ch. 3; § 4.3.</w:t>
      </w:r>
    </w:p>
    <w:p>
      <w:pPr>
        <w:pStyle w:val="BodyText"/>
      </w:pPr>
      <w:r>
        <w:rPr>
          <w:b/>
        </w:rPr>
        <w:t xml:space="preserve">Administering body.</w:t>
      </w:r>
      <w:r>
        <w:t xml:space="preserve"> </w:t>
      </w:r>
      <w:r>
        <w:t xml:space="preserve">Historically the Board of Educational Lands and Funds; current administrative arrangements have shifted to other state offices [VERIFY current administrator]. → Ch. 3.</w:t>
      </w:r>
    </w:p>
    <w:p>
      <w:pPr>
        <w:pStyle w:val="BodyText"/>
      </w:pPr>
      <w:r>
        <w:rPr>
          <w:b/>
        </w:rPr>
        <w:t xml:space="preserve">Why Nebraska matters to the field.</w:t>
      </w:r>
      <w:r>
        <w:t xml:space="preserve"> </w:t>
      </w:r>
      <w:r>
        <w:t xml:space="preserve">The</w:t>
      </w:r>
      <w:r>
        <w:t xml:space="preserve"> </w:t>
      </w:r>
      <w:r>
        <w:rPr>
          <w:i/>
        </w:rPr>
        <w:t xml:space="preserve">Platte Valley</w:t>
      </w:r>
      <w:r>
        <w:t xml:space="preserve"> </w:t>
      </w:r>
      <w:r>
        <w:t xml:space="preserve">/</w:t>
      </w:r>
      <w:r>
        <w:t xml:space="preserve"> </w:t>
      </w:r>
      <w:r>
        <w:rPr>
          <w:i/>
        </w:rPr>
        <w:t xml:space="preserve">Ebke</w:t>
      </w:r>
      <w:r>
        <w:t xml:space="preserve"> </w:t>
      </w:r>
      <w:r>
        <w:t xml:space="preserve">/</w:t>
      </w:r>
      <w:r>
        <w:t xml:space="preserve"> </w:t>
      </w:r>
      <w:r>
        <w:rPr>
          <w:i/>
        </w:rPr>
        <w:t xml:space="preserve">Propst</w:t>
      </w:r>
      <w:r>
        <w:t xml:space="preserve"> </w:t>
      </w:r>
      <w:r>
        <w:t xml:space="preserve">trilogy (1946–1952) is the canonical articulation of constitutional incorporation — the rule that where the constitution fixes the state’s status as trustee, breach of trust is itself a constitutional violation that invalidates the authorizing legislation. The trilogy is cited across jurisdictions for that proposition and supplies three of the field’s most-quoted rules: incorporation, nullity-from-enactment, and third-party notice. A 1954 fee sequel (</w:t>
      </w:r>
      <w:r>
        <w:rPr>
          <w:i/>
        </w:rPr>
        <w:t xml:space="preserve">Ebke II</w:t>
      </w:r>
      <w:r>
        <w:t xml:space="preserve">) closes the arc with the enforcement-economics lesson: the relator who proved the breach could not recover his attorney’s fee from the trust fund.</w:t>
      </w:r>
    </w:p>
    <w:p>
      <w:pPr>
        <w:pStyle w:val="Heading3"/>
      </w:pPr>
      <w:bookmarkStart w:id="816" w:name="the-cases-7"/>
      <w:r>
        <w:t xml:space="preserve">The cases</w:t>
      </w:r>
      <w:bookmarkEnd w:id="816"/>
    </w:p>
    <w:p>
      <w:pPr>
        <w:numPr>
          <w:ilvl w:val="0"/>
          <w:numId w:val="1053"/>
        </w:numPr>
        <w:pStyle w:val="Compact"/>
      </w:pPr>
      <w:r>
        <w:rPr>
          <w:b/>
        </w:rPr>
        <w:t xml:space="preserve">State v. Platte Valley Public Power &amp; Irrigation District</w:t>
      </w:r>
      <w:r>
        <w:t xml:space="preserve">, 147 Neb. 289, 23 N.W.2d 300 (1946)</w:t>
      </w:r>
      <w:r>
        <w:t xml:space="preserve"> </w:t>
      </w:r>
      <w:r>
        <w:t xml:space="preserve">[@platte-valley-1946]</w:t>
      </w:r>
      <w:r>
        <w:t xml:space="preserve"> </w:t>
      </w:r>
      <w:r>
        <w:t xml:space="preserve">(also reported at 166 A.L.R. 1196; CourtListener opinion ID 8038835).</w:t>
      </w:r>
    </w:p>
    <w:p>
      <w:pPr>
        <w:numPr>
          <w:ilvl w:val="1"/>
          <w:numId w:val="1054"/>
        </w:numPr>
        <w:pStyle w:val="Compact"/>
      </w:pPr>
      <w:r>
        <w:rPr>
          <w:i/>
        </w:rPr>
        <w:t xml:space="preserve">Posture.</w:t>
      </w:r>
      <w:r>
        <w:t xml:space="preserve"> </w:t>
      </w:r>
      <w:r>
        <w:t xml:space="preserve">A school section under lease was taken by eminent domain by an irrigation district; a jury awarded damages to both the state and the lessee; the Nebraska Supreme Court reversed and remanded.</w:t>
      </w:r>
    </w:p>
    <w:p>
      <w:pPr>
        <w:numPr>
          <w:ilvl w:val="1"/>
          <w:numId w:val="1054"/>
        </w:numPr>
        <w:pStyle w:val="Compact"/>
      </w:pPr>
      <w:r>
        <w:rPr>
          <w:i/>
        </w:rPr>
        <w:t xml:space="preserve">Holdings.</w:t>
      </w:r>
      <w:r>
        <w:t xml:space="preserve"> </w:t>
      </w:r>
      <w:r>
        <w:t xml:space="preserve">School lands</w:t>
      </w:r>
      <w:r>
        <w:t xml:space="preserve"> </w:t>
      </w:r>
      <w:r>
        <w:t xml:space="preserve">“</w:t>
      </w:r>
      <w:r>
        <w:t xml:space="preserve">are held in trust by the state under a contractual and constitutional obligation to refrain from disposition or alienation of the use of this property, except as allowed by the Enabling Act and the Constitution.</w:t>
      </w:r>
      <w:r>
        <w:t xml:space="preserve">”</w:t>
      </w:r>
      <w:r>
        <w:t xml:space="preserve"> </w:t>
      </w:r>
      <w:r>
        <w:t xml:space="preserve">The state cannot alienate the lands or their use without receiving full value; legislative direction over leasing terms is</w:t>
      </w:r>
      <w:r>
        <w:t xml:space="preserve"> </w:t>
      </w:r>
      <w:r>
        <w:t xml:space="preserve">“</w:t>
      </w:r>
      <w:r>
        <w:t xml:space="preserve">subject to and limited by the obligation to preserve the trust property inviolate.</w:t>
      </w:r>
      <w:r>
        <w:t xml:space="preserve">”</w:t>
      </w:r>
      <w:r>
        <w:t xml:space="preserve"> </w:t>
      </w:r>
      <w:r>
        <w:t xml:space="preserve">Recognized that the existing lessee holds a renewal preference but not an absolute right — the position the 1947 legislature attempted to convert into an automatic-renewal entitlement, producing</w:t>
      </w:r>
      <w:r>
        <w:t xml:space="preserve"> </w:t>
      </w:r>
      <w:r>
        <w:rPr>
          <w:i/>
        </w:rPr>
        <w:t xml:space="preserve">Ebke</w:t>
      </w:r>
      <w:r>
        <w:t xml:space="preserve">. (The</w:t>
      </w:r>
      <w:r>
        <w:t xml:space="preserve"> </w:t>
      </w:r>
      <w:r>
        <w:t xml:space="preserve">“</w:t>
      </w:r>
      <w:r>
        <w:t xml:space="preserve">preference right but no absolute right</w:t>
      </w:r>
      <w:r>
        <w:t xml:space="preserve">”</w:t>
      </w:r>
      <w:r>
        <w:t xml:space="preserve"> </w:t>
      </w:r>
      <w:r>
        <w:t xml:space="preserve">phrasing is a paraphrase, not a verbatim quotation: the opinion’s supporting language, verified against the full text, is at 147 Neb. at 302–03 —</w:t>
      </w:r>
      <w:r>
        <w:t xml:space="preserve"> </w:t>
      </w:r>
      <w:r>
        <w:t xml:space="preserve">“</w:t>
      </w:r>
      <w:r>
        <w:t xml:space="preserve">Clearly the section does not give the lessee an absolute right to a new lease. He is entitled to that lease provided some other person does not bid more for a lease than does the lessee.</w:t>
      </w:r>
      <w:r>
        <w:t xml:space="preserve">”</w:t>
      </w:r>
      <w:r>
        <w:t xml:space="preserve">)</w:t>
      </w:r>
    </w:p>
    <w:p>
      <w:pPr>
        <w:numPr>
          <w:ilvl w:val="1"/>
          <w:numId w:val="1054"/>
        </w:numPr>
        <w:pStyle w:val="Compact"/>
      </w:pPr>
      <w:r>
        <w:rPr>
          <w:i/>
        </w:rPr>
        <w:t xml:space="preserve">Supports:</w:t>
      </w:r>
      <w:r>
        <w:t xml:space="preserve"> </w:t>
      </w:r>
      <w:r>
        <w:t xml:space="preserve">§ 2.1 n.3 (compact framing); § 2.7 (accepted compacts); § 4.3 (constitutional incorporation — the trilogy’s floor); Ch. 9 (full value on any transfer of use); Ch. 10 (takings of trust land by public bodies); Ch. 11 (preference rights).</w:t>
      </w:r>
    </w:p>
    <w:p>
      <w:pPr>
        <w:numPr>
          <w:ilvl w:val="0"/>
          <w:numId w:val="1053"/>
        </w:numPr>
        <w:pStyle w:val="Compact"/>
      </w:pPr>
      <w:r>
        <w:rPr>
          <w:b/>
        </w:rPr>
        <w:t xml:space="preserve">State ex rel. Ebke v. Board of Educational Lands &amp; Funds</w:t>
      </w:r>
      <w:r>
        <w:t xml:space="preserve">, 154 Neb. 244, 47 N.W.2d 520, modified, 154 Neb. 596, 47 N.W.2d 526 (1951)</w:t>
      </w:r>
      <w:r>
        <w:t xml:space="preserve"> </w:t>
      </w:r>
      <w:r>
        <w:t xml:space="preserve">[@ebke-1951]</w:t>
      </w:r>
      <w:r>
        <w:t xml:space="preserve">.</w:t>
      </w:r>
    </w:p>
    <w:p>
      <w:pPr>
        <w:numPr>
          <w:ilvl w:val="1"/>
          <w:numId w:val="1055"/>
        </w:numPr>
        <w:pStyle w:val="Compact"/>
      </w:pPr>
      <w:r>
        <w:rPr>
          <w:i/>
        </w:rPr>
        <w:t xml:space="preserve">Posture.</w:t>
      </w:r>
      <w:r>
        <w:t xml:space="preserve"> </w:t>
      </w:r>
      <w:r>
        <w:t xml:space="preserve">Challenge to the 1947 statute (and its 1949 amendment) that abandoned public bidding in favor of lease renewals to existing holders at arbitrary valuations substantially below fair market value; statutes struck down as violative of Neb. Const. art. VII, § 9.</w:t>
      </w:r>
    </w:p>
    <w:p>
      <w:pPr>
        <w:numPr>
          <w:ilvl w:val="1"/>
          <w:numId w:val="1055"/>
        </w:numPr>
        <w:pStyle w:val="Compact"/>
      </w:pPr>
      <w:r>
        <w:rPr>
          <w:i/>
        </w:rPr>
        <w:t xml:space="preserve">Holdings.</w:t>
      </w:r>
      <w:r>
        <w:t xml:space="preserve"> </w:t>
      </w:r>
      <w:r>
        <w:t xml:space="preserve">“</w:t>
      </w:r>
      <w:r>
        <w:t xml:space="preserve">[T]he state in acting as a trustee is subject to the same standards</w:t>
      </w:r>
      <w:r>
        <w:t xml:space="preserve">”</w:t>
      </w:r>
      <w:r>
        <w:t xml:space="preserve"> </w:t>
      </w:r>
      <w:r>
        <w:t xml:space="preserve">as a private trustee,</w:t>
      </w:r>
      <w:r>
        <w:t xml:space="preserve"> </w:t>
      </w:r>
      <w:r>
        <w:t xml:space="preserve">“</w:t>
      </w:r>
      <w:r>
        <w:t xml:space="preserve">and when its status as a trustee is fixed by the Constitution a violation of its duty as a trustee is a violation of the Constitution itself.</w:t>
      </w:r>
      <w:r>
        <w:t xml:space="preserve">”</w:t>
      </w:r>
      <w:r>
        <w:t xml:space="preserve"> </w:t>
      </w:r>
      <w:r>
        <w:t xml:space="preserve">The constitutional designation of the lands as a trust</w:t>
      </w:r>
      <w:r>
        <w:t xml:space="preserve"> </w:t>
      </w:r>
      <w:r>
        <w:t xml:space="preserve">“</w:t>
      </w:r>
      <w:r>
        <w:t xml:space="preserve">has the effect of incorporating into the constitutional provision the rules of law regulating the administration of trusts and the conduct and duties of trustees.</w:t>
      </w:r>
      <w:r>
        <w:t xml:space="preserve">”</w:t>
      </w:r>
      <w:r>
        <w:t xml:space="preserve"> </w:t>
      </w:r>
      <w:r>
        <w:t xml:space="preserve">“</w:t>
      </w:r>
      <w:r>
        <w:t xml:space="preserve">A breach of trust in such a situation is in effect a violation of the constitutional provision and has the effect of invalidating the legislation authorizing the breach.</w:t>
      </w:r>
      <w:r>
        <w:t xml:space="preserve">”</w:t>
      </w:r>
    </w:p>
    <w:p>
      <w:pPr>
        <w:numPr>
          <w:ilvl w:val="1"/>
          <w:numId w:val="1055"/>
        </w:numPr>
        <w:pStyle w:val="Compact"/>
      </w:pPr>
      <w:r>
        <w:rPr>
          <w:i/>
        </w:rPr>
        <w:t xml:space="preserve">Supports:</w:t>
      </w:r>
      <w:r>
        <w:t xml:space="preserve"> </w:t>
      </w:r>
      <w:r>
        <w:t xml:space="preserve">§ 4.1 (the question stated); § 4.3 (constitutional incorporation — lead case); § 4.6(a) (statutes effecting a breach are void — lead case); § 4.7(2) (limits of legislative power); Ch. 11 (below-market renewals); Ch. 18 (nullity as remedy).</w:t>
      </w:r>
    </w:p>
    <w:p>
      <w:pPr>
        <w:numPr>
          <w:ilvl w:val="0"/>
          <w:numId w:val="1053"/>
        </w:numPr>
        <w:pStyle w:val="Compact"/>
      </w:pPr>
      <w:r>
        <w:rPr>
          <w:b/>
        </w:rPr>
        <w:t xml:space="preserve">Propst v. Board of Educational Lands &amp; Funds</w:t>
      </w:r>
      <w:r>
        <w:t xml:space="preserve">, 156 Neb. 226, 55 N.W.2d 653 (1952)</w:t>
      </w:r>
      <w:r>
        <w:t xml:space="preserve"> </w:t>
      </w:r>
      <w:r>
        <w:t xml:space="preserve">[@propst-1952]</w:t>
      </w:r>
      <w:r>
        <w:t xml:space="preserve"> </w:t>
      </w:r>
      <w:r>
        <w:t xml:space="preserve">(CourtListener opinion ID 1253657).</w:t>
      </w:r>
    </w:p>
    <w:p>
      <w:pPr>
        <w:numPr>
          <w:ilvl w:val="1"/>
          <w:numId w:val="1056"/>
        </w:numPr>
        <w:pStyle w:val="Compact"/>
      </w:pPr>
      <w:r>
        <w:rPr>
          <w:i/>
        </w:rPr>
        <w:t xml:space="preserve">Posture.</w:t>
      </w:r>
      <w:r>
        <w:t xml:space="preserve"> </w:t>
      </w:r>
      <w:r>
        <w:t xml:space="preserve">After</w:t>
      </w:r>
      <w:r>
        <w:t xml:space="preserve"> </w:t>
      </w:r>
      <w:r>
        <w:rPr>
          <w:i/>
        </w:rPr>
        <w:t xml:space="preserve">Ebke</w:t>
      </w:r>
      <w:r>
        <w:t xml:space="preserve">, the Board treated the renewal leases as void and re-auctioned the sections; renewal-lease holders sued to enjoin the auctions; relief denied below; affirmed.</w:t>
      </w:r>
    </w:p>
    <w:p>
      <w:pPr>
        <w:numPr>
          <w:ilvl w:val="1"/>
          <w:numId w:val="1056"/>
        </w:numPr>
        <w:pStyle w:val="Compact"/>
      </w:pPr>
      <w:r>
        <w:rPr>
          <w:i/>
        </w:rPr>
        <w:t xml:space="preserve">Holdings.</w:t>
      </w:r>
      <w:r>
        <w:t xml:space="preserve"> </w:t>
      </w:r>
      <w:r>
        <w:t xml:space="preserve">Title to the school lands</w:t>
      </w:r>
      <w:r>
        <w:t xml:space="preserve"> </w:t>
      </w:r>
      <w:r>
        <w:t xml:space="preserve">“</w:t>
      </w:r>
      <w:r>
        <w:t xml:space="preserve">was granted to and vested in the state upon an express trust for the</w:t>
      </w:r>
      <w:r>
        <w:t xml:space="preserve"> </w:t>
      </w:r>
      <w:r>
        <w:t xml:space="preserve">‘</w:t>
      </w:r>
      <w:r>
        <w:t xml:space="preserve">support of common schools</w:t>
      </w:r>
      <w:r>
        <w:t xml:space="preserve">’</w:t>
      </w:r>
      <w:r>
        <w:t xml:space="preserve"> </w:t>
      </w:r>
      <w:r>
        <w:t xml:space="preserve">with no right or power of the state to use, dispose of, or alienate the lands or any part thereof, except as allowed by the Enabling Act and the Constitution.</w:t>
      </w:r>
      <w:r>
        <w:t xml:space="preserve">”</w:t>
      </w:r>
      <w:r>
        <w:t xml:space="preserve"> </w:t>
      </w:r>
      <w:r>
        <w:t xml:space="preserve">The nullity rule:</w:t>
      </w:r>
      <w:r>
        <w:t xml:space="preserve"> </w:t>
      </w:r>
      <w:r>
        <w:t xml:space="preserve">“</w:t>
      </w:r>
      <w:r>
        <w:t xml:space="preserve">an unconstitutional statute is a nullity, is void from its enactment, and is incapable of creating any rights or obligations</w:t>
      </w:r>
      <w:r>
        <w:t xml:space="preserve">”</w:t>
      </w:r>
      <w:r>
        <w:t xml:space="preserve"> </w:t>
      </w:r>
      <w:r>
        <w:t xml:space="preserve">— so the 1947 statute created no enforceable lease interests. The third-party-notice rule:</w:t>
      </w:r>
      <w:r>
        <w:t xml:space="preserve"> </w:t>
      </w:r>
      <w:r>
        <w:t xml:space="preserve">“</w:t>
      </w:r>
      <w:r>
        <w:t xml:space="preserve">Anyone dealing with the school lands must do so with knowledge of and subject to the trust obligation of the state.</w:t>
      </w:r>
      <w:r>
        <w:t xml:space="preserve">”</w:t>
      </w:r>
    </w:p>
    <w:p>
      <w:pPr>
        <w:numPr>
          <w:ilvl w:val="1"/>
          <w:numId w:val="1056"/>
        </w:numPr>
        <w:pStyle w:val="Compact"/>
      </w:pPr>
      <w:r>
        <w:rPr>
          <w:i/>
        </w:rPr>
        <w:t xml:space="preserve">Supports:</w:t>
      </w:r>
      <w:r>
        <w:t xml:space="preserve"> </w:t>
      </w:r>
      <w:r>
        <w:t xml:space="preserve">§ 2.4 n.18 (trust without the word</w:t>
      </w:r>
      <w:r>
        <w:t xml:space="preserve"> </w:t>
      </w:r>
      <w:r>
        <w:t xml:space="preserve">“</w:t>
      </w:r>
      <w:r>
        <w:t xml:space="preserve">trust</w:t>
      </w:r>
      <w:r>
        <w:t xml:space="preserve">”</w:t>
      </w:r>
      <w:r>
        <w:t xml:space="preserve"> </w:t>
      </w:r>
      <w:r>
        <w:t xml:space="preserve">in the instrument); § 4.3 (constitutional incorporation — the trilogy completed); § 4.6(a) (nullity); § 4.6(b) (third-party notice — lead case); Ch. 10 (acquirer charged with notice; no bona fide purchaser status for those dealing in trust land); Ch. 11 (renewal-rights litigation); Ch. 18 (unwinding void transactions).</w:t>
      </w:r>
    </w:p>
    <w:p>
      <w:pPr>
        <w:numPr>
          <w:ilvl w:val="0"/>
          <w:numId w:val="1053"/>
        </w:numPr>
        <w:pStyle w:val="Compact"/>
      </w:pPr>
      <w:r>
        <w:rPr>
          <w:b/>
        </w:rPr>
        <w:t xml:space="preserve">State ex rel. Ebke v. Board of Educational Lands &amp; Funds</w:t>
      </w:r>
      <w:r>
        <w:t xml:space="preserve"> </w:t>
      </w:r>
      <w:r>
        <w:t xml:space="preserve">(</w:t>
      </w:r>
      <w:r>
        <w:rPr>
          <w:i/>
        </w:rPr>
        <w:t xml:space="preserve">Ebke II</w:t>
      </w:r>
      <w:r>
        <w:t xml:space="preserve">), 159 Neb. 79, 65 N.W.2d 392 (1954)</w:t>
      </w:r>
      <w:r>
        <w:t xml:space="preserve"> </w:t>
      </w:r>
      <w:r>
        <w:t xml:space="preserve">[@ebke-1954]</w:t>
      </w:r>
      <w:r>
        <w:t xml:space="preserve"> </w:t>
      </w:r>
      <w:r>
        <w:t xml:space="preserve">(CourtListener opinion ID 1633636).</w:t>
      </w:r>
    </w:p>
    <w:p>
      <w:pPr>
        <w:numPr>
          <w:ilvl w:val="1"/>
          <w:numId w:val="1057"/>
        </w:numPr>
        <w:pStyle w:val="Compact"/>
      </w:pPr>
      <w:r>
        <w:rPr>
          <w:i/>
        </w:rPr>
        <w:t xml:space="preserve">Posture.</w:t>
      </w:r>
      <w:r>
        <w:t xml:space="preserve"> </w:t>
      </w:r>
      <w:r>
        <w:t xml:space="preserve">The fee sequel. After judgment on the mandate in</w:t>
      </w:r>
      <w:r>
        <w:t xml:space="preserve"> </w:t>
      </w:r>
      <w:r>
        <w:rPr>
          <w:i/>
        </w:rPr>
        <w:t xml:space="preserve">Ebke</w:t>
      </w:r>
      <w:r>
        <w:t xml:space="preserve">, the relator and his attorney applied for the expenses and attorney’s fee of the</w:t>
      </w:r>
      <w:r>
        <w:t xml:space="preserve"> </w:t>
      </w:r>
      <w:r>
        <w:rPr>
          <w:i/>
        </w:rPr>
        <w:t xml:space="preserve">Ebke</w:t>
      </w:r>
      <w:r>
        <w:t xml:space="preserve"> </w:t>
      </w:r>
      <w:r>
        <w:t xml:space="preserve">litigation; the district court allowed $625 in expenses and a $60,000 attorney’s fee, payable out of the temporary school lands fund; the Nebraska Supreme Court reversed and remanded with directions to disallow (Chappell, J., dissenting).</w:t>
      </w:r>
    </w:p>
    <w:p>
      <w:pPr>
        <w:numPr>
          <w:ilvl w:val="1"/>
          <w:numId w:val="1057"/>
        </w:numPr>
        <w:pStyle w:val="Compact"/>
      </w:pPr>
      <w:r>
        <w:rPr>
          <w:i/>
        </w:rPr>
        <w:t xml:space="preserve">Holdings.</w:t>
      </w:r>
      <w:r>
        <w:t xml:space="preserve"> </w:t>
      </w:r>
      <w:r>
        <w:t xml:space="preserve">Prosecuting the action</w:t>
      </w:r>
      <w:r>
        <w:t xml:space="preserve"> </w:t>
      </w:r>
      <w:r>
        <w:t xml:space="preserve">“</w:t>
      </w:r>
      <w:r>
        <w:t xml:space="preserve">as an individual, a taxpayer, a citizen, and on behalf of all other citizens, residents, taxpayers, and parents having children attending public schools</w:t>
      </w:r>
      <w:r>
        <w:t xml:space="preserve">”</w:t>
      </w:r>
      <w:r>
        <w:t xml:space="preserve"> </w:t>
      </w:r>
      <w:r>
        <w:t xml:space="preserve">was</w:t>
      </w:r>
      <w:r>
        <w:t xml:space="preserve"> </w:t>
      </w:r>
      <w:r>
        <w:t xml:space="preserve">“</w:t>
      </w:r>
      <w:r>
        <w:t xml:space="preserve">not sufficient in and of itself to warrant an allowance of an attorney’s fee to be paid out of the school lands trust fund.</w:t>
      </w:r>
      <w:r>
        <w:t xml:space="preserve">”</w:t>
      </w:r>
      <w:r>
        <w:t xml:space="preserve"> </w:t>
      </w:r>
      <w:r>
        <w:t xml:space="preserve">The court attributed the post-</w:t>
      </w:r>
      <w:r>
        <w:rPr>
          <w:i/>
        </w:rPr>
        <w:t xml:space="preserve">Ebke</w:t>
      </w:r>
      <w:r>
        <w:t xml:space="preserve"> </w:t>
      </w:r>
      <w:r>
        <w:t xml:space="preserve">auction gains to</w:t>
      </w:r>
      <w:r>
        <w:t xml:space="preserve"> </w:t>
      </w:r>
      <w:r>
        <w:t xml:space="preserve">“</w:t>
      </w:r>
      <w:r>
        <w:t xml:space="preserve">the administrative and independent action of the Board of Educational Lands and Funds,</w:t>
      </w:r>
      <w:r>
        <w:t xml:space="preserve">”</w:t>
      </w:r>
      <w:r>
        <w:t xml:space="preserve"> </w:t>
      </w:r>
      <w:r>
        <w:t xml:space="preserve">concluding that</w:t>
      </w:r>
      <w:r>
        <w:t xml:space="preserve"> </w:t>
      </w:r>
      <w:r>
        <w:t xml:space="preserve">“</w:t>
      </w:r>
      <w:r>
        <w:t xml:space="preserve">[t]he litigation herein was conducted for the personal benefit of the appellee Ebke, and not for the benefit of the school lands trust fund.</w:t>
      </w:r>
      <w:r>
        <w:t xml:space="preserve">”</w:t>
      </w:r>
      <w:r>
        <w:t xml:space="preserve"> </w:t>
      </w:r>
      <w:r>
        <w:t xml:space="preserve">Nebraska allows recovery of attorney’s fees and expenses</w:t>
      </w:r>
      <w:r>
        <w:t xml:space="preserve"> </w:t>
      </w:r>
      <w:r>
        <w:t xml:space="preserve">“</w:t>
      </w:r>
      <w:r>
        <w:t xml:space="preserve">only in such cases as are provided for by statute, or where the uniform course of procedure has been to allow such recovery,</w:t>
      </w:r>
      <w:r>
        <w:t xml:space="preserve">”</w:t>
      </w:r>
      <w:r>
        <w:t xml:space="preserve"> </w:t>
      </w:r>
      <w:r>
        <w:t xml:space="preserve">and no statute reached the case.</w:t>
      </w:r>
    </w:p>
    <w:p>
      <w:pPr>
        <w:numPr>
          <w:ilvl w:val="1"/>
          <w:numId w:val="1057"/>
        </w:numPr>
        <w:pStyle w:val="Compact"/>
      </w:pPr>
      <w:r>
        <w:rPr>
          <w:i/>
        </w:rPr>
        <w:t xml:space="preserve">Supports:</w:t>
      </w:r>
      <w:r>
        <w:t xml:space="preserve"> </w:t>
      </w:r>
      <w:r>
        <w:t xml:space="preserve">Ch. 11 (aftermath of the renewal litigation); Ch. 13 (who may sue — who pays for beneficiary enforcement); Ch. 18 (remedies — no fee recovery from the trust fund absent statutory authority).</w:t>
      </w:r>
    </w:p>
    <w:p>
      <w:pPr>
        <w:pStyle w:val="Heading3"/>
      </w:pPr>
      <w:bookmarkStart w:id="817" w:name="Xb5e5f82f266871101f31d36fcd4b3da841010f0"/>
      <w:r>
        <w:t xml:space="preserve">Authorities identified but not yet verified</w:t>
      </w:r>
      <w:bookmarkEnd w:id="817"/>
    </w:p>
    <w:p>
      <w:pPr>
        <w:numPr>
          <w:ilvl w:val="0"/>
          <w:numId w:val="1058"/>
        </w:numPr>
        <w:pStyle w:val="Compact"/>
      </w:pPr>
      <w:r>
        <w:t xml:space="preserve">Current trust acreage, corpus value, and administering office [VERIFY for the state-profile headnote].</w:t>
      </w:r>
    </w:p>
    <w:p>
      <w:pPr>
        <w:pStyle w:val="Heading3"/>
      </w:pPr>
      <w:bookmarkStart w:id="818" w:name="Xbf0e36b3728577471a5c9e16765bfc4744ca7ac"/>
      <w:r>
        <w:t xml:space="preserve">Cross-reference map (section → Nebraska authority)</w:t>
      </w:r>
      <w:bookmarkEnd w:id="818"/>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Nebraska authority</w:t>
            </w:r>
          </w:p>
        </w:tc>
      </w:tr>
      <w:tr>
        <w:tc>
          <w:p>
            <w:pPr>
              <w:pStyle w:val="Compact"/>
              <w:jc w:val="left"/>
            </w:pPr>
            <w:r>
              <w:t xml:space="preserve">§ 2.1 (the bargain design)</w:t>
            </w:r>
          </w:p>
        </w:tc>
        <w:tc>
          <w:p>
            <w:pPr>
              <w:pStyle w:val="Compact"/>
              <w:jc w:val="left"/>
            </w:pPr>
            <w:r>
              <w:t xml:space="preserve">Platte Valley</w:t>
            </w:r>
          </w:p>
        </w:tc>
      </w:tr>
      <w:tr>
        <w:tc>
          <w:p>
            <w:pPr>
              <w:pStyle w:val="Compact"/>
              <w:jc w:val="left"/>
            </w:pPr>
            <w:r>
              <w:t xml:space="preserve">§ 2.4 (two-section generation; 1864 act)</w:t>
            </w:r>
          </w:p>
        </w:tc>
        <w:tc>
          <w:p>
            <w:pPr>
              <w:pStyle w:val="Compact"/>
              <w:jc w:val="left"/>
            </w:pPr>
            <w:r>
              <w:t xml:space="preserve">Enabling Act, 13 Stat. 47; Propst</w:t>
            </w:r>
          </w:p>
        </w:tc>
      </w:tr>
      <w:tr>
        <w:tc>
          <w:p>
            <w:pPr>
              <w:pStyle w:val="Compact"/>
              <w:jc w:val="left"/>
            </w:pPr>
            <w:r>
              <w:t xml:space="preserve">§ 2.7 (instruments as compacts)</w:t>
            </w:r>
          </w:p>
        </w:tc>
        <w:tc>
          <w:p>
            <w:pPr>
              <w:pStyle w:val="Compact"/>
              <w:jc w:val="left"/>
            </w:pPr>
            <w:r>
              <w:t xml:space="preserve">Platte Valley</w:t>
            </w:r>
          </w:p>
        </w:tc>
      </w:tr>
      <w:tr>
        <w:tc>
          <w:p>
            <w:pPr>
              <w:pStyle w:val="Compact"/>
              <w:jc w:val="left"/>
            </w:pPr>
            <w:r>
              <w:t xml:space="preserve">§ 4.3 (constitutional incorporation)</w:t>
            </w:r>
          </w:p>
        </w:tc>
        <w:tc>
          <w:p>
            <w:pPr>
              <w:pStyle w:val="Compact"/>
              <w:jc w:val="left"/>
            </w:pPr>
            <w:r>
              <w:t xml:space="preserve">Ebke (lead); Platte Valley; Propst</w:t>
            </w:r>
          </w:p>
        </w:tc>
      </w:tr>
      <w:tr>
        <w:tc>
          <w:p>
            <w:pPr>
              <w:pStyle w:val="Compact"/>
              <w:jc w:val="left"/>
            </w:pPr>
            <w:r>
              <w:t xml:space="preserve">§ 4.6(a) (breaching statutes void)</w:t>
            </w:r>
          </w:p>
        </w:tc>
        <w:tc>
          <w:p>
            <w:pPr>
              <w:pStyle w:val="Compact"/>
              <w:jc w:val="left"/>
            </w:pPr>
            <w:r>
              <w:t xml:space="preserve">Ebke (lead); Propst</w:t>
            </w:r>
          </w:p>
        </w:tc>
      </w:tr>
      <w:tr>
        <w:tc>
          <w:p>
            <w:pPr>
              <w:pStyle w:val="Compact"/>
              <w:jc w:val="left"/>
            </w:pPr>
            <w:r>
              <w:t xml:space="preserve">§ 4.6(b) (third-party notice)</w:t>
            </w:r>
          </w:p>
        </w:tc>
        <w:tc>
          <w:p>
            <w:pPr>
              <w:pStyle w:val="Compact"/>
              <w:jc w:val="left"/>
            </w:pPr>
            <w:r>
              <w:t xml:space="preserve">Propst (lead)</w:t>
            </w:r>
          </w:p>
        </w:tc>
      </w:tr>
      <w:tr>
        <w:tc>
          <w:p>
            <w:pPr>
              <w:pStyle w:val="Compact"/>
              <w:jc w:val="left"/>
            </w:pPr>
            <w:r>
              <w:t xml:space="preserve">§ 4.7(2) (limits of legislative power)</w:t>
            </w:r>
          </w:p>
        </w:tc>
        <w:tc>
          <w:p>
            <w:pPr>
              <w:pStyle w:val="Compact"/>
              <w:jc w:val="left"/>
            </w:pPr>
            <w:r>
              <w:t xml:space="preserve">Ebke</w:t>
            </w:r>
          </w:p>
        </w:tc>
      </w:tr>
      <w:tr>
        <w:tc>
          <w:p>
            <w:pPr>
              <w:pStyle w:val="Compact"/>
              <w:jc w:val="left"/>
            </w:pPr>
            <w:r>
              <w:t xml:space="preserve">Ch. 9 (full value)</w:t>
            </w:r>
          </w:p>
        </w:tc>
        <w:tc>
          <w:p>
            <w:pPr>
              <w:pStyle w:val="Compact"/>
              <w:jc w:val="left"/>
            </w:pPr>
            <w:r>
              <w:t xml:space="preserve">Platte Valley</w:t>
            </w:r>
          </w:p>
        </w:tc>
      </w:tr>
      <w:tr>
        <w:tc>
          <w:p>
            <w:pPr>
              <w:pStyle w:val="Compact"/>
              <w:jc w:val="left"/>
            </w:pPr>
            <w:r>
              <w:t xml:space="preserve">Ch. 10 (intra-governmental transfers; notice)</w:t>
            </w:r>
          </w:p>
        </w:tc>
        <w:tc>
          <w:p>
            <w:pPr>
              <w:pStyle w:val="Compact"/>
              <w:jc w:val="left"/>
            </w:pPr>
            <w:r>
              <w:t xml:space="preserve">Platte Valley; Propst</w:t>
            </w:r>
          </w:p>
        </w:tc>
      </w:tr>
      <w:tr>
        <w:tc>
          <w:p>
            <w:pPr>
              <w:pStyle w:val="Compact"/>
              <w:jc w:val="left"/>
            </w:pPr>
            <w:r>
              <w:t xml:space="preserve">Ch. 11 (leasing and preference rights)</w:t>
            </w:r>
          </w:p>
        </w:tc>
        <w:tc>
          <w:p>
            <w:pPr>
              <w:pStyle w:val="Compact"/>
              <w:jc w:val="left"/>
            </w:pPr>
            <w:r>
              <w:t xml:space="preserve">Platte Valley; Ebke; Propst</w:t>
            </w:r>
          </w:p>
        </w:tc>
      </w:tr>
      <w:tr>
        <w:tc>
          <w:p>
            <w:pPr>
              <w:pStyle w:val="Compact"/>
              <w:jc w:val="left"/>
            </w:pPr>
            <w:r>
              <w:t xml:space="preserve">Ch. 13 (who pays for beneficiary enforcement)</w:t>
            </w:r>
          </w:p>
        </w:tc>
        <w:tc>
          <w:p>
            <w:pPr>
              <w:pStyle w:val="Compact"/>
              <w:jc w:val="left"/>
            </w:pPr>
            <w:r>
              <w:t xml:space="preserve">Ebke II</w:t>
            </w:r>
          </w:p>
        </w:tc>
      </w:tr>
      <w:tr>
        <w:tc>
          <w:p>
            <w:pPr>
              <w:pStyle w:val="Compact"/>
              <w:jc w:val="left"/>
            </w:pPr>
            <w:r>
              <w:t xml:space="preserve">Ch. 18 (remedies; nullity; unwinding; fee limits)</w:t>
            </w:r>
          </w:p>
        </w:tc>
        <w:tc>
          <w:p>
            <w:pPr>
              <w:pStyle w:val="Compact"/>
              <w:jc w:val="left"/>
            </w:pPr>
            <w:r>
              <w:t xml:space="preserve">Ebke; Propst; Ebke II</w:t>
            </w:r>
          </w:p>
        </w:tc>
      </w:tr>
    </w:tbl>
    <w:p>
      <w:r>
        <w:pict>
          <v:rect style="width:0;height:1.5pt" o:hralign="center" o:hrstd="t" o:hr="t"/>
        </w:pict>
      </w:r>
    </w:p>
    <w:p>
      <w:pPr>
        <w:pStyle w:val="FirstParagraph"/>
      </w:pPr>
      <w:r>
        <w:rPr>
          <w:i/>
        </w:rPr>
        <w:t xml:space="preserve">End of Nebraska sample entry v1. The form proven here — instrument, reception, administering body, significance paragraph, case bullets with posture/holdings/supports, verification queue, and the section-to-authority table — is the template for the remaining state entries (wave 2: Washington, Utah, Montana, New Mexico, Arizona, Oklahoma).</w:t>
      </w:r>
    </w:p>
    <w:p>
      <w:r>
        <w:br w:type="page"/>
      </w:r>
    </w:p>
    <w:p>
      <w:pPr>
        <w:pStyle w:val="Heading1"/>
      </w:pPr>
      <w:bookmarkStart w:id="819" w:name="state-appendix-new-mexico"/>
      <w:r>
        <w:t xml:space="preserve">State Appendix — New Mexico</w:t>
      </w:r>
      <w:bookmarkEnd w:id="819"/>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820" w:name="new-mexico"/>
      <w:r>
        <w:t xml:space="preserve">NEW MEXICO</w:t>
      </w:r>
      <w:bookmarkEnd w:id="820"/>
    </w:p>
    <w:p>
      <w:pPr>
        <w:pStyle w:val="FirstParagraph"/>
      </w:pPr>
      <w:r>
        <w:rPr>
          <w:b/>
        </w:rPr>
        <w:t xml:space="preserve">Granting instrument.</w:t>
      </w:r>
      <w:r>
        <w:t xml:space="preserve"> </w:t>
      </w:r>
      <w:r>
        <w:t xml:space="preserve">New Mexico–Arizona Enabling Act of June 20, 1910 (36 Stat. 557), § 10</w:t>
      </w:r>
      <w:r>
        <w:t xml:space="preserve"> </w:t>
      </w:r>
      <w:r>
        <w:t xml:space="preserve">[@act-nmaz-1910]</w:t>
      </w:r>
      <w:r>
        <w:t xml:space="preserve"> </w:t>
      </w:r>
      <w:r>
        <w:t xml:space="preserve">— sections 2, 16, 32, and 36 of every township (the four-section arid-state grant). Section 10 is the federal high-water mark of school-trust language across the admission acts: it expressly characterizes the lands as held</w:t>
      </w:r>
      <w:r>
        <w:t xml:space="preserve"> </w:t>
      </w:r>
      <w:r>
        <w:t xml:space="preserve">“</w:t>
      </w:r>
      <w:r>
        <w:t xml:space="preserve">in trust</w:t>
      </w:r>
      <w:r>
        <w:t xml:space="preserve">”</w:t>
      </w:r>
      <w:r>
        <w:t xml:space="preserve">; voids any disposition not made in substantial conformity with the Act (</w:t>
      </w:r>
      <w:r>
        <w:t xml:space="preserve">“</w:t>
      </w:r>
      <w:r>
        <w:t xml:space="preserve">null and void</w:t>
      </w:r>
      <w:r>
        <w:t xml:space="preserve">”</w:t>
      </w:r>
      <w:r>
        <w:t xml:space="preserve">); declares any non-conforming disposition a</w:t>
      </w:r>
      <w:r>
        <w:t xml:space="preserve"> </w:t>
      </w:r>
      <w:r>
        <w:t xml:space="preserve">“</w:t>
      </w:r>
      <w:r>
        <w:t xml:space="preserve">breach of trust</w:t>
      </w:r>
      <w:r>
        <w:t xml:space="preserve">”</w:t>
      </w:r>
      <w:r>
        <w:t xml:space="preserve">; and authorizes the Attorney General of the United States to maintain suits against the State to enforce the trust. Operative text as carried in the dossier:</w:t>
      </w:r>
      <w:r>
        <w:t xml:space="preserve"> </w:t>
      </w:r>
      <w:r>
        <w:t xml:space="preserve">“</w:t>
      </w:r>
      <w:r>
        <w:t xml:space="preserve">All lands hereby granted … shall be by the said State held in trust, to be disposed of in whole or in part only in manner as herein provided and for the several objects specified in the respective granting and confirmatory provisions, and … the natural products and money proceeds of any of said lands shall be subject to the same trusts as the lands producing the same. … Every sale, lease, conveyance, or contract of or concerning any of the lands hereby granted or confirmed, or the use thereof or the natural products thereof, not made in substantial conformity with the provisions of this Act shall be null and void.</w:t>
      </w:r>
      <w:r>
        <w:t xml:space="preserve">”</w:t>
      </w:r>
      <w:r>
        <w:t xml:space="preserve"> </w:t>
      </w:r>
      <w:r>
        <w:t xml:space="preserve">Antecedent territorial grants: Ferguson Act of 1898, 30 Stat. 484</w:t>
      </w:r>
      <w:r>
        <w:t xml:space="preserve"> </w:t>
      </w:r>
      <w:r>
        <w:t xml:space="preserve">[@act-ferguson-1898]</w:t>
      </w:r>
      <w:r>
        <w:t xml:space="preserve">. → §§ 2.5, 2.7; Ch. 15 (lead instrument); Appendix B.</w:t>
      </w:r>
    </w:p>
    <w:p>
      <w:pPr>
        <w:pStyle w:val="BodyText"/>
      </w:pPr>
      <w:r>
        <w:rPr>
          <w:b/>
        </w:rPr>
        <w:t xml:space="preserve">Constitutional reception and administering body.</w:t>
      </w:r>
      <w:r>
        <w:t xml:space="preserve"> </w:t>
      </w:r>
      <w:r>
        <w:t xml:space="preserve">The 1911 New Mexico Constitution accepted the terms by compact, established the permanent fund in Article XII</w:t>
      </w:r>
      <w:r>
        <w:t xml:space="preserve"> </w:t>
      </w:r>
      <w:r>
        <w:t xml:space="preserve">[@const-nm-art12]</w:t>
      </w:r>
      <w:r>
        <w:t xml:space="preserve">, and — uniquely among the public-land states — vested the trust in a single statewide elected fiduciary, the Commissioner of Public Lands, under Article XIII, Section 1</w:t>
      </w:r>
      <w:r>
        <w:t xml:space="preserve"> </w:t>
      </w:r>
      <w:r>
        <w:t xml:space="preserve">[@const-nm-art13]</w:t>
      </w:r>
      <w:r>
        <w:t xml:space="preserve">. The November 2022 constitutional amendment added early childhood education as a distribution destination and required congressional consent under the federal compact. → Ch. 3; Ch. 19.</w:t>
      </w:r>
    </w:p>
    <w:p>
      <w:pPr>
        <w:pStyle w:val="BodyText"/>
      </w:pPr>
      <w:r>
        <w:rPr>
          <w:b/>
        </w:rPr>
        <w:t xml:space="preserve">Why New Mexico matters to the field.</w:t>
      </w:r>
      <w:r>
        <w:t xml:space="preserve"> </w:t>
      </w:r>
      <w:r>
        <w:t xml:space="preserve">New Mexico holds the strongest federal text and one of the strongest administrative records — and simultaneously the field’s most-criticized standing rule.</w:t>
      </w:r>
      <w:r>
        <w:t xml:space="preserve"> </w:t>
      </w:r>
      <w:r>
        <w:rPr>
          <w:i/>
        </w:rPr>
        <w:t xml:space="preserve">Ervien</w:t>
      </w:r>
      <w:r>
        <w:t xml:space="preserve"> </w:t>
      </w:r>
      <w:r>
        <w:t xml:space="preserve">(1919) is the U.S. Supreme Court’s loyalty case;</w:t>
      </w:r>
      <w:r>
        <w:t xml:space="preserve"> </w:t>
      </w:r>
      <w:r>
        <w:rPr>
          <w:i/>
        </w:rPr>
        <w:t xml:space="preserve">Walker</w:t>
      </w:r>
      <w:r>
        <w:t xml:space="preserve"> </w:t>
      </w:r>
      <w:r>
        <w:t xml:space="preserve">(1956) extends trust compensation to internal state takings and disapproves contrary AG opinions;</w:t>
      </w:r>
      <w:r>
        <w:t xml:space="preserve"> </w:t>
      </w:r>
      <w:r>
        <w:rPr>
          <w:i/>
        </w:rPr>
        <w:t xml:space="preserve">Lyons</w:t>
      </w:r>
      <w:r>
        <w:t xml:space="preserve"> </w:t>
      </w:r>
      <w:r>
        <w:t xml:space="preserve">(2011) is the leading modern authority that disposition safeguards cannot be evaded by recharacterizing the transaction; and</w:t>
      </w:r>
      <w:r>
        <w:t xml:space="preserve"> </w:t>
      </w:r>
      <w:r>
        <w:rPr>
          <w:i/>
        </w:rPr>
        <w:t xml:space="preserve">Forest Guardians</w:t>
      </w:r>
      <w:r>
        <w:t xml:space="preserve"> </w:t>
      </w:r>
      <w:r>
        <w:t xml:space="preserve">(2001) channels enforcement to the Attorney General over a dissent that has become the most-cited statement of the case for beneficiary standing.</w:t>
      </w:r>
    </w:p>
    <w:p>
      <w:pPr>
        <w:pStyle w:val="Heading3"/>
      </w:pPr>
      <w:bookmarkStart w:id="821" w:name="the-cases-8"/>
      <w:r>
        <w:t xml:space="preserve">The cases</w:t>
      </w:r>
      <w:bookmarkEnd w:id="821"/>
    </w:p>
    <w:p>
      <w:pPr>
        <w:numPr>
          <w:ilvl w:val="0"/>
          <w:numId w:val="1059"/>
        </w:numPr>
        <w:pStyle w:val="Compact"/>
      </w:pPr>
      <w:r>
        <w:rPr>
          <w:b/>
        </w:rPr>
        <w:t xml:space="preserve">Ervien v. United States</w:t>
      </w:r>
      <w:r>
        <w:t xml:space="preserve">, 251 U.S. 41 (1919)</w:t>
      </w:r>
      <w:r>
        <w:t xml:space="preserve"> </w:t>
      </w:r>
      <w:r>
        <w:t xml:space="preserve">[@ervien-1919]</w:t>
      </w:r>
      <w:r>
        <w:t xml:space="preserve">.</w:t>
      </w:r>
    </w:p>
    <w:p>
      <w:pPr>
        <w:numPr>
          <w:ilvl w:val="1"/>
          <w:numId w:val="1060"/>
        </w:numPr>
        <w:pStyle w:val="Compact"/>
      </w:pPr>
      <w:r>
        <w:rPr>
          <w:i/>
        </w:rPr>
        <w:t xml:space="preserve">Posture.</w:t>
      </w:r>
      <w:r>
        <w:t xml:space="preserve"> </w:t>
      </w:r>
      <w:r>
        <w:t xml:space="preserve">The United States sued to stop New Mexico’s 1915 statute authorizing the Commissioner of Public Lands to spend up to three percent of annual trust-land income advertising the state’s resources to homeseekers and investors; the U.S. Supreme Court held the diversion unlawful, unanimously.</w:t>
      </w:r>
    </w:p>
    <w:p>
      <w:pPr>
        <w:numPr>
          <w:ilvl w:val="1"/>
          <w:numId w:val="1060"/>
        </w:numPr>
        <w:pStyle w:val="Compact"/>
      </w:pPr>
      <w:r>
        <w:rPr>
          <w:i/>
        </w:rPr>
        <w:t xml:space="preserve">Holdings.</w:t>
      </w:r>
      <w:r>
        <w:t xml:space="preserve"> </w:t>
      </w:r>
      <w:r>
        <w:t xml:space="preserve">Promotional spending of trust proceeds is a breach of trust enforceable by the United States.</w:t>
      </w:r>
      <w:r>
        <w:t xml:space="preserve"> </w:t>
      </w:r>
      <w:r>
        <w:t xml:space="preserve">“</w:t>
      </w:r>
      <w:r>
        <w:t xml:space="preserve">[T]here is in the Enabling Act a specific enumeration of the purposes for which the lands were granted and the enumeration is necessarily exclusive of any other purpose</w:t>
      </w:r>
      <w:r>
        <w:t xml:space="preserve">”</w:t>
      </w:r>
      <w:r>
        <w:t xml:space="preserve"> </w:t>
      </w:r>
      <w:r>
        <w:t xml:space="preserve">(at 47 per the Library’s authorities register);</w:t>
      </w:r>
      <w:r>
        <w:t xml:space="preserve"> </w:t>
      </w:r>
      <w:r>
        <w:t xml:space="preserve">“</w:t>
      </w:r>
      <w:r>
        <w:t xml:space="preserve">[t]he dedication, we repeat, was special and exact, precluding any supplementary or aiding sense.</w:t>
      </w:r>
      <w:r>
        <w:t xml:space="preserve">”</w:t>
      </w:r>
      <w:r>
        <w:t xml:space="preserve"> </w:t>
      </w:r>
      <w:r>
        <w:t xml:space="preserve">The Court rejected the argument that promotion would ultimately enrich the trust, recounting — and affirming the result of — the District Court’s view that</w:t>
      </w:r>
      <w:r>
        <w:t xml:space="preserve"> </w:t>
      </w:r>
      <w:r>
        <w:t xml:space="preserve">“</w:t>
      </w:r>
      <w:r>
        <w:t xml:space="preserve">a private proprietor of the lands would without hesitation use their revenues to advertise their advantage and that that which was a wise administration of the property in him could not reach the odious dereliction of a breach of trust in the state.</w:t>
      </w:r>
      <w:r>
        <w:t xml:space="preserve">”</w:t>
      </w:r>
      <w:r>
        <w:t xml:space="preserve"> </w:t>
      </w:r>
      <w:r>
        <w:t xml:space="preserve">(The</w:t>
      </w:r>
      <w:r>
        <w:t xml:space="preserve"> </w:t>
      </w:r>
      <w:r>
        <w:t xml:space="preserve">“</w:t>
      </w:r>
      <w:r>
        <w:t xml:space="preserve">odious dereliction</w:t>
      </w:r>
      <w:r>
        <w:t xml:space="preserve">”</w:t>
      </w:r>
      <w:r>
        <w:t xml:space="preserve"> </w:t>
      </w:r>
      <w:r>
        <w:t xml:space="preserve">framing is the District Court’s, recounted at *48; attribution verified against the full opinion, 2026-06-10.)</w:t>
      </w:r>
    </w:p>
    <w:p>
      <w:pPr>
        <w:numPr>
          <w:ilvl w:val="1"/>
          <w:numId w:val="1060"/>
        </w:numPr>
        <w:pStyle w:val="Compact"/>
      </w:pPr>
      <w:r>
        <w:rPr>
          <w:i/>
        </w:rPr>
        <w:t xml:space="preserve">Supports:</w:t>
      </w:r>
      <w:r>
        <w:t xml:space="preserve"> </w:t>
      </w:r>
      <w:r>
        <w:t xml:space="preserve">Ch. 4 (§ 4.2, the federal line); Ch. 6 (loyalty; diversion to promotional ends — lead case); Ch. 15 (federal enforcement in practice).</w:t>
      </w:r>
    </w:p>
    <w:p>
      <w:pPr>
        <w:numPr>
          <w:ilvl w:val="0"/>
          <w:numId w:val="1059"/>
        </w:numPr>
        <w:pStyle w:val="Compact"/>
      </w:pPr>
      <w:r>
        <w:rPr>
          <w:b/>
        </w:rPr>
        <w:t xml:space="preserve">Asplund v. Hannett</w:t>
      </w:r>
      <w:r>
        <w:t xml:space="preserve">, 31 N.M. 641, 249 P. 1074 (1926)</w:t>
      </w:r>
      <w:r>
        <w:t xml:space="preserve"> </w:t>
      </w:r>
      <w:r>
        <w:t xml:space="preserve">[@asplund-1926]</w:t>
      </w:r>
      <w:r>
        <w:t xml:space="preserve">.</w:t>
      </w:r>
    </w:p>
    <w:p>
      <w:pPr>
        <w:numPr>
          <w:ilvl w:val="1"/>
          <w:numId w:val="1061"/>
        </w:numPr>
        <w:pStyle w:val="Compact"/>
      </w:pPr>
      <w:r>
        <w:rPr>
          <w:i/>
        </w:rPr>
        <w:t xml:space="preserve">Posture.</w:t>
      </w:r>
      <w:r>
        <w:t xml:space="preserve"> </w:t>
      </w:r>
      <w:r>
        <w:t xml:space="preserve">Standing challenge to enforcement of the Ferguson Act grants (including 500,000 acres for</w:t>
      </w:r>
      <w:r>
        <w:t xml:space="preserve"> </w:t>
      </w:r>
      <w:r>
        <w:t xml:space="preserve">“</w:t>
      </w:r>
      <w:r>
        <w:t xml:space="preserve">the establishment of permanent water reservoirs for irrigating purposes</w:t>
      </w:r>
      <w:r>
        <w:t xml:space="preserve">”</w:t>
      </w:r>
      <w:r>
        <w:t xml:space="preserve">).</w:t>
      </w:r>
    </w:p>
    <w:p>
      <w:pPr>
        <w:numPr>
          <w:ilvl w:val="1"/>
          <w:numId w:val="1061"/>
        </w:numPr>
        <w:pStyle w:val="Compact"/>
      </w:pPr>
      <w:r>
        <w:rPr>
          <w:i/>
        </w:rPr>
        <w:t xml:space="preserve">Holdings.</w:t>
      </w:r>
      <w:r>
        <w:t xml:space="preserve"> </w:t>
      </w:r>
      <w:r>
        <w:t xml:space="preserve">Established the historical baseline for who, other than the federal and state attorneys general, may sue to enforce the trust framework in New Mexico — the question</w:t>
      </w:r>
      <w:r>
        <w:t xml:space="preserve"> </w:t>
      </w:r>
      <w:r>
        <w:rPr>
          <w:i/>
        </w:rPr>
        <w:t xml:space="preserve">Forest Guardians</w:t>
      </w:r>
      <w:r>
        <w:t xml:space="preserve"> </w:t>
      </w:r>
      <w:r>
        <w:t xml:space="preserve">(2001) treats as</w:t>
      </w:r>
      <w:r>
        <w:t xml:space="preserve"> </w:t>
      </w:r>
      <w:r>
        <w:t xml:space="preserve">“</w:t>
      </w:r>
      <w:r>
        <w:t xml:space="preserve">last addressed</w:t>
      </w:r>
      <w:r>
        <w:t xml:space="preserve">”</w:t>
      </w:r>
      <w:r>
        <w:t xml:space="preserve"> </w:t>
      </w:r>
      <w:r>
        <w:t xml:space="preserve">in this case. Heavily cited (~102 citations per dossier) across school-trust standing analysis.</w:t>
      </w:r>
    </w:p>
    <w:p>
      <w:pPr>
        <w:numPr>
          <w:ilvl w:val="1"/>
          <w:numId w:val="1061"/>
        </w:numPr>
        <w:pStyle w:val="Compact"/>
      </w:pPr>
      <w:r>
        <w:rPr>
          <w:i/>
        </w:rPr>
        <w:t xml:space="preserve">Supports:</w:t>
      </w:r>
      <w:r>
        <w:t xml:space="preserve"> </w:t>
      </w:r>
      <w:r>
        <w:t xml:space="preserve">Ch. 13 (standing — historical baseline).</w:t>
      </w:r>
    </w:p>
    <w:p>
      <w:pPr>
        <w:numPr>
          <w:ilvl w:val="0"/>
          <w:numId w:val="1059"/>
        </w:numPr>
        <w:pStyle w:val="Compact"/>
      </w:pPr>
      <w:r>
        <w:rPr>
          <w:b/>
        </w:rPr>
        <w:t xml:space="preserve">State ex rel. State Highway Commission v. Walker</w:t>
      </w:r>
      <w:r>
        <w:t xml:space="preserve">, 61 N.M. 374, 301 P.2d 317 (1956)</w:t>
      </w:r>
      <w:r>
        <w:t xml:space="preserve"> </w:t>
      </w:r>
      <w:r>
        <w:t xml:space="preserve">[@walker-1956]</w:t>
      </w:r>
      <w:r>
        <w:t xml:space="preserve">.</w:t>
      </w:r>
    </w:p>
    <w:p>
      <w:pPr>
        <w:numPr>
          <w:ilvl w:val="1"/>
          <w:numId w:val="1062"/>
        </w:numPr>
        <w:pStyle w:val="Compact"/>
      </w:pPr>
      <w:r>
        <w:rPr>
          <w:i/>
        </w:rPr>
        <w:t xml:space="preserve">Posture.</w:t>
      </w:r>
      <w:r>
        <w:t xml:space="preserve"> </w:t>
      </w:r>
      <w:r>
        <w:t xml:space="preserve">The State Highway Department resisted paying for rights-of-way over Enabling Act trust lands, relying on earlier Attorney General opinions treating state-to-state uses as exempt; the New Mexico Supreme Court held compensation required.</w:t>
      </w:r>
    </w:p>
    <w:p>
      <w:pPr>
        <w:numPr>
          <w:ilvl w:val="1"/>
          <w:numId w:val="1062"/>
        </w:numPr>
        <w:pStyle w:val="Compact"/>
      </w:pPr>
      <w:r>
        <w:rPr>
          <w:i/>
        </w:rPr>
        <w:t xml:space="preserve">Holdings.</w:t>
      </w:r>
      <w:r>
        <w:t xml:space="preserve"> </w:t>
      </w:r>
      <w:r>
        <w:t xml:space="preserve">The federal trust framework applies to internal state takings as forcefully as to private disposition; the contrary AG opinions (N.M. Att’y Gen. Op. No. 3454 (1922)</w:t>
      </w:r>
      <w:r>
        <w:t xml:space="preserve"> </w:t>
      </w:r>
      <w:r>
        <w:t xml:space="preserve">[@ag-nm-3454-1922]</w:t>
      </w:r>
      <w:r>
        <w:t xml:space="preserve">; Op. No. 64 (1931)</w:t>
      </w:r>
      <w:r>
        <w:t xml:space="preserve"> </w:t>
      </w:r>
      <w:r>
        <w:t xml:space="preserve">[@ag-nm-64-1931]</w:t>
      </w:r>
      <w:r>
        <w:t xml:space="preserve">) were disapproved.</w:t>
      </w:r>
    </w:p>
    <w:p>
      <w:pPr>
        <w:numPr>
          <w:ilvl w:val="1"/>
          <w:numId w:val="1062"/>
        </w:numPr>
        <w:pStyle w:val="Compact"/>
      </w:pPr>
      <w:r>
        <w:rPr>
          <w:i/>
        </w:rPr>
        <w:t xml:space="preserve">Supports:</w:t>
      </w:r>
      <w:r>
        <w:t xml:space="preserve"> </w:t>
      </w:r>
      <w:r>
        <w:t xml:space="preserve">Ch. 5 (two capacities); Ch. 10 (intra-governmental takings); Ch. 14 (AG-opinion fallibility — the field’s clearest documented example of AG opinions siding with the sovereign against the trust, later disapproved).</w:t>
      </w:r>
    </w:p>
    <w:p>
      <w:pPr>
        <w:numPr>
          <w:ilvl w:val="0"/>
          <w:numId w:val="1059"/>
        </w:numPr>
        <w:pStyle w:val="Compact"/>
      </w:pPr>
      <w:r>
        <w:rPr>
          <w:b/>
        </w:rPr>
        <w:t xml:space="preserve">Forest Guardians v. Powell</w:t>
      </w:r>
      <w:r>
        <w:t xml:space="preserve">, 130 N.M. 368, 24 P.3d 803, 2001-NMCA-028</w:t>
      </w:r>
      <w:r>
        <w:t xml:space="preserve"> </w:t>
      </w:r>
      <w:r>
        <w:t xml:space="preserve">[@forest-guardians-powell-2001]</w:t>
      </w:r>
      <w:r>
        <w:t xml:space="preserve">.</w:t>
      </w:r>
    </w:p>
    <w:p>
      <w:pPr>
        <w:numPr>
          <w:ilvl w:val="1"/>
          <w:numId w:val="1063"/>
        </w:numPr>
        <w:pStyle w:val="Compact"/>
      </w:pPr>
      <w:r>
        <w:rPr>
          <w:i/>
        </w:rPr>
        <w:t xml:space="preserve">Posture.</w:t>
      </w:r>
      <w:r>
        <w:t xml:space="preserve"> </w:t>
      </w:r>
      <w:r>
        <w:t xml:space="preserve">Conservation groups and parents suing on behalf of minor schoolchildren-beneficiaries challenged trust administration; the Court of Appeals (Judge Pickard) denied standing across the board.</w:t>
      </w:r>
    </w:p>
    <w:p>
      <w:pPr>
        <w:numPr>
          <w:ilvl w:val="1"/>
          <w:numId w:val="1063"/>
        </w:numPr>
        <w:pStyle w:val="Compact"/>
      </w:pPr>
      <w:r>
        <w:rPr>
          <w:i/>
        </w:rPr>
        <w:t xml:space="preserve">Holdings.</w:t>
      </w:r>
      <w:r>
        <w:t xml:space="preserve"> </w:t>
      </w:r>
      <w:r>
        <w:t xml:space="preserve">The school trust is treated as a charitable trust whose enforcement rests with the state Attorney General rather than with beneficiary plaintiffs. Judge Bustamante, concurring as to the conservation groups but dissenting as to schoolchildren standing:</w:t>
      </w:r>
      <w:r>
        <w:t xml:space="preserve"> </w:t>
      </w:r>
      <w:r>
        <w:t xml:space="preserve">“</w:t>
      </w:r>
      <w:r>
        <w:t xml:space="preserve">The majority opinion applies our standing case law too cautiously and in the process essentially voids that provision of [the Enabling Act].</w:t>
      </w:r>
      <w:r>
        <w:t xml:space="preserve">”</w:t>
      </w:r>
      <w:r>
        <w:t xml:space="preserve"> </w:t>
      </w:r>
      <w:r>
        <w:t xml:space="preserve">The dissent has become the most-cited statement of the doctrinal argument for beneficiary standing in the school-trust context.</w:t>
      </w:r>
    </w:p>
    <w:p>
      <w:pPr>
        <w:numPr>
          <w:ilvl w:val="1"/>
          <w:numId w:val="1063"/>
        </w:numPr>
        <w:pStyle w:val="Compact"/>
      </w:pPr>
      <w:r>
        <w:rPr>
          <w:i/>
        </w:rPr>
        <w:t xml:space="preserve">Supports:</w:t>
      </w:r>
      <w:r>
        <w:t xml:space="preserve"> </w:t>
      </w:r>
      <w:r>
        <w:t xml:space="preserve">Ch. 13 (the charitable-trust framing — lead restrictive case, with the lead counter-statement in the separate opinion); Ch. 14 (channeling enforcement to the AG).</w:t>
      </w:r>
    </w:p>
    <w:p>
      <w:pPr>
        <w:numPr>
          <w:ilvl w:val="0"/>
          <w:numId w:val="1059"/>
        </w:numPr>
        <w:pStyle w:val="Compact"/>
      </w:pPr>
      <w:r>
        <w:rPr>
          <w:b/>
        </w:rPr>
        <w:t xml:space="preserve">State ex rel. King v. Lyons</w:t>
      </w:r>
      <w:r>
        <w:t xml:space="preserve">, 2011-NMSC-004, 248 P.3d 878</w:t>
      </w:r>
      <w:r>
        <w:t xml:space="preserve"> </w:t>
      </w:r>
      <w:r>
        <w:t xml:space="preserve">[@lyons-2011]</w:t>
      </w:r>
      <w:r>
        <w:t xml:space="preserve">.</w:t>
      </w:r>
    </w:p>
    <w:p>
      <w:pPr>
        <w:numPr>
          <w:ilvl w:val="1"/>
          <w:numId w:val="1064"/>
        </w:numPr>
        <w:pStyle w:val="Compact"/>
      </w:pPr>
      <w:r>
        <w:rPr>
          <w:i/>
        </w:rPr>
        <w:t xml:space="preserve">Posture.</w:t>
      </w:r>
      <w:r>
        <w:t xml:space="preserve"> </w:t>
      </w:r>
      <w:r>
        <w:t xml:space="preserve">Challenge to four private land exchanges executed by the Commissioner of Public Lands; mandamus relief ordered cancelling or unwinding the transactions.</w:t>
      </w:r>
    </w:p>
    <w:p>
      <w:pPr>
        <w:numPr>
          <w:ilvl w:val="1"/>
          <w:numId w:val="1064"/>
        </w:numPr>
        <w:pStyle w:val="Compact"/>
      </w:pPr>
      <w:r>
        <w:rPr>
          <w:i/>
        </w:rPr>
        <w:t xml:space="preserve">Holdings.</w:t>
      </w:r>
      <w:r>
        <w:t xml:space="preserve"> </w:t>
      </w:r>
      <w:r>
        <w:t xml:space="preserve">The exchanges violated Section 10 of the Enabling Act because the Commissioner could not bypass the public-auction and highest-best-bidder requirements by structuring disposition as an exchange. The leading modern New Mexico authority that procedural trust safeguards cannot be circumvented by recharacterizing the form of the transaction.</w:t>
      </w:r>
    </w:p>
    <w:p>
      <w:pPr>
        <w:numPr>
          <w:ilvl w:val="1"/>
          <w:numId w:val="1064"/>
        </w:numPr>
        <w:pStyle w:val="Compact"/>
      </w:pPr>
      <w:r>
        <w:rPr>
          <w:i/>
        </w:rPr>
        <w:t xml:space="preserve">Supports:</w:t>
      </w:r>
      <w:r>
        <w:t xml:space="preserve"> </w:t>
      </w:r>
      <w:r>
        <w:t xml:space="preserve">Ch. 9 (form-recharacterization rule — lead case); Ch. 18 (unwinding; mandamus).</w:t>
      </w:r>
    </w:p>
    <w:p>
      <w:pPr>
        <w:pStyle w:val="Heading3"/>
      </w:pPr>
      <w:bookmarkStart w:id="822" w:name="attorney-general-opinions"/>
      <w:r>
        <w:t xml:space="preserve">Attorney General opinions</w:t>
      </w:r>
      <w:bookmarkEnd w:id="822"/>
    </w:p>
    <w:p>
      <w:pPr>
        <w:numPr>
          <w:ilvl w:val="0"/>
          <w:numId w:val="1065"/>
        </w:numPr>
        <w:pStyle w:val="Compact"/>
      </w:pPr>
      <w:r>
        <w:t xml:space="preserve">N.M. Att’y Gen. Op. No. 3454 (1922)</w:t>
      </w:r>
      <w:r>
        <w:t xml:space="preserve"> </w:t>
      </w:r>
      <w:r>
        <w:t xml:space="preserve">[@ag-nm-3454-1922]</w:t>
      </w:r>
      <w:r>
        <w:t xml:space="preserve"> </w:t>
      </w:r>
      <w:r>
        <w:t xml:space="preserve">and Op. No. 64 (1931)</w:t>
      </w:r>
      <w:r>
        <w:t xml:space="preserve"> </w:t>
      </w:r>
      <w:r>
        <w:t xml:space="preserve">[@ag-nm-64-1931]</w:t>
      </w:r>
      <w:r>
        <w:t xml:space="preserve"> </w:t>
      </w:r>
      <w:r>
        <w:t xml:space="preserve">— state need not pay for highway rights-of-way over trust lands;</w:t>
      </w:r>
      <w:r>
        <w:t xml:space="preserve"> </w:t>
      </w:r>
      <w:r>
        <w:rPr>
          <w:b/>
        </w:rPr>
        <w:t xml:space="preserve">disapproved by</w:t>
      </w:r>
      <w:r>
        <w:rPr>
          <w:b/>
        </w:rPr>
        <w:t xml:space="preserve"> </w:t>
      </w:r>
      <w:r>
        <w:rPr>
          <w:i/>
          <w:b/>
        </w:rPr>
        <w:t xml:space="preserve">Walker</w:t>
      </w:r>
      <w:r>
        <w:rPr>
          <w:b/>
        </w:rPr>
        <w:t xml:space="preserve"> </w:t>
      </w:r>
      <w:r>
        <w:rPr>
          <w:b/>
        </w:rPr>
        <w:t xml:space="preserve">(1956)</w:t>
      </w:r>
      <w:r>
        <w:t xml:space="preserve">. → Ch. 14.</w:t>
      </w:r>
    </w:p>
    <w:p>
      <w:pPr>
        <w:pStyle w:val="Heading3"/>
      </w:pPr>
      <w:bookmarkStart w:id="823" w:name="Xeef16926c70cce5fd478f955d9569a9bd0c66a8"/>
      <w:r>
        <w:t xml:space="preserve">Authorities identified but not yet verified</w:t>
      </w:r>
      <w:bookmarkEnd w:id="823"/>
    </w:p>
    <w:p>
      <w:pPr>
        <w:numPr>
          <w:ilvl w:val="0"/>
          <w:numId w:val="1066"/>
        </w:numPr>
        <w:pStyle w:val="Compact"/>
      </w:pPr>
      <w:r>
        <w:rPr>
          <w:i/>
        </w:rPr>
        <w:t xml:space="preserve">Walker</w:t>
      </w:r>
      <w:r>
        <w:t xml:space="preserve"> </w:t>
      </w:r>
      <w:r>
        <w:t xml:space="preserve">and</w:t>
      </w:r>
      <w:r>
        <w:t xml:space="preserve"> </w:t>
      </w:r>
      <w:r>
        <w:rPr>
          <w:i/>
        </w:rPr>
        <w:t xml:space="preserve">Lyons</w:t>
      </w:r>
      <w:r>
        <w:t xml:space="preserve"> </w:t>
      </w:r>
      <w:r>
        <w:t xml:space="preserve">full opinions are not yet held in the primary-source archive (cited in briefing, primary not yet pulled) — pull before G3 verification.</w:t>
      </w:r>
    </w:p>
    <w:p>
      <w:pPr>
        <w:numPr>
          <w:ilvl w:val="0"/>
          <w:numId w:val="1066"/>
        </w:numPr>
        <w:pStyle w:val="Compact"/>
      </w:pPr>
      <w:r>
        <w:t xml:space="preserve">Current acreage (~9 million surface / 13 million mineral acres) [CITE PENDING in dossier]; Land Grant Permanent Fund corpus (~$30 billion FY 2024 per dossier) [verify at use].</w:t>
      </w:r>
    </w:p>
    <w:p>
      <w:pPr>
        <w:pStyle w:val="Heading3"/>
      </w:pPr>
      <w:bookmarkStart w:id="824" w:name="X8126ec210cd2f3b8ec9e24a9f56460d893411a1"/>
      <w:r>
        <w:t xml:space="preserve">Cross-reference map (section → New Mexico authority)</w:t>
      </w:r>
      <w:bookmarkEnd w:id="824"/>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New Mexico authority</w:t>
            </w:r>
          </w:p>
        </w:tc>
      </w:tr>
      <w:tr>
        <w:tc>
          <w:p>
            <w:pPr>
              <w:pStyle w:val="Compact"/>
              <w:jc w:val="left"/>
            </w:pPr>
            <w:r>
              <w:t xml:space="preserve">§ 2.5 (four-section generation; 1910 high-water mark)</w:t>
            </w:r>
          </w:p>
        </w:tc>
        <w:tc>
          <w:p>
            <w:pPr>
              <w:pStyle w:val="Compact"/>
              <w:jc w:val="left"/>
            </w:pPr>
            <w:r>
              <w:t xml:space="preserve">NM-AZ Enabling Act § 10, 36 Stat. 557</w:t>
            </w:r>
          </w:p>
        </w:tc>
      </w:tr>
      <w:tr>
        <w:tc>
          <w:p>
            <w:pPr>
              <w:pStyle w:val="Compact"/>
              <w:jc w:val="left"/>
            </w:pPr>
            <w:r>
              <w:t xml:space="preserve">Ch. 3 (reception; elected fiduciary; 2022 amendment)</w:t>
            </w:r>
          </w:p>
        </w:tc>
        <w:tc>
          <w:p>
            <w:pPr>
              <w:pStyle w:val="Compact"/>
              <w:jc w:val="left"/>
            </w:pPr>
            <w:r>
              <w:t xml:space="preserve">N.M. Const. Art. XII; Art. XIII § 1</w:t>
            </w:r>
          </w:p>
        </w:tc>
      </w:tr>
      <w:tr>
        <w:tc>
          <w:p>
            <w:pPr>
              <w:pStyle w:val="Compact"/>
              <w:jc w:val="left"/>
            </w:pPr>
            <w:r>
              <w:t xml:space="preserve">Ch. 4 § 4.2 (the federal line)</w:t>
            </w:r>
          </w:p>
        </w:tc>
        <w:tc>
          <w:p>
            <w:pPr>
              <w:pStyle w:val="Compact"/>
              <w:jc w:val="left"/>
            </w:pPr>
            <w:r>
              <w:t xml:space="preserve">Ervien</w:t>
            </w:r>
          </w:p>
        </w:tc>
      </w:tr>
      <w:tr>
        <w:tc>
          <w:p>
            <w:pPr>
              <w:pStyle w:val="Compact"/>
              <w:jc w:val="left"/>
            </w:pPr>
            <w:r>
              <w:t xml:space="preserve">Ch. 5 (two capacities)</w:t>
            </w:r>
          </w:p>
        </w:tc>
        <w:tc>
          <w:p>
            <w:pPr>
              <w:pStyle w:val="Compact"/>
              <w:jc w:val="left"/>
            </w:pPr>
            <w:r>
              <w:t xml:space="preserve">Walker</w:t>
            </w:r>
          </w:p>
        </w:tc>
      </w:tr>
      <w:tr>
        <w:tc>
          <w:p>
            <w:pPr>
              <w:pStyle w:val="Compact"/>
              <w:jc w:val="left"/>
            </w:pPr>
            <w:r>
              <w:t xml:space="preserve">Ch. 6 (loyalty; diversion)</w:t>
            </w:r>
          </w:p>
        </w:tc>
        <w:tc>
          <w:p>
            <w:pPr>
              <w:pStyle w:val="Compact"/>
              <w:jc w:val="left"/>
            </w:pPr>
            <w:r>
              <w:t xml:space="preserve">Ervien (lead)</w:t>
            </w:r>
          </w:p>
        </w:tc>
      </w:tr>
      <w:tr>
        <w:tc>
          <w:p>
            <w:pPr>
              <w:pStyle w:val="Compact"/>
              <w:jc w:val="left"/>
            </w:pPr>
            <w:r>
              <w:t xml:space="preserve">Ch. 9 (auction; form-recharacterization)</w:t>
            </w:r>
          </w:p>
        </w:tc>
        <w:tc>
          <w:p>
            <w:pPr>
              <w:pStyle w:val="Compact"/>
              <w:jc w:val="left"/>
            </w:pPr>
            <w:r>
              <w:t xml:space="preserve">Lyons (lead)</w:t>
            </w:r>
          </w:p>
        </w:tc>
      </w:tr>
      <w:tr>
        <w:tc>
          <w:p>
            <w:pPr>
              <w:pStyle w:val="Compact"/>
              <w:jc w:val="left"/>
            </w:pPr>
            <w:r>
              <w:t xml:space="preserve">Ch. 10 (internal takings)</w:t>
            </w:r>
          </w:p>
        </w:tc>
        <w:tc>
          <w:p>
            <w:pPr>
              <w:pStyle w:val="Compact"/>
              <w:jc w:val="left"/>
            </w:pPr>
            <w:r>
              <w:t xml:space="preserve">Walker</w:t>
            </w:r>
          </w:p>
        </w:tc>
      </w:tr>
      <w:tr>
        <w:tc>
          <w:p>
            <w:pPr>
              <w:pStyle w:val="Compact"/>
              <w:jc w:val="left"/>
            </w:pPr>
            <w:r>
              <w:t xml:space="preserve">Ch. 13 (standing)</w:t>
            </w:r>
          </w:p>
        </w:tc>
        <w:tc>
          <w:p>
            <w:pPr>
              <w:pStyle w:val="Compact"/>
              <w:jc w:val="left"/>
            </w:pPr>
            <w:r>
              <w:t xml:space="preserve">Asplund; Forest Guardians (and Bustamante separate opinion)</w:t>
            </w:r>
          </w:p>
        </w:tc>
      </w:tr>
      <w:tr>
        <w:tc>
          <w:p>
            <w:pPr>
              <w:pStyle w:val="Compact"/>
              <w:jc w:val="left"/>
            </w:pPr>
            <w:r>
              <w:t xml:space="preserve">Ch. 14 (the AG problem)</w:t>
            </w:r>
          </w:p>
        </w:tc>
        <w:tc>
          <w:p>
            <w:pPr>
              <w:pStyle w:val="Compact"/>
              <w:jc w:val="left"/>
            </w:pPr>
            <w:r>
              <w:t xml:space="preserve">Forest Guardians; Walker; AG Ops. 3454 &amp; 64 (disapproved)</w:t>
            </w:r>
          </w:p>
        </w:tc>
      </w:tr>
      <w:tr>
        <w:tc>
          <w:p>
            <w:pPr>
              <w:pStyle w:val="Compact"/>
              <w:jc w:val="left"/>
            </w:pPr>
            <w:r>
              <w:t xml:space="preserve">Ch. 15 (federal enforcement)</w:t>
            </w:r>
          </w:p>
        </w:tc>
        <w:tc>
          <w:p>
            <w:pPr>
              <w:pStyle w:val="Compact"/>
              <w:jc w:val="left"/>
            </w:pPr>
            <w:r>
              <w:t xml:space="preserve">Enabling Act § 10; Ervien</w:t>
            </w:r>
          </w:p>
        </w:tc>
      </w:tr>
      <w:tr>
        <w:tc>
          <w:p>
            <w:pPr>
              <w:pStyle w:val="Compact"/>
              <w:jc w:val="left"/>
            </w:pPr>
            <w:r>
              <w:t xml:space="preserve">Ch. 18 (unwinding)</w:t>
            </w:r>
          </w:p>
        </w:tc>
        <w:tc>
          <w:p>
            <w:pPr>
              <w:pStyle w:val="Compact"/>
              <w:jc w:val="left"/>
            </w:pPr>
            <w:r>
              <w:t xml:space="preserve">Lyons</w:t>
            </w:r>
          </w:p>
        </w:tc>
      </w:tr>
      <w:tr>
        <w:tc>
          <w:p>
            <w:pPr>
              <w:pStyle w:val="Compact"/>
              <w:jc w:val="left"/>
            </w:pPr>
            <w:r>
              <w:t xml:space="preserve">Ch. 19 (reform landscape)</w:t>
            </w:r>
          </w:p>
        </w:tc>
        <w:tc>
          <w:p>
            <w:pPr>
              <w:pStyle w:val="Compact"/>
              <w:jc w:val="left"/>
            </w:pPr>
            <w:r>
              <w:t xml:space="preserve">2022 early-childhood amendment; congressional-consent requirement</w:t>
            </w:r>
          </w:p>
        </w:tc>
      </w:tr>
    </w:tbl>
    <w:p>
      <w:r>
        <w:pict>
          <v:rect style="width:0;height:1.5pt" o:hralign="center" o:hrstd="t" o:hr="t"/>
        </w:pict>
      </w:r>
    </w:p>
    <w:p>
      <w:pPr>
        <w:pStyle w:val="FirstParagraph"/>
      </w:pPr>
      <w:r>
        <w:rPr>
          <w:i/>
        </w:rPr>
        <w:t xml:space="preserve">End of New Mexico entry v1.</w:t>
      </w:r>
    </w:p>
    <w:p>
      <w:r>
        <w:br w:type="page"/>
      </w:r>
    </w:p>
    <w:p>
      <w:pPr>
        <w:pStyle w:val="Heading1"/>
      </w:pPr>
      <w:bookmarkStart w:id="825" w:name="state-appendix-nevada"/>
      <w:r>
        <w:t xml:space="preserve">State Appendix — Nevada</w:t>
      </w:r>
      <w:bookmarkEnd w:id="825"/>
    </w:p>
    <w:p>
      <w:pPr>
        <w:pStyle w:val="FirstParagraph"/>
      </w:pPr>
      <w:r>
        <w:rPr>
          <w:i/>
        </w:rPr>
        <w:t xml:space="preserve">Stub entry. The verified hornbook corpus holds no case law for this state (the Library’s authorities register G-8); the case line is queued — see the verification queue (Priority 3). Instrument citation carried as given in the Fifty-States encyclopedia dossier; candidate authorities named there are listed for the harvest, not for citation.</w:t>
      </w:r>
    </w:p>
    <w:p>
      <w:r>
        <w:pict>
          <v:rect style="width:0;height:1.5pt" o:hralign="center" o:hrstd="t" o:hr="t"/>
        </w:pict>
      </w:r>
    </w:p>
    <w:p>
      <w:pPr>
        <w:pStyle w:val="Heading2"/>
      </w:pPr>
      <w:bookmarkStart w:id="826" w:name="nevada-stub"/>
      <w:r>
        <w:t xml:space="preserve">NEVADA (stub)</w:t>
      </w:r>
      <w:bookmarkEnd w:id="826"/>
    </w:p>
    <w:p>
      <w:pPr>
        <w:pStyle w:val="FirstParagraph"/>
      </w:pPr>
      <w:r>
        <w:rPr>
          <w:b/>
        </w:rPr>
        <w:t xml:space="preserve">Granting instrument.</w:t>
      </w:r>
      <w:r>
        <w:t xml:space="preserve"> </w:t>
      </w:r>
      <w:r>
        <w:t xml:space="preserve">Nevada Enabling Act of March 21, 1864, ch. 36, 13 Stat. 30 (§ 7) — sections 16 and 36 of every township for common schools, with indemnity selections. Distinctive history per the Fifty-States dossier: by the Act of June 16, 1880, ch. 245, 21 Stat. 287, Nevada relinquished the original in-place grant for a 2,000,000-acre in-lieu selection pool, then sold most of those lands by approximately 1900 — the most extreme</w:t>
      </w:r>
      <w:r>
        <w:t xml:space="preserve"> </w:t>
      </w:r>
      <w:r>
        <w:t xml:space="preserve">“</w:t>
      </w:r>
      <w:r>
        <w:t xml:space="preserve">what was lost</w:t>
      </w:r>
      <w:r>
        <w:t xml:space="preserve">”</w:t>
      </w:r>
      <w:r>
        <w:t xml:space="preserve"> </w:t>
      </w:r>
      <w:r>
        <w:t xml:space="preserve">case among the public-land states. → §§ 2.4, 2.7; Appendix B.</w:t>
      </w:r>
    </w:p>
    <w:p>
      <w:pPr>
        <w:pStyle w:val="BodyText"/>
      </w:pPr>
      <w:r>
        <w:rPr>
          <w:b/>
        </w:rPr>
        <w:t xml:space="preserve">Case line.</w:t>
      </w:r>
      <w:r>
        <w:t xml:space="preserve"> </w:t>
      </w:r>
      <w:r>
        <w:t xml:space="preserve">Not yet collected into the verified corpus — see the verification queue (Priority 3). Candidate authority identified in the Fifty-States dossier, not yet verified for hornbook use:</w:t>
      </w:r>
      <w:r>
        <w:t xml:space="preserve"> </w:t>
      </w:r>
      <w:r>
        <w:rPr>
          <w:b/>
        </w:rPr>
        <w:t xml:space="preserve">Heydenfeldt v. Daney Gold &amp; Silver Mining Co.</w:t>
      </w:r>
      <w:r>
        <w:t xml:space="preserve">, 93 U.S. 634 (1876) — described there as construing § 7 of the Nevada Enabling Act (words of present grant did not vest title to unsurveyed mineral section 16; indemnity the remedy) —</w:t>
      </w:r>
      <w:r>
        <w:t xml:space="preserve"> </w:t>
      </w:r>
      <w:r>
        <w:rPr>
          <w:b/>
        </w:rPr>
        <w:t xml:space="preserve">✅ L0-verified June 9, 2026</w:t>
      </w:r>
      <w:r>
        <w:t xml:space="preserve"> </w:t>
      </w:r>
      <w:r>
        <w:t xml:space="preserve">(</w:t>
      </w:r>
      <w:r>
        <w:rPr>
          <w:rStyle w:val="VerbatimChar"/>
        </w:rPr>
        <w:t xml:space="preserve">US_Supreme_Court/Heydenfeldt_v_Daney_Gold_Silver_Mining_Co_93_US_634_1877.md</w:t>
      </w:r>
      <w:r>
        <w:t xml:space="preserve">): words of qualification restrict the words of present grant, the State took a grant of quantity (indemnity in lieu), and Nevada’s Feb. 13, 1867 act ratified the mineral-land reservation; judgment affirmed. Prospective feeds: § 2.8 (indemnity machinery); Ch. 2.</w:t>
      </w:r>
    </w:p>
    <w:p>
      <w:r>
        <w:pict>
          <v:rect style="width:0;height:1.5pt" o:hralign="center" o:hrstd="t" o:hr="t"/>
        </w:pict>
      </w:r>
    </w:p>
    <w:p>
      <w:pPr>
        <w:pStyle w:val="FirstParagraph"/>
      </w:pPr>
      <w:r>
        <w:rPr>
          <w:i/>
        </w:rPr>
        <w:t xml:space="preserve">End of Nevada stub v0.</w:t>
      </w:r>
    </w:p>
    <w:p>
      <w:r>
        <w:br w:type="page"/>
      </w:r>
    </w:p>
    <w:p>
      <w:pPr>
        <w:pStyle w:val="Heading1"/>
      </w:pPr>
      <w:bookmarkStart w:id="827" w:name="state-appendix-oklahoma"/>
      <w:r>
        <w:t xml:space="preserve">State Appendix — Oklahoma</w:t>
      </w:r>
      <w:bookmarkEnd w:id="827"/>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828" w:name="oklahoma"/>
      <w:r>
        <w:t xml:space="preserve">OKLAHOMA</w:t>
      </w:r>
      <w:bookmarkEnd w:id="828"/>
    </w:p>
    <w:p>
      <w:pPr>
        <w:pStyle w:val="FirstParagraph"/>
      </w:pPr>
      <w:r>
        <w:rPr>
          <w:b/>
        </w:rPr>
        <w:t xml:space="preserve">Granting instrument.</w:t>
      </w:r>
      <w:r>
        <w:t xml:space="preserve"> </w:t>
      </w:r>
      <w:r>
        <w:t xml:space="preserve">Oklahoma Enabling Act of June 16, 1906 (34 Stat. 267)</w:t>
      </w:r>
      <w:r>
        <w:t xml:space="preserve"> </w:t>
      </w:r>
      <w:r>
        <w:t xml:space="preserve">[@act-oklahoma-1906]</w:t>
      </w:r>
      <w:r>
        <w:t xml:space="preserve"> </w:t>
      </w:r>
      <w:r>
        <w:t xml:space="preserve">— sections 16 and 36 of every township in the former Oklahoma Territory in trust for common schools, with cash payments in lieu of sections in the former Indian Territory where allotment under prior federal action had foreclosed in-place grants; proceeds held in a permanent fund; no disposition at less than appraised value. The in-lieu cash component makes Oklahoma the instructive instrument on monetized grants. → § 2.4; Appendix B.</w:t>
      </w:r>
    </w:p>
    <w:p>
      <w:pPr>
        <w:pStyle w:val="BodyText"/>
      </w:pPr>
      <w:r>
        <w:rPr>
          <w:b/>
        </w:rPr>
        <w:t xml:space="preserve">Constitutional reception and administering body.</w:t>
      </w:r>
      <w:r>
        <w:t xml:space="preserve"> </w:t>
      </w:r>
      <w:r>
        <w:t xml:space="preserve">Oklahoma was admitted November 16, 1907. The Commissioners of the Land Office administer roughly 750,000 surface acres and a substantially larger mineral estate [CITE PENDING in dossier for current corpus values]. [VERIFY Oklahoma constitutional article/section citations — not yet carried in the corpus.] → Ch. 3.</w:t>
      </w:r>
    </w:p>
    <w:p>
      <w:pPr>
        <w:pStyle w:val="BodyText"/>
      </w:pPr>
      <w:r>
        <w:rPr>
          <w:b/>
        </w:rPr>
        <w:t xml:space="preserve">Why Oklahoma matters to the field.</w:t>
      </w:r>
      <w:r>
        <w:t xml:space="preserve"> </w:t>
      </w:r>
      <w:r>
        <w:rPr>
          <w:i/>
        </w:rPr>
        <w:t xml:space="preserve">Nigh</w:t>
      </w:r>
      <w:r>
        <w:t xml:space="preserve"> </w:t>
      </w:r>
      <w:r>
        <w:t xml:space="preserve">(1982) is one of the country’s strongest statements of the irrevocable-compact doctrine — that the federal-state arrangement binds successive legislatures — and is cited across jurisdictions (including by</w:t>
      </w:r>
      <w:r>
        <w:t xml:space="preserve"> </w:t>
      </w:r>
      <w:r>
        <w:rPr>
          <w:i/>
        </w:rPr>
        <w:t xml:space="preserve">Kanaly</w:t>
      </w:r>
      <w:r>
        <w:t xml:space="preserve"> </w:t>
      </w:r>
      <w:r>
        <w:t xml:space="preserve">in South Dakota) for that proposition.</w:t>
      </w:r>
    </w:p>
    <w:p>
      <w:pPr>
        <w:pStyle w:val="Heading3"/>
      </w:pPr>
      <w:bookmarkStart w:id="829" w:name="the-cases-9"/>
      <w:r>
        <w:t xml:space="preserve">The cases</w:t>
      </w:r>
      <w:bookmarkEnd w:id="829"/>
    </w:p>
    <w:p>
      <w:pPr>
        <w:numPr>
          <w:ilvl w:val="0"/>
          <w:numId w:val="1067"/>
        </w:numPr>
        <w:pStyle w:val="Compact"/>
      </w:pPr>
      <w:r>
        <w:rPr>
          <w:b/>
        </w:rPr>
        <w:t xml:space="preserve">Oklahoma Education Association, Inc. v. Nigh</w:t>
      </w:r>
      <w:r>
        <w:t xml:space="preserve">, 642 P.2d 230 (Okla. 1982)</w:t>
      </w:r>
      <w:r>
        <w:t xml:space="preserve"> </w:t>
      </w:r>
      <w:r>
        <w:t xml:space="preserve">[@nigh-1982]</w:t>
      </w:r>
      <w:r>
        <w:t xml:space="preserve">.</w:t>
      </w:r>
    </w:p>
    <w:p>
      <w:pPr>
        <w:numPr>
          <w:ilvl w:val="1"/>
          <w:numId w:val="1068"/>
        </w:numPr>
        <w:pStyle w:val="Compact"/>
      </w:pPr>
      <w:r>
        <w:rPr>
          <w:i/>
        </w:rPr>
        <w:t xml:space="preserve">Posture.</w:t>
      </w:r>
      <w:r>
        <w:t xml:space="preserve"> </w:t>
      </w:r>
      <w:r>
        <w:t xml:space="preserve">Challenge to legislative diversion of school trust revenues for non-school purposes; diversion held invalid.</w:t>
      </w:r>
    </w:p>
    <w:p>
      <w:pPr>
        <w:numPr>
          <w:ilvl w:val="1"/>
          <w:numId w:val="1068"/>
        </w:numPr>
        <w:pStyle w:val="Compact"/>
      </w:pPr>
      <w:r>
        <w:rPr>
          <w:i/>
        </w:rPr>
        <w:t xml:space="preserve">Holdings.</w:t>
      </w:r>
      <w:r>
        <w:t xml:space="preserve"> </w:t>
      </w:r>
      <w:r>
        <w:t xml:space="preserve">“</w:t>
      </w:r>
      <w:r>
        <w:t xml:space="preserve">No Act of the Legislature can validly alter, modify or diminish the State’s duty as Trustee</w:t>
      </w:r>
      <w:r>
        <w:t xml:space="preserve">”</w:t>
      </w:r>
      <w:r>
        <w:t xml:space="preserve"> </w:t>
      </w:r>
      <w:r>
        <w:t xml:space="preserve">(quotation carried per the Library’s authorities register; L0-verified 2026-06-09 at 642 P.2d at 236, CourtListener id 1187033). The</w:t>
      </w:r>
      <w:r>
        <w:t xml:space="preserve"> </w:t>
      </w:r>
      <w:r>
        <w:t xml:space="preserve">“</w:t>
      </w:r>
      <w:r>
        <w:t xml:space="preserve">sacred trust</w:t>
      </w:r>
      <w:r>
        <w:t xml:space="preserve">”</w:t>
      </w:r>
      <w:r>
        <w:t xml:space="preserve"> </w:t>
      </w:r>
      <w:r>
        <w:t xml:space="preserve">designation irrevocably incorporates the rules of trust law; maximum-benefit standard articulated. The trial judge (Cannon) is recorded in the corpus as telling the parties,</w:t>
      </w:r>
      <w:r>
        <w:t xml:space="preserve"> </w:t>
      </w:r>
      <w:r>
        <w:t xml:space="preserve">“</w:t>
      </w:r>
      <w:r>
        <w:t xml:space="preserve">Boys, the party is over.</w:t>
      </w:r>
      <w:r>
        <w:t xml:space="preserve">”</w:t>
      </w:r>
      <w:r>
        <w:t xml:space="preserve"> </w:t>
      </w:r>
      <w:r>
        <w:t xml:space="preserve">Widely cited for the irrevocable-compact doctrine — the arrangement is a perpetual covenant, not a discretionary grant.</w:t>
      </w:r>
    </w:p>
    <w:p>
      <w:pPr>
        <w:numPr>
          <w:ilvl w:val="1"/>
          <w:numId w:val="1068"/>
        </w:numPr>
        <w:pStyle w:val="Compact"/>
      </w:pPr>
      <w:r>
        <w:rPr>
          <w:i/>
        </w:rPr>
        <w:t xml:space="preserve">Supports:</w:t>
      </w:r>
      <w:r>
        <w:t xml:space="preserve"> </w:t>
      </w:r>
      <w:r>
        <w:t xml:space="preserve">Ch. 4 (§§ 4.3 (constitutional incorporation), 3.6(a) (breaching acts invalid), 3.7 (limits of legislative power)); Ch. 7 (maximum benefit); Ch. 11 (revenue diversion context).</w:t>
      </w:r>
    </w:p>
    <w:p>
      <w:pPr>
        <w:pStyle w:val="Heading3"/>
      </w:pPr>
      <w:bookmarkStart w:id="830" w:name="X0c4114fb254c963dc0ca44217a4b73065f143bf"/>
      <w:r>
        <w:t xml:space="preserve">Authorities identified but not yet verified</w:t>
      </w:r>
      <w:bookmarkEnd w:id="830"/>
    </w:p>
    <w:p>
      <w:pPr>
        <w:numPr>
          <w:ilvl w:val="0"/>
          <w:numId w:val="1069"/>
        </w:numPr>
        <w:pStyle w:val="Compact"/>
      </w:pPr>
      <w:r>
        <w:rPr>
          <w:i/>
        </w:rPr>
        <w:t xml:space="preserve">Nigh</w:t>
      </w:r>
      <w:r>
        <w:t xml:space="preserve"> </w:t>
      </w:r>
      <w:r>
        <w:t xml:space="preserve">pin cites — RESOLVED 2026-06-09 (the Library’s authorities register G-6; Citation Integrity Sweep § 2A). The killer quotes are L0-verified verbatim at 642 P.2d at 236 (CourtListener id 1187033); the earlier</w:t>
      </w:r>
      <w:r>
        <w:t xml:space="preserve"> </w:t>
      </w:r>
      <w:r>
        <w:t xml:space="preserve">“</w:t>
      </w:r>
      <w:r>
        <w:t xml:space="preserve">not in CourtListener</w:t>
      </w:r>
      <w:r>
        <w:t xml:space="preserve">”</w:t>
      </w:r>
      <w:r>
        <w:t xml:space="preserve"> </w:t>
      </w:r>
      <w:r>
        <w:t xml:space="preserve">note was stale.</w:t>
      </w:r>
    </w:p>
    <w:p>
      <w:pPr>
        <w:numPr>
          <w:ilvl w:val="0"/>
          <w:numId w:val="1069"/>
        </w:numPr>
        <w:pStyle w:val="Compact"/>
      </w:pPr>
      <w:r>
        <w:t xml:space="preserve">No second verified Oklahoma case is carried in the corpus; the broader Oklahoma case line is a harvest item.</w:t>
      </w:r>
    </w:p>
    <w:p>
      <w:pPr>
        <w:pStyle w:val="Heading3"/>
      </w:pPr>
      <w:bookmarkStart w:id="831" w:name="X17024d6f19111ae1abd7130343807b9ed74a436"/>
      <w:r>
        <w:t xml:space="preserve">Cross-reference map (section → Oklahoma authority)</w:t>
      </w:r>
      <w:bookmarkEnd w:id="831"/>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Oklahoma authority</w:t>
            </w:r>
          </w:p>
        </w:tc>
      </w:tr>
      <w:tr>
        <w:tc>
          <w:p>
            <w:pPr>
              <w:pStyle w:val="Compact"/>
              <w:jc w:val="left"/>
            </w:pPr>
            <w:r>
              <w:t xml:space="preserve">§ 2.4 (two-section generation; in-lieu cash)</w:t>
            </w:r>
          </w:p>
        </w:tc>
        <w:tc>
          <w:p>
            <w:pPr>
              <w:pStyle w:val="Compact"/>
              <w:jc w:val="left"/>
            </w:pPr>
            <w:r>
              <w:t xml:space="preserve">Oklahoma Enabling Act, 34 Stat. 267</w:t>
            </w:r>
          </w:p>
        </w:tc>
      </w:tr>
      <w:tr>
        <w:tc>
          <w:p>
            <w:pPr>
              <w:pStyle w:val="Compact"/>
              <w:jc w:val="left"/>
            </w:pPr>
            <w:r>
              <w:t xml:space="preserve">Ch. 4 § 4.3 (constitutional incorporation)</w:t>
            </w:r>
          </w:p>
        </w:tc>
        <w:tc>
          <w:p>
            <w:pPr>
              <w:pStyle w:val="Compact"/>
              <w:jc w:val="left"/>
            </w:pPr>
            <w:r>
              <w:t xml:space="preserve">Nigh</w:t>
            </w:r>
          </w:p>
        </w:tc>
      </w:tr>
      <w:tr>
        <w:tc>
          <w:p>
            <w:pPr>
              <w:pStyle w:val="Compact"/>
              <w:jc w:val="left"/>
            </w:pPr>
            <w:r>
              <w:t xml:space="preserve">Ch. 4 § 4.6(a) (breaching acts invalid)</w:t>
            </w:r>
          </w:p>
        </w:tc>
        <w:tc>
          <w:p>
            <w:pPr>
              <w:pStyle w:val="Compact"/>
              <w:jc w:val="left"/>
            </w:pPr>
            <w:r>
              <w:t xml:space="preserve">Nigh</w:t>
            </w:r>
          </w:p>
        </w:tc>
      </w:tr>
      <w:tr>
        <w:tc>
          <w:p>
            <w:pPr>
              <w:pStyle w:val="Compact"/>
              <w:jc w:val="left"/>
            </w:pPr>
            <w:r>
              <w:t xml:space="preserve">Ch. 4 § 4.7 (limits of legislative power)</w:t>
            </w:r>
          </w:p>
        </w:tc>
        <w:tc>
          <w:p>
            <w:pPr>
              <w:pStyle w:val="Compact"/>
              <w:jc w:val="left"/>
            </w:pPr>
            <w:r>
              <w:t xml:space="preserve">Nigh</w:t>
            </w:r>
          </w:p>
        </w:tc>
      </w:tr>
      <w:tr>
        <w:tc>
          <w:p>
            <w:pPr>
              <w:pStyle w:val="Compact"/>
              <w:jc w:val="left"/>
            </w:pPr>
            <w:r>
              <w:t xml:space="preserve">Ch. 7 (maximum benefit)</w:t>
            </w:r>
          </w:p>
        </w:tc>
        <w:tc>
          <w:p>
            <w:pPr>
              <w:pStyle w:val="Compact"/>
              <w:jc w:val="left"/>
            </w:pPr>
            <w:r>
              <w:t xml:space="preserve">Nigh</w:t>
            </w:r>
          </w:p>
        </w:tc>
      </w:tr>
      <w:tr>
        <w:tc>
          <w:p>
            <w:pPr>
              <w:pStyle w:val="Compact"/>
              <w:jc w:val="left"/>
            </w:pPr>
            <w:r>
              <w:t xml:space="preserve">Ch. 11 (diversion of lease/royalty revenue)</w:t>
            </w:r>
          </w:p>
        </w:tc>
        <w:tc>
          <w:p>
            <w:pPr>
              <w:pStyle w:val="Compact"/>
              <w:jc w:val="left"/>
            </w:pPr>
            <w:r>
              <w:t xml:space="preserve">Nigh</w:t>
            </w:r>
          </w:p>
        </w:tc>
      </w:tr>
    </w:tbl>
    <w:p>
      <w:r>
        <w:pict>
          <v:rect style="width:0;height:1.5pt" o:hralign="center" o:hrstd="t" o:hr="t"/>
        </w:pict>
      </w:r>
    </w:p>
    <w:p>
      <w:pPr>
        <w:pStyle w:val="FirstParagraph"/>
      </w:pPr>
      <w:r>
        <w:rPr>
          <w:i/>
        </w:rPr>
        <w:t xml:space="preserve">End of Oklahoma entry v1.</w:t>
      </w:r>
    </w:p>
    <w:p>
      <w:r>
        <w:br w:type="page"/>
      </w:r>
    </w:p>
    <w:p>
      <w:pPr>
        <w:pStyle w:val="Heading1"/>
      </w:pPr>
      <w:bookmarkStart w:id="832" w:name="state-appendix-oregon"/>
      <w:r>
        <w:t xml:space="preserve">State Appendix — Oregon</w:t>
      </w:r>
      <w:bookmarkEnd w:id="832"/>
    </w:p>
    <w:p>
      <w:pPr>
        <w:pStyle w:val="FirstParagraph"/>
      </w:pPr>
      <w:r>
        <w:rPr>
          <w:i/>
        </w:rPr>
        <w:t xml:space="preserve">Form per the Nebraska proving sample; cross-cites per the renumbered working edition. Cross-checked against the Library’s authorities register § 3 (the Oregon section). Pending litigation is described from the public record only; litigating positions are attributed as positions; circuit-court letter opinions are identified as such and carry no precedential weight.</w:t>
      </w:r>
    </w:p>
    <w:p>
      <w:r>
        <w:pict>
          <v:rect style="width:0;height:1.5pt" o:hralign="center" o:hrstd="t" o:hr="t"/>
        </w:pict>
      </w:r>
    </w:p>
    <w:p>
      <w:pPr>
        <w:pStyle w:val="Heading2"/>
      </w:pPr>
      <w:bookmarkStart w:id="833" w:name="oregon"/>
      <w:r>
        <w:t xml:space="preserve">OREGON</w:t>
      </w:r>
      <w:bookmarkEnd w:id="833"/>
    </w:p>
    <w:p>
      <w:pPr>
        <w:pStyle w:val="FirstParagraph"/>
      </w:pPr>
      <w:r>
        <w:rPr>
          <w:b/>
        </w:rPr>
        <w:t xml:space="preserve">Granting instrument.</w:t>
      </w:r>
      <w:r>
        <w:t xml:space="preserve"> </w:t>
      </w:r>
      <w:r>
        <w:t xml:space="preserve">Oregon Admission Act of February 14, 1859, ch. 33, § 4, 11 Stat. 383</w:t>
      </w:r>
      <w:r>
        <w:t xml:space="preserve"> </w:t>
      </w:r>
      <w:r>
        <w:t xml:space="preserve">[@act-oregon-1859]</w:t>
      </w:r>
      <w:r>
        <w:t xml:space="preserve"> </w:t>
      </w:r>
      <w:r>
        <w:t xml:space="preserve">— sections 16 and 36 of every township</w:t>
      </w:r>
      <w:r>
        <w:t xml:space="preserve"> </w:t>
      </w:r>
      <w:r>
        <w:t xml:space="preserve">“</w:t>
      </w:r>
      <w:r>
        <w:t xml:space="preserve">for the use of schools,</w:t>
      </w:r>
      <w:r>
        <w:t xml:space="preserve">”</w:t>
      </w:r>
      <w:r>
        <w:t xml:space="preserve"> </w:t>
      </w:r>
      <w:r>
        <w:t xml:space="preserve">with the compact clause providing that the propositions,</w:t>
      </w:r>
      <w:r>
        <w:t xml:space="preserve"> </w:t>
      </w:r>
      <w:r>
        <w:t xml:space="preserve">“</w:t>
      </w:r>
      <w:r>
        <w:t xml:space="preserve">if accepted, shall be obligatory on the United States and upon the said State of Oregon.</w:t>
      </w:r>
      <w:r>
        <w:t xml:space="preserve">”</w:t>
      </w:r>
      <w:r>
        <w:t xml:space="preserve"> </w:t>
      </w:r>
      <w:r>
        <w:t xml:space="preserve">Oregon’s 1859 instrument predates the explicit</w:t>
      </w:r>
      <w:r>
        <w:t xml:space="preserve"> </w:t>
      </w:r>
      <w:r>
        <w:t xml:space="preserve">“</w:t>
      </w:r>
      <w:r>
        <w:t xml:space="preserve">in trust</w:t>
      </w:r>
      <w:r>
        <w:t xml:space="preserve">”</w:t>
      </w:r>
      <w:r>
        <w:t xml:space="preserve"> </w:t>
      </w:r>
      <w:r>
        <w:t xml:space="preserve">formulation Congress later perfected — which is precisely why Oregon is the live case study for Chapter 4’s contested ground. → §§ 2.4, 2.7; Ch. 4 (§ 4.5); Appendix B. (Full text held: Filed EX 1, 2026-05-29 MSJ Response.)</w:t>
      </w:r>
    </w:p>
    <w:p>
      <w:pPr>
        <w:pStyle w:val="BodyText"/>
      </w:pPr>
      <w:r>
        <w:rPr>
          <w:b/>
        </w:rPr>
        <w:t xml:space="preserve">Constitutional reception.</w:t>
      </w:r>
      <w:r>
        <w:t xml:space="preserve"> </w:t>
      </w:r>
      <w:r>
        <w:t xml:space="preserve">Or. Const. Art. VIII §§ 2, 5 (1857 original; 1968 as amended)</w:t>
      </w:r>
      <w:r>
        <w:t xml:space="preserve"> </w:t>
      </w:r>
      <w:r>
        <w:t xml:space="preserve">[@const-or-art8]</w:t>
      </w:r>
      <w:r>
        <w:t xml:space="preserve"> </w:t>
      </w:r>
      <w:r>
        <w:t xml:space="preserve">— the Common School Fund</w:t>
      </w:r>
      <w:r>
        <w:t xml:space="preserve"> </w:t>
      </w:r>
      <w:r>
        <w:t xml:space="preserve">“</w:t>
      </w:r>
      <w:r>
        <w:t xml:space="preserve">separate and irreducible</w:t>
      </w:r>
      <w:r>
        <w:t xml:space="preserve">”</w:t>
      </w:r>
      <w:r>
        <w:t xml:space="preserve">; § 5(2) the greatest-benefit standard; § 8 the school-adequacy clause enforced in</w:t>
      </w:r>
      <w:r>
        <w:t xml:space="preserve"> </w:t>
      </w:r>
      <w:r>
        <w:rPr>
          <w:i/>
        </w:rPr>
        <w:t xml:space="preserve">Pendleton</w:t>
      </w:r>
      <w:r>
        <w:t xml:space="preserve">. → Ch. 3; Ch. 16.</w:t>
      </w:r>
    </w:p>
    <w:p>
      <w:pPr>
        <w:pStyle w:val="BodyText"/>
      </w:pPr>
      <w:r>
        <w:rPr>
          <w:b/>
        </w:rPr>
        <w:t xml:space="preserve">Administering body.</w:t>
      </w:r>
      <w:r>
        <w:t xml:space="preserve"> </w:t>
      </w:r>
      <w:r>
        <w:t xml:space="preserve">The State Land Board (historically holding and managing the lands,</w:t>
      </w:r>
      <w:r>
        <w:t xml:space="preserve"> </w:t>
      </w:r>
      <w:r>
        <w:rPr>
          <w:i/>
        </w:rPr>
        <w:t xml:space="preserve">Robertson v. State Land Board</w:t>
      </w:r>
      <w:r>
        <w:t xml:space="preserve">, 42 Or 183 (1902)</w:t>
      </w:r>
      <w:r>
        <w:t xml:space="preserve"> </w:t>
      </w:r>
      <w:r>
        <w:t xml:space="preserve">[@robertson-geer-1902]</w:t>
      </w:r>
      <w:r>
        <w:t xml:space="preserve"> </w:t>
      </w:r>
      <w:r>
        <w:t xml:space="preserve">— caption corrected 2026-06-07 against the held primary: the register and earlier drafts carried the case as</w:t>
      </w:r>
      <w:r>
        <w:t xml:space="preserve"> </w:t>
      </w:r>
      <w:r>
        <w:t xml:space="preserve">“</w:t>
      </w:r>
      <w:r>
        <w:t xml:space="preserve">Robertson v. Geer,</w:t>
      </w:r>
      <w:r>
        <w:t xml:space="preserve">”</w:t>
      </w:r>
      <w:r>
        <w:t xml:space="preserve"> </w:t>
      </w:r>
      <w:r>
        <w:t xml:space="preserve">but the reported caption is</w:t>
      </w:r>
      <w:r>
        <w:t xml:space="preserve"> </w:t>
      </w:r>
      <w:r>
        <w:rPr>
          <w:i/>
        </w:rPr>
        <w:t xml:space="preserve">Robertson v. State Land Board</w:t>
      </w:r>
      <w:r>
        <w:t xml:space="preserve">; Geer, the Governor, was a Board member), with the Department of State Lands as its administrative arm. → Ch. 3.</w:t>
      </w:r>
    </w:p>
    <w:p>
      <w:pPr>
        <w:pStyle w:val="BodyText"/>
      </w:pPr>
      <w:r>
        <w:rPr>
          <w:b/>
        </w:rPr>
        <w:t xml:space="preserve">Why Oregon matters to the field.</w:t>
      </w:r>
      <w:r>
        <w:t xml:space="preserve"> </w:t>
      </w:r>
      <w:r>
        <w:t xml:space="preserve">Oregon is where the field’s central question — binding trust or honorary grant — is being litigated</w:t>
      </w:r>
      <w:r>
        <w:t xml:space="preserve"> </w:t>
      </w:r>
      <w:r>
        <w:rPr>
          <w:i/>
        </w:rPr>
        <w:t xml:space="preserve">now</w:t>
      </w:r>
      <w:r>
        <w:t xml:space="preserve">, on an instrument that lacks the word</w:t>
      </w:r>
      <w:r>
        <w:t xml:space="preserve"> </w:t>
      </w:r>
      <w:r>
        <w:t xml:space="preserve">“</w:t>
      </w:r>
      <w:r>
        <w:t xml:space="preserve">trust.</w:t>
      </w:r>
      <w:r>
        <w:t xml:space="preserve">”</w:t>
      </w:r>
      <w:r>
        <w:t xml:space="preserve"> </w:t>
      </w:r>
      <w:r>
        <w:t xml:space="preserve">The Oregon Supreme Court’s own line runs from</w:t>
      </w:r>
      <w:r>
        <w:t xml:space="preserve"> </w:t>
      </w:r>
      <w:r>
        <w:t xml:space="preserve">“</w:t>
      </w:r>
      <w:r>
        <w:t xml:space="preserve">absolute grant … for a special purpose</w:t>
      </w:r>
      <w:r>
        <w:t xml:space="preserve">”</w:t>
      </w:r>
      <w:r>
        <w:t xml:space="preserve"> </w:t>
      </w:r>
      <w:r>
        <w:t xml:space="preserve">(1899) through</w:t>
      </w:r>
      <w:r>
        <w:t xml:space="preserve"> </w:t>
      </w:r>
      <w:r>
        <w:t xml:space="preserve">“</w:t>
      </w:r>
      <w:r>
        <w:t xml:space="preserve">a trust for the benefit of public education</w:t>
      </w:r>
      <w:r>
        <w:t xml:space="preserve">”</w:t>
      </w:r>
      <w:r>
        <w:t xml:space="preserve"> </w:t>
      </w:r>
      <w:r>
        <w:t xml:space="preserve">(1917) and</w:t>
      </w:r>
      <w:r>
        <w:t xml:space="preserve"> </w:t>
      </w:r>
      <w:r>
        <w:t xml:space="preserve">“</w:t>
      </w:r>
      <w:r>
        <w:t xml:space="preserve">a trust of the highest nature</w:t>
      </w:r>
      <w:r>
        <w:t xml:space="preserve">”</w:t>
      </w:r>
      <w:r>
        <w:t xml:space="preserve"> </w:t>
      </w:r>
      <w:r>
        <w:t xml:space="preserve">(1931) to</w:t>
      </w:r>
      <w:r>
        <w:t xml:space="preserve"> </w:t>
      </w:r>
      <w:r>
        <w:t xml:space="preserve">“</w:t>
      </w:r>
      <w:r>
        <w:t xml:space="preserve">the state is the trustee of the lands granted to it</w:t>
      </w:r>
      <w:r>
        <w:t xml:space="preserve">”</w:t>
      </w:r>
      <w:r>
        <w:t xml:space="preserve"> </w:t>
      </w:r>
      <w:r>
        <w:t xml:space="preserve">(2019); the State’s litigating position in the pending cases tests how much of that line is enforceable fiduciary law. Oregon also supplies the field’s cleanest modern beneficiary-standing win (</w:t>
      </w:r>
      <w:r>
        <w:rPr>
          <w:i/>
        </w:rPr>
        <w:t xml:space="preserve">Advocates</w:t>
      </w:r>
      <w:r>
        <w:t xml:space="preserve">, 2026) and its sharpest example of the tort-recharacterization problem (Ch. 17).</w:t>
      </w:r>
    </w:p>
    <w:p>
      <w:pPr>
        <w:pStyle w:val="Heading3"/>
      </w:pPr>
      <w:bookmarkStart w:id="834" w:name="the-oregon-supreme-court-canon"/>
      <w:r>
        <w:t xml:space="preserve">The Oregon Supreme Court canon</w:t>
      </w:r>
      <w:bookmarkEnd w:id="834"/>
    </w:p>
    <w:p>
      <w:pPr>
        <w:numPr>
          <w:ilvl w:val="0"/>
          <w:numId w:val="1070"/>
        </w:numPr>
        <w:pStyle w:val="Compact"/>
      </w:pPr>
      <w:r>
        <w:rPr>
          <w:b/>
        </w:rPr>
        <w:t xml:space="preserve">Schneider v. Hutchinson</w:t>
      </w:r>
      <w:r>
        <w:t xml:space="preserve">, 35 Or 253, 258 (1899)</w:t>
      </w:r>
      <w:r>
        <w:t xml:space="preserve"> </w:t>
      </w:r>
      <w:r>
        <w:t xml:space="preserve">[@schneider-1899]</w:t>
      </w:r>
      <w:r>
        <w:t xml:space="preserve"> </w:t>
      </w:r>
      <w:r>
        <w:t xml:space="preserve">— the Admission Act grant is</w:t>
      </w:r>
      <w:r>
        <w:t xml:space="preserve"> </w:t>
      </w:r>
      <w:r>
        <w:t xml:space="preserve">“</w:t>
      </w:r>
      <w:r>
        <w:t xml:space="preserve">an absolute grant, vesting the title in the state for a special purpose</w:t>
      </w:r>
      <w:r>
        <w:t xml:space="preserve">”</w:t>
      </w:r>
      <w:r>
        <w:t xml:space="preserve">; the special purpose is the source of the obligation. (Quotation and pin verified against the held primary, 2026-06-07. Context note: the actual holding applies the statute of limitations against the state in an ejectment over sold school land — quote the absolute-grant passage in context.)</w:t>
      </w:r>
    </w:p>
    <w:p>
      <w:pPr>
        <w:numPr>
          <w:ilvl w:val="1"/>
          <w:numId w:val="1071"/>
        </w:numPr>
        <w:pStyle w:val="Compact"/>
      </w:pPr>
      <w:r>
        <w:rPr>
          <w:i/>
        </w:rPr>
        <w:t xml:space="preserve">Supports:</w:t>
      </w:r>
      <w:r>
        <w:t xml:space="preserve"> </w:t>
      </w:r>
      <w:r>
        <w:t xml:space="preserve">Ch. 4 (§§ 4.5, 4.7(4)).</w:t>
      </w:r>
    </w:p>
    <w:p>
      <w:pPr>
        <w:numPr>
          <w:ilvl w:val="0"/>
          <w:numId w:val="1070"/>
        </w:numPr>
        <w:pStyle w:val="Compact"/>
      </w:pPr>
      <w:r>
        <w:rPr>
          <w:b/>
        </w:rPr>
        <w:t xml:space="preserve">State v. Warner Valley Stock Co.</w:t>
      </w:r>
      <w:r>
        <w:t xml:space="preserve">, 56 Or 283 (1910)</w:t>
      </w:r>
      <w:r>
        <w:t xml:space="preserve"> </w:t>
      </w:r>
      <w:r>
        <w:t xml:space="preserve">[@warner-valley-1910]</w:t>
      </w:r>
      <w:r>
        <w:t xml:space="preserve"> </w:t>
      </w:r>
      <w:r>
        <w:t xml:space="preserve">— deeds issued without statutory authority are void on direct attack (deeds within the Board’s jurisdiction are merely voidable and immune from collateral attack); the Land Board is bound by the statutory framework (swamp-lands context). (Propositions verified against the held primary, 2026-06-07; the 1910 rehearing, 108 P. 861, holds general limitations statutes do not run against the State; later proceedings at 68 Or 466 (1914), also held.)</w:t>
      </w:r>
    </w:p>
    <w:p>
      <w:pPr>
        <w:numPr>
          <w:ilvl w:val="1"/>
          <w:numId w:val="1072"/>
        </w:numPr>
        <w:pStyle w:val="Compact"/>
      </w:pPr>
      <w:r>
        <w:rPr>
          <w:i/>
        </w:rPr>
        <w:t xml:space="preserve">Supports:</w:t>
      </w:r>
      <w:r>
        <w:t xml:space="preserve"> </w:t>
      </w:r>
      <w:r>
        <w:t xml:space="preserve">Ch. 3; Ch. 9; Ch. 18.</w:t>
      </w:r>
    </w:p>
    <w:p>
      <w:pPr>
        <w:numPr>
          <w:ilvl w:val="0"/>
          <w:numId w:val="1070"/>
        </w:numPr>
        <w:pStyle w:val="Compact"/>
      </w:pPr>
      <w:r>
        <w:rPr>
          <w:b/>
        </w:rPr>
        <w:t xml:space="preserve">Grand Prize Hydraulic Mines v. Boswell</w:t>
      </w:r>
      <w:r>
        <w:t xml:space="preserve">, 83 Or 1, 6-7 (1917)</w:t>
      </w:r>
      <w:r>
        <w:t xml:space="preserve"> </w:t>
      </w:r>
      <w:r>
        <w:t xml:space="preserve">[@grand-prize-1917]</w:t>
      </w:r>
      <w:r>
        <w:t xml:space="preserve"> </w:t>
      </w:r>
      <w:r>
        <w:t xml:space="preserve">—</w:t>
      </w:r>
      <w:r>
        <w:t xml:space="preserve"> </w:t>
      </w:r>
      <w:r>
        <w:t xml:space="preserve">“</w:t>
      </w:r>
      <w:r>
        <w:t xml:space="preserve">the school lands granted to the State of Oregon are a trust for the benefit of public education</w:t>
      </w:r>
      <w:r>
        <w:t xml:space="preserve">”</w:t>
      </w:r>
      <w:r>
        <w:t xml:space="preserve"> </w:t>
      </w:r>
      <w:r>
        <w:t xml:space="preserve">— under an act that nowhere uses the word</w:t>
      </w:r>
      <w:r>
        <w:t xml:space="preserve"> </w:t>
      </w:r>
      <w:r>
        <w:t xml:space="preserve">“</w:t>
      </w:r>
      <w:r>
        <w:t xml:space="preserve">trust.</w:t>
      </w:r>
      <w:r>
        <w:t xml:space="preserve">”</w:t>
      </w:r>
      <w:r>
        <w:t xml:space="preserve"> </w:t>
      </w:r>
      <w:r>
        <w:t xml:space="preserve">(Quotation and pin verified against the held primary, 2026-06-07;</w:t>
      </w:r>
      <w:r>
        <w:t xml:space="preserve"> </w:t>
      </w:r>
      <w:r>
        <w:t xml:space="preserve">“</w:t>
      </w:r>
      <w:r>
        <w:t xml:space="preserve">State of Oregon</w:t>
      </w:r>
      <w:r>
        <w:t xml:space="preserve">”</w:t>
      </w:r>
      <w:r>
        <w:t xml:space="preserve"> </w:t>
      </w:r>
      <w:r>
        <w:t xml:space="preserve">is capitalized in the original.)</w:t>
      </w:r>
    </w:p>
    <w:p>
      <w:pPr>
        <w:numPr>
          <w:ilvl w:val="1"/>
          <w:numId w:val="1073"/>
        </w:numPr>
        <w:pStyle w:val="Compact"/>
      </w:pPr>
      <w:r>
        <w:rPr>
          <w:i/>
        </w:rPr>
        <w:t xml:space="preserve">Supports:</w:t>
      </w:r>
      <w:r>
        <w:t xml:space="preserve"> </w:t>
      </w:r>
      <w:r>
        <w:t xml:space="preserve">§ 2.4 n.18 (trust without the word — Oregon lead); Ch. 4 (§ 4.5).</w:t>
      </w:r>
    </w:p>
    <w:p>
      <w:pPr>
        <w:numPr>
          <w:ilvl w:val="0"/>
          <w:numId w:val="1070"/>
        </w:numPr>
        <w:pStyle w:val="Compact"/>
      </w:pPr>
      <w:r>
        <w:rPr>
          <w:b/>
        </w:rPr>
        <w:t xml:space="preserve">State Land Board v. Lee</w:t>
      </w:r>
      <w:r>
        <w:t xml:space="preserve">, 84 Or 431 (1917)</w:t>
      </w:r>
      <w:r>
        <w:t xml:space="preserve"> </w:t>
      </w:r>
      <w:r>
        <w:t xml:space="preserve">[@lee-1917]</w:t>
      </w:r>
      <w:r>
        <w:t xml:space="preserve"> </w:t>
      </w:r>
      <w:r>
        <w:t xml:space="preserve">— the state is</w:t>
      </w:r>
      <w:r>
        <w:t xml:space="preserve"> </w:t>
      </w:r>
      <w:r>
        <w:t xml:space="preserve">“</w:t>
      </w:r>
      <w:r>
        <w:t xml:space="preserve">not a mere dry trustee</w:t>
      </w:r>
      <w:r>
        <w:t xml:space="preserve">”</w:t>
      </w:r>
      <w:r>
        <w:t xml:space="preserve"> </w:t>
      </w:r>
      <w:r>
        <w:t xml:space="preserve">(at 441-42; the quoted sentence’s subject is</w:t>
      </w:r>
      <w:r>
        <w:t xml:space="preserve"> </w:t>
      </w:r>
      <w:r>
        <w:t xml:space="preserve">“</w:t>
      </w:r>
      <w:r>
        <w:t xml:space="preserve">the state,</w:t>
      </w:r>
      <w:r>
        <w:t xml:space="preserve">”</w:t>
      </w:r>
      <w:r>
        <w:t xml:space="preserve"> </w:t>
      </w:r>
      <w:r>
        <w:t xml:space="preserve">not the Board); active-trustee classification; the limitations exemption applies to Board administration of the Common School Fund (at 434). (Pin verified against the L0 primary 2026-06-08; the State’s May 13, 2026 MSJ pin (441-42) is correct — an earlier triangulation that placed it at 439 was mistaken.)</w:t>
      </w:r>
    </w:p>
    <w:p>
      <w:pPr>
        <w:numPr>
          <w:ilvl w:val="1"/>
          <w:numId w:val="1074"/>
        </w:numPr>
        <w:pStyle w:val="Compact"/>
      </w:pPr>
      <w:r>
        <w:rPr>
          <w:i/>
        </w:rPr>
        <w:t xml:space="preserve">Supports:</w:t>
      </w:r>
      <w:r>
        <w:t xml:space="preserve"> </w:t>
      </w:r>
      <w:r>
        <w:t xml:space="preserve">Ch. 4 (§§ 4.5, 4.6(c)); Ch. 12.</w:t>
      </w:r>
    </w:p>
    <w:p>
      <w:pPr>
        <w:numPr>
          <w:ilvl w:val="0"/>
          <w:numId w:val="1070"/>
        </w:numPr>
        <w:pStyle w:val="Compact"/>
      </w:pPr>
      <w:r>
        <w:rPr>
          <w:b/>
        </w:rPr>
        <w:t xml:space="preserve">Putnam v. Norblad</w:t>
      </w:r>
      <w:r>
        <w:t xml:space="preserve">, 134 Or 433 (1930)</w:t>
      </w:r>
      <w:r>
        <w:t xml:space="preserve"> </w:t>
      </w:r>
      <w:r>
        <w:t xml:space="preserve">[@putnam-1930]</w:t>
      </w:r>
      <w:r>
        <w:t xml:space="preserve"> </w:t>
      </w:r>
      <w:r>
        <w:t xml:space="preserve">— mandamus/political-question case; the State’s lead justiciability authority in the pending litigation, distinguished in plaintiffs’ briefing as pre-modern doctrine; recognized a ministerial-duty exception. (Parallel cite resolved against the held CAP text, 2026-06-07: 293 P. 940; the MSJ’s</w:t>
      </w:r>
      <w:r>
        <w:t xml:space="preserve"> </w:t>
      </w:r>
      <w:r>
        <w:t xml:space="preserve">“</w:t>
      </w:r>
      <w:r>
        <w:t xml:space="preserve">295 P 949</w:t>
      </w:r>
      <w:r>
        <w:t xml:space="preserve">”</w:t>
      </w:r>
      <w:r>
        <w:t xml:space="preserve"> </w:t>
      </w:r>
      <w:r>
        <w:t xml:space="preserve">is not supported. Bound-volume confirmation recommended before court use.)</w:t>
      </w:r>
    </w:p>
    <w:p>
      <w:pPr>
        <w:numPr>
          <w:ilvl w:val="1"/>
          <w:numId w:val="1075"/>
        </w:numPr>
        <w:pStyle w:val="Compact"/>
      </w:pPr>
      <w:r>
        <w:rPr>
          <w:i/>
        </w:rPr>
        <w:t xml:space="preserve">Supports:</w:t>
      </w:r>
      <w:r>
        <w:t xml:space="preserve"> </w:t>
      </w:r>
      <w:r>
        <w:t xml:space="preserve">Ch. 16 (defense-side statement, at full strength).</w:t>
      </w:r>
    </w:p>
    <w:p>
      <w:pPr>
        <w:numPr>
          <w:ilvl w:val="0"/>
          <w:numId w:val="1070"/>
        </w:numPr>
        <w:pStyle w:val="Compact"/>
      </w:pPr>
      <w:r>
        <w:rPr>
          <w:b/>
        </w:rPr>
        <w:t xml:space="preserve">Eagle Point Irrigation District v. Cowden</w:t>
      </w:r>
      <w:r>
        <w:t xml:space="preserve">, 137 Or 121, 124 (1931)</w:t>
      </w:r>
      <w:r>
        <w:t xml:space="preserve"> </w:t>
      </w:r>
      <w:r>
        <w:t xml:space="preserve">[@eagle-point-1931]</w:t>
      </w:r>
      <w:r>
        <w:t xml:space="preserve"> </w:t>
      </w:r>
      <w:r>
        <w:t xml:space="preserve">— Land Board lending is the</w:t>
      </w:r>
      <w:r>
        <w:t xml:space="preserve"> </w:t>
      </w:r>
      <w:r>
        <w:t xml:space="preserve">“</w:t>
      </w:r>
      <w:r>
        <w:t xml:space="preserve">execution of a trust of the highest nature, which has been created by the fundamental law of this state</w:t>
      </w:r>
      <w:r>
        <w:t xml:space="preserve">”</w:t>
      </w:r>
      <w:r>
        <w:t xml:space="preserve">; transactional fiduciary review of Board loans. The strongest sentence in Oregon school-trust jurisprudence.</w:t>
      </w:r>
    </w:p>
    <w:p>
      <w:pPr>
        <w:numPr>
          <w:ilvl w:val="1"/>
          <w:numId w:val="1076"/>
        </w:numPr>
        <w:pStyle w:val="Compact"/>
      </w:pPr>
      <w:r>
        <w:rPr>
          <w:i/>
        </w:rPr>
        <w:t xml:space="preserve">Supports:</w:t>
      </w:r>
      <w:r>
        <w:t xml:space="preserve"> </w:t>
      </w:r>
      <w:r>
        <w:t xml:space="preserve">Ch. 4 (§ 4.5); Ch. 10; Ch. 12.</w:t>
      </w:r>
    </w:p>
    <w:p>
      <w:pPr>
        <w:numPr>
          <w:ilvl w:val="0"/>
          <w:numId w:val="1070"/>
        </w:numPr>
        <w:pStyle w:val="Compact"/>
      </w:pPr>
      <w:r>
        <w:rPr>
          <w:b/>
        </w:rPr>
        <w:t xml:space="preserve">Wood v. Honeyman</w:t>
      </w:r>
      <w:r>
        <w:t xml:space="preserve">, 178 Or 484, 555-57 (1946)</w:t>
      </w:r>
      <w:r>
        <w:t xml:space="preserve"> </w:t>
      </w:r>
      <w:r>
        <w:t xml:space="preserve">[@wood-1946]</w:t>
      </w:r>
      <w:r>
        <w:t xml:space="preserve"> </w:t>
      </w:r>
      <w:r>
        <w:t xml:space="preserve">— Oregon’s general law of trust: a trustee</w:t>
      </w:r>
      <w:r>
        <w:t xml:space="preserve"> </w:t>
      </w:r>
      <w:r>
        <w:t xml:space="preserve">“</w:t>
      </w:r>
      <w:r>
        <w:t xml:space="preserve">must maintain records of his transactions so complete and accurate that he can show by them his faithfulness to his trust</w:t>
      </w:r>
      <w:r>
        <w:t xml:space="preserve">”</w:t>
      </w:r>
      <w:r>
        <w:t xml:space="preserve"> </w:t>
      </w:r>
      <w:r>
        <w:t xml:space="preserve">(at 555-56), and per Bogert § 962, quoted with approval at 556, a trustee</w:t>
      </w:r>
      <w:r>
        <w:t xml:space="preserve"> </w:t>
      </w:r>
      <w:r>
        <w:t xml:space="preserve">“</w:t>
      </w:r>
      <w:r>
        <w:t xml:space="preserve">is bound to keep clear and accurate accounts, and if he does not the presumptions are all against him, obscurities and doubts being resolved adversely to him.</w:t>
      </w:r>
      <w:r>
        <w:t xml:space="preserve">”</w:t>
      </w:r>
      <w:r>
        <w:t xml:space="preserve"> </w:t>
      </w:r>
      <w:r>
        <w:t xml:space="preserve">(Both quotations re-verified against the full opinion, 2026-06-07; the records passage spans 555-56 and the Bogert passage sits at 556.) The filed May 29, 2026 Response’s named vehicle for the entirety of Oregon’s law of trust. (✅ full opinion in the primary-source archive; G-2 resolved. NOTE 2026-06-07: earlier drafts attributed two Restatement-style quotations to this opinion that the opinion does not contain — corrected here and in Chs. 12/18/20; counsel should re-check the filed Response’s Honeyman quotations.)</w:t>
      </w:r>
    </w:p>
    <w:p>
      <w:pPr>
        <w:numPr>
          <w:ilvl w:val="1"/>
          <w:numId w:val="1077"/>
        </w:numPr>
        <w:pStyle w:val="Compact"/>
      </w:pPr>
      <w:r>
        <w:rPr>
          <w:i/>
        </w:rPr>
        <w:t xml:space="preserve">Supports:</w:t>
      </w:r>
      <w:r>
        <w:t xml:space="preserve"> </w:t>
      </w:r>
      <w:r>
        <w:t xml:space="preserve">Ch. 12 (accounting — lead candidate); Ch. 4.</w:t>
      </w:r>
    </w:p>
    <w:p>
      <w:pPr>
        <w:numPr>
          <w:ilvl w:val="0"/>
          <w:numId w:val="1070"/>
        </w:numPr>
        <w:pStyle w:val="Compact"/>
      </w:pPr>
      <w:r>
        <w:rPr>
          <w:b/>
        </w:rPr>
        <w:t xml:space="preserve">Johnson v. Department of Revenue</w:t>
      </w:r>
      <w:r>
        <w:t xml:space="preserve">, 292 Or 373, 382 (1982)</w:t>
      </w:r>
      <w:r>
        <w:t xml:space="preserve"> </w:t>
      </w:r>
      <w:r>
        <w:t xml:space="preserve">[@johnson-1982]</w:t>
      </w:r>
      <w:r>
        <w:t xml:space="preserve"> </w:t>
      </w:r>
      <w:r>
        <w:t xml:space="preserve">— the constitutional/statutory Common School Fund distinction;</w:t>
      </w:r>
      <w:r>
        <w:t xml:space="preserve"> </w:t>
      </w:r>
      <w:r>
        <w:t xml:space="preserve">“</w:t>
      </w:r>
      <w:r>
        <w:t xml:space="preserve">determination of the proper use of common school funds is a legislative one,</w:t>
      </w:r>
      <w:r>
        <w:t xml:space="preserve">”</w:t>
      </w:r>
      <w:r>
        <w:t xml:space="preserve"> </w:t>
      </w:r>
      <w:r>
        <w:t xml:space="preserve">while the same passage imposes the duty</w:t>
      </w:r>
      <w:r>
        <w:t xml:space="preserve"> </w:t>
      </w:r>
      <w:r>
        <w:t xml:space="preserve">“</w:t>
      </w:r>
      <w:r>
        <w:t xml:space="preserve">to derive the greatest net profit for the people of this state.</w:t>
      </w:r>
      <w:r>
        <w:t xml:space="preserve">”</w:t>
      </w:r>
      <w:r>
        <w:t xml:space="preserve"> </w:t>
      </w:r>
      <w:r>
        <w:t xml:space="preserve">Both halves matter: the State’s MSJ quotes the first and omits the second (per the litigation annotations; both quotations and the 382 pin verified against the held primary and</w:t>
      </w:r>
      <w:r>
        <w:t xml:space="preserve"> </w:t>
      </w:r>
      <w:r>
        <w:rPr>
          <w:i/>
        </w:rPr>
        <w:t xml:space="preserve">Cascadia</w:t>
      </w:r>
      <w:r>
        <w:t xml:space="preserve">’s quotation of the same passage at 292 Or at 382, 2026-06-07).</w:t>
      </w:r>
    </w:p>
    <w:p>
      <w:pPr>
        <w:numPr>
          <w:ilvl w:val="1"/>
          <w:numId w:val="1078"/>
        </w:numPr>
        <w:pStyle w:val="Compact"/>
      </w:pPr>
      <w:r>
        <w:rPr>
          <w:i/>
        </w:rPr>
        <w:t xml:space="preserve">Supports:</w:t>
      </w:r>
      <w:r>
        <w:t xml:space="preserve"> </w:t>
      </w:r>
      <w:r>
        <w:t xml:space="preserve">Ch. 4 (§§ 4.5, 4.7); Ch. 7; Ch. 8.</w:t>
      </w:r>
    </w:p>
    <w:p>
      <w:pPr>
        <w:numPr>
          <w:ilvl w:val="0"/>
          <w:numId w:val="1070"/>
        </w:numPr>
        <w:pStyle w:val="Compact"/>
      </w:pPr>
      <w:r>
        <w:rPr>
          <w:b/>
        </w:rPr>
        <w:t xml:space="preserve">Pendleton School District 16R v. State</w:t>
      </w:r>
      <w:r>
        <w:t xml:space="preserve">, 345 Or 596, 609-10 (2009)</w:t>
      </w:r>
      <w:r>
        <w:t xml:space="preserve"> </w:t>
      </w:r>
      <w:r>
        <w:t xml:space="preserve">[@pendleton-2009]</w:t>
      </w:r>
      <w:r>
        <w:t xml:space="preserve"> </w:t>
      </w:r>
      <w:r>
        <w:t xml:space="preserve">— courts may (and, following</w:t>
      </w:r>
      <w:r>
        <w:t xml:space="preserve"> </w:t>
      </w:r>
      <w:r>
        <w:rPr>
          <w:i/>
        </w:rPr>
        <w:t xml:space="preserve">Marbury</w:t>
      </w:r>
      <w:r>
        <w:t xml:space="preserve">, must) declare legislative non-compliance with Article VIII school-funding obligations. Siuslaw 97J — lead plaintiff in the pending 24CV38372 — was a</w:t>
      </w:r>
      <w:r>
        <w:t xml:space="preserve"> </w:t>
      </w:r>
      <w:r>
        <w:rPr>
          <w:i/>
        </w:rPr>
        <w:t xml:space="preserve">Pendleton</w:t>
      </w:r>
      <w:r>
        <w:t xml:space="preserve"> </w:t>
      </w:r>
      <w:r>
        <w:t xml:space="preserve">plaintiff.</w:t>
      </w:r>
    </w:p>
    <w:p>
      <w:pPr>
        <w:numPr>
          <w:ilvl w:val="1"/>
          <w:numId w:val="1079"/>
        </w:numPr>
        <w:pStyle w:val="Compact"/>
      </w:pPr>
      <w:r>
        <w:rPr>
          <w:i/>
        </w:rPr>
        <w:t xml:space="preserve">Supports:</w:t>
      </w:r>
      <w:r>
        <w:t xml:space="preserve"> </w:t>
      </w:r>
      <w:r>
        <w:t xml:space="preserve">Ch. 16 (justiciability — lead case candidate); Ch. 13.</w:t>
      </w:r>
    </w:p>
    <w:p>
      <w:pPr>
        <w:numPr>
          <w:ilvl w:val="0"/>
          <w:numId w:val="1070"/>
        </w:numPr>
        <w:pStyle w:val="Compact"/>
      </w:pPr>
      <w:r>
        <w:rPr>
          <w:b/>
        </w:rPr>
        <w:t xml:space="preserve">Comcast of Oregon II, Inc. v. City of Eugene</w:t>
      </w:r>
      <w:r>
        <w:t xml:space="preserve">, 346 Or 238, 249-50 (2009)</w:t>
      </w:r>
      <w:r>
        <w:t xml:space="preserve"> </w:t>
      </w:r>
      <w:r>
        <w:t xml:space="preserve">[@comcast-2009]</w:t>
      </w:r>
      <w:r>
        <w:t xml:space="preserve"> </w:t>
      </w:r>
      <w:r>
        <w:t xml:space="preserve">—</w:t>
      </w:r>
      <w:r>
        <w:t xml:space="preserve"> </w:t>
      </w:r>
      <w:r>
        <w:t xml:space="preserve">“</w:t>
      </w:r>
      <w:r>
        <w:t xml:space="preserve">a public body’s act of adopting a law or rule in violation of an applicable procedural or substantive requirement is not a tort under ORS 30.260(8).</w:t>
      </w:r>
      <w:r>
        <w:t xml:space="preserve">”</w:t>
      </w:r>
      <w:r>
        <w:t xml:space="preserve"> </w:t>
      </w:r>
      <w:r>
        <w:t xml:space="preserve">Controlling on Tort Claims Act recharacterization. (Quotation verified against the held primary, 2026-06-07; the passage spans 249-50.)</w:t>
      </w:r>
    </w:p>
    <w:p>
      <w:pPr>
        <w:numPr>
          <w:ilvl w:val="1"/>
          <w:numId w:val="1080"/>
        </w:numPr>
        <w:pStyle w:val="Compact"/>
      </w:pPr>
      <w:r>
        <w:rPr>
          <w:i/>
        </w:rPr>
        <w:t xml:space="preserve">Supports:</w:t>
      </w:r>
      <w:r>
        <w:t xml:space="preserve"> </w:t>
      </w:r>
      <w:r>
        <w:t xml:space="preserve">Ch. 17 (the recharacterization problem — lead case).</w:t>
      </w:r>
    </w:p>
    <w:p>
      <w:pPr>
        <w:numPr>
          <w:ilvl w:val="0"/>
          <w:numId w:val="1070"/>
        </w:numPr>
        <w:pStyle w:val="Compact"/>
      </w:pPr>
      <w:r>
        <w:rPr>
          <w:b/>
        </w:rPr>
        <w:t xml:space="preserve">Couey v. Atkins</w:t>
      </w:r>
      <w:r>
        <w:t xml:space="preserve">, 357 Or 460 (2015)</w:t>
      </w:r>
      <w:r>
        <w:t xml:space="preserve"> </w:t>
      </w:r>
      <w:r>
        <w:t xml:space="preserve">[@couey-2015]</w:t>
      </w:r>
      <w:r>
        <w:t xml:space="preserve"> </w:t>
      </w:r>
      <w:r>
        <w:t xml:space="preserve">— initiative-petition mootness case (ORS 14.175), not a school-trust case; overruled</w:t>
      </w:r>
      <w:r>
        <w:t xml:space="preserve"> </w:t>
      </w:r>
      <w:r>
        <w:rPr>
          <w:i/>
        </w:rPr>
        <w:t xml:space="preserve">Yancy v. Shatzer</w:t>
      </w:r>
      <w:r>
        <w:t xml:space="preserve"> </w:t>
      </w:r>
      <w:r>
        <w:t xml:space="preserve">(2004) and held Oregon’s constitutional</w:t>
      </w:r>
      <w:r>
        <w:t xml:space="preserve"> </w:t>
      </w:r>
      <w:r>
        <w:t xml:space="preserve">“</w:t>
      </w:r>
      <w:r>
        <w:t xml:space="preserve">judicial power</w:t>
      </w:r>
      <w:r>
        <w:t xml:space="preserve">”</w:t>
      </w:r>
      <w:r>
        <w:t xml:space="preserve"> </w:t>
      </w:r>
      <w:r>
        <w:t xml:space="preserve">clause imposes no federal-style case-or-controversy or mootness limits — eliminating any constitutional-floor argument against hearing public-interest trust claims.</w:t>
      </w:r>
    </w:p>
    <w:p>
      <w:pPr>
        <w:numPr>
          <w:ilvl w:val="1"/>
          <w:numId w:val="1081"/>
        </w:numPr>
        <w:pStyle w:val="Compact"/>
      </w:pPr>
      <w:r>
        <w:rPr>
          <w:i/>
        </w:rPr>
        <w:t xml:space="preserve">Supports:</w:t>
      </w:r>
      <w:r>
        <w:t xml:space="preserve"> </w:t>
      </w:r>
      <w:r>
        <w:t xml:space="preserve">Ch. 16.</w:t>
      </w:r>
    </w:p>
    <w:p>
      <w:pPr>
        <w:numPr>
          <w:ilvl w:val="0"/>
          <w:numId w:val="1070"/>
        </w:numPr>
        <w:pStyle w:val="Compact"/>
      </w:pPr>
      <w:r>
        <w:rPr>
          <w:b/>
        </w:rPr>
        <w:t xml:space="preserve">Moro v. State</w:t>
      </w:r>
      <w:r>
        <w:t xml:space="preserve">, 357 Or 167 (2015)</w:t>
      </w:r>
      <w:r>
        <w:t xml:space="preserve"> </w:t>
      </w:r>
      <w:r>
        <w:t xml:space="preserve">[@moro-2015]</w:t>
      </w:r>
      <w:r>
        <w:t xml:space="preserve">;</w:t>
      </w:r>
      <w:r>
        <w:t xml:space="preserve"> </w:t>
      </w:r>
      <w:r>
        <w:rPr>
          <w:b/>
        </w:rPr>
        <w:t xml:space="preserve">Strunk v. PERB</w:t>
      </w:r>
      <w:r>
        <w:t xml:space="preserve">, 338 Or 145 (2005)</w:t>
      </w:r>
      <w:r>
        <w:t xml:space="preserve"> </w:t>
      </w:r>
      <w:r>
        <w:t xml:space="preserve">[@strunk-2005]</w:t>
      </w:r>
      <w:r>
        <w:t xml:space="preserve">;</w:t>
      </w:r>
      <w:r>
        <w:t xml:space="preserve"> </w:t>
      </w:r>
      <w:r>
        <w:rPr>
          <w:b/>
        </w:rPr>
        <w:t xml:space="preserve">James v. State</w:t>
      </w:r>
      <w:r>
        <w:t xml:space="preserve">, 366 Or 732 (2020)</w:t>
      </w:r>
      <w:r>
        <w:t xml:space="preserve"> </w:t>
      </w:r>
      <w:r>
        <w:t xml:space="preserve">[@james-2020]</w:t>
      </w:r>
      <w:r>
        <w:t xml:space="preserve"> </w:t>
      </w:r>
      <w:r>
        <w:t xml:space="preserve">— the anti-entrenchment doctrine (the State’s position), with its recognized exceptions (statutory contracts; federal-law obligations) — the opening plaintiffs’ briefing uses. (Moro and Strunk primaries held; the anti-entrenchment quotation verified 2026-06-07 — Moro quotes Strunk, 338 Or at 171, in turn quoting</w:t>
      </w:r>
      <w:r>
        <w:t xml:space="preserve"> </w:t>
      </w:r>
      <w:r>
        <w:rPr>
          <w:i/>
        </w:rPr>
        <w:t xml:space="preserve">Campbell v. Aldrich</w:t>
      </w:r>
      <w:r>
        <w:t xml:space="preserve">, 159 Or 208, 213-14 (1938).)</w:t>
      </w:r>
    </w:p>
    <w:p>
      <w:pPr>
        <w:numPr>
          <w:ilvl w:val="1"/>
          <w:numId w:val="1082"/>
        </w:numPr>
        <w:pStyle w:val="Compact"/>
      </w:pPr>
      <w:r>
        <w:rPr>
          <w:i/>
        </w:rPr>
        <w:t xml:space="preserve">Supports:</w:t>
      </w:r>
      <w:r>
        <w:t xml:space="preserve"> </w:t>
      </w:r>
      <w:r>
        <w:t xml:space="preserve">Ch. 4 (§ 4.7(2)); Ch. 17.</w:t>
      </w:r>
    </w:p>
    <w:p>
      <w:pPr>
        <w:numPr>
          <w:ilvl w:val="0"/>
          <w:numId w:val="1070"/>
        </w:numPr>
        <w:pStyle w:val="Compact"/>
      </w:pPr>
      <w:r>
        <w:rPr>
          <w:b/>
        </w:rPr>
        <w:t xml:space="preserve">Cascadia Wildlands v. Department of State Lands</w:t>
      </w:r>
      <w:r>
        <w:t xml:space="preserve">, 365 Or 750 (2019)</w:t>
      </w:r>
      <w:r>
        <w:t xml:space="preserve"> </w:t>
      </w:r>
      <w:r>
        <w:t xml:space="preserve">[@cascadia-2019]</w:t>
      </w:r>
      <w:r>
        <w:t xml:space="preserve"> </w:t>
      </w:r>
      <w:r>
        <w:t xml:space="preserve">—</w:t>
      </w:r>
      <w:r>
        <w:t xml:space="preserve"> </w:t>
      </w:r>
      <w:r>
        <w:t xml:space="preserve">“</w:t>
      </w:r>
      <w:r>
        <w:t xml:space="preserve">Under the Admission Act, the state is the trustee of the lands granted to it</w:t>
      </w:r>
      <w:r>
        <w:t xml:space="preserve">”</w:t>
      </w:r>
      <w:r>
        <w:t xml:space="preserve"> </w:t>
      </w:r>
      <w:r>
        <w:t xml:space="preserve">(758); no</w:t>
      </w:r>
      <w:r>
        <w:t xml:space="preserve"> </w:t>
      </w:r>
      <w:r>
        <w:t xml:space="preserve">“</w:t>
      </w:r>
      <w:r>
        <w:t xml:space="preserve">core function</w:t>
      </w:r>
      <w:r>
        <w:t xml:space="preserve">”</w:t>
      </w:r>
      <w:r>
        <w:t xml:space="preserve"> </w:t>
      </w:r>
      <w:r>
        <w:t xml:space="preserve">of revenue maximization invalidating a withdrawal statute, BUT</w:t>
      </w:r>
      <w:r>
        <w:t xml:space="preserve"> </w:t>
      </w:r>
      <w:r>
        <w:t xml:space="preserve">“</w:t>
      </w:r>
      <w:r>
        <w:t xml:space="preserve">the</w:t>
      </w:r>
      <w:r>
        <w:t xml:space="preserve"> </w:t>
      </w:r>
      <w:r>
        <w:t xml:space="preserve">‘</w:t>
      </w:r>
      <w:r>
        <w:t xml:space="preserve">greatest benefit</w:t>
      </w:r>
      <w:r>
        <w:t xml:space="preserve">’</w:t>
      </w:r>
      <w:r>
        <w:t xml:space="preserve"> </w:t>
      </w:r>
      <w:r>
        <w:t xml:space="preserve">mandate may require the State Land Board to maximize net profit, for example, by obtaining the best price for the authorized sale of timber</w:t>
      </w:r>
      <w:r>
        <w:t xml:space="preserve">”</w:t>
      </w:r>
      <w:r>
        <w:t xml:space="preserve"> </w:t>
      </w:r>
      <w:r>
        <w:t xml:space="preserve">(766). Cites the</w:t>
      </w:r>
      <w:r>
        <w:t xml:space="preserve"> </w:t>
      </w:r>
      <w:r>
        <w:rPr>
          <w:i/>
        </w:rPr>
        <w:t xml:space="preserve">Andrus v. Utah</w:t>
      </w:r>
      <w:r>
        <w:t xml:space="preserve"> </w:t>
      </w:r>
      <w:r>
        <w:t xml:space="preserve">Powell-dissent compact formulation approvingly at 752 n.1. Fully annotated in the litigation corpus (ten State uses tiered fair/misleading/wrong). (All quotations verified against the full L0 opinion, 2026-06-10; pins confirmed — trustee sentence</w:t>
      </w:r>
      <w:r>
        <w:t xml:space="preserve"> </w:t>
      </w:r>
      <w:r>
        <w:rPr>
          <w:i/>
        </w:rPr>
        <w:t xml:space="preserve">758,</w:t>
      </w:r>
      <w:r>
        <w:rPr>
          <w:i/>
        </w:rPr>
        <w:t xml:space="preserve"> </w:t>
      </w:r>
      <w:r>
        <w:rPr>
          <w:i/>
        </w:rPr>
        <w:t xml:space="preserve">“</w:t>
      </w:r>
      <w:r>
        <w:rPr>
          <w:i/>
        </w:rPr>
        <w:t xml:space="preserve">held in trust for the people of Oregon</w:t>
      </w:r>
      <w:r>
        <w:rPr>
          <w:i/>
        </w:rPr>
        <w:t xml:space="preserve">”</w:t>
      </w:r>
      <w:r>
        <w:rPr>
          <w:i/>
        </w:rPr>
        <w:t xml:space="preserve"> </w:t>
      </w:r>
      <w:r>
        <w:t xml:space="preserve">763, the</w:t>
      </w:r>
      <w:r>
        <w:t xml:space="preserve"> </w:t>
      </w:r>
      <w:r>
        <w:rPr>
          <w:i/>
        </w:rPr>
        <w:t xml:space="preserve">Johnson</w:t>
      </w:r>
      <w:r>
        <w:t xml:space="preserve"> </w:t>
      </w:r>
      <w:r>
        <w:t xml:space="preserve">blockquote</w:t>
      </w:r>
      <w:r>
        <w:t xml:space="preserve"> </w:t>
      </w:r>
      <w:r>
        <w:rPr>
          <w:i/>
        </w:rPr>
        <w:t xml:space="preserve">764, core-function and greatest-benefit passages</w:t>
      </w:r>
      <w:r>
        <w:rPr>
          <w:i/>
        </w:rPr>
        <w:t xml:space="preserve"> </w:t>
      </w:r>
      <w:r>
        <w:t xml:space="preserve">765-66, Powell-compact footnote at n.1.)</w:t>
      </w:r>
    </w:p>
    <w:p>
      <w:pPr>
        <w:numPr>
          <w:ilvl w:val="1"/>
          <w:numId w:val="1083"/>
        </w:numPr>
        <w:pStyle w:val="Compact"/>
      </w:pPr>
      <w:r>
        <w:rPr>
          <w:i/>
        </w:rPr>
        <w:t xml:space="preserve">Supports:</w:t>
      </w:r>
      <w:r>
        <w:t xml:space="preserve"> </w:t>
      </w:r>
      <w:r>
        <w:t xml:space="preserve">Ch. 4 (§§ 4.5, 4.7 — both sides argue from this case); Ch. 7.</w:t>
      </w:r>
    </w:p>
    <w:p>
      <w:pPr>
        <w:numPr>
          <w:ilvl w:val="0"/>
          <w:numId w:val="1070"/>
        </w:numPr>
        <w:pStyle w:val="Compact"/>
      </w:pPr>
      <w:r>
        <w:rPr>
          <w:b/>
        </w:rPr>
        <w:t xml:space="preserve">Chernaik v. Brown</w:t>
      </w:r>
      <w:r>
        <w:t xml:space="preserve">, 367 Or 143, 156 (2020)</w:t>
      </w:r>
      <w:r>
        <w:t xml:space="preserve"> </w:t>
      </w:r>
      <w:r>
        <w:t xml:space="preserve">[@chernaik-2020]</w:t>
      </w:r>
      <w:r>
        <w:t xml:space="preserve"> </w:t>
      </w:r>
      <w:r>
        <w:t xml:space="preserve">— Oregon’s sovereign-title Public Trust Doctrine case; the contrast case distinguishing the federal direct-grant trust (filed Response, Section D, pairing</w:t>
      </w:r>
      <w:r>
        <w:t xml:space="preserve"> </w:t>
      </w:r>
      <w:r>
        <w:rPr>
          <w:i/>
        </w:rPr>
        <w:t xml:space="preserve">Wilcox v. Jackson</w:t>
      </w:r>
      <w:r>
        <w:t xml:space="preserve"> </w:t>
      </w:r>
      <w:r>
        <w:t xml:space="preserve">and</w:t>
      </w:r>
      <w:r>
        <w:t xml:space="preserve"> </w:t>
      </w:r>
      <w:r>
        <w:rPr>
          <w:i/>
        </w:rPr>
        <w:t xml:space="preserve">Corvallis Sand &amp; Gravel</w:t>
      </w:r>
      <w:r>
        <w:t xml:space="preserve">). (Primary held 2026-06-06; characterization verified; pin carried per the briefing record.)</w:t>
      </w:r>
    </w:p>
    <w:p>
      <w:pPr>
        <w:numPr>
          <w:ilvl w:val="1"/>
          <w:numId w:val="1084"/>
        </w:numPr>
        <w:pStyle w:val="Compact"/>
      </w:pPr>
      <w:r>
        <w:rPr>
          <w:i/>
        </w:rPr>
        <w:t xml:space="preserve">Supports:</w:t>
      </w:r>
      <w:r>
        <w:t xml:space="preserve"> </w:t>
      </w:r>
      <w:r>
        <w:t xml:space="preserve">Ch. 5 (two capacities;</w:t>
      </w:r>
      <w:r>
        <w:t xml:space="preserve"> </w:t>
      </w:r>
      <w:r>
        <w:t xml:space="preserve">“</w:t>
      </w:r>
      <w:r>
        <w:t xml:space="preserve">trust land is not state land</w:t>
      </w:r>
      <w:r>
        <w:t xml:space="preserve">”</w:t>
      </w:r>
      <w:r>
        <w:t xml:space="preserve"> </w:t>
      </w:r>
      <w:r>
        <w:t xml:space="preserve">from the Oregon direction).</w:t>
      </w:r>
    </w:p>
    <w:p>
      <w:pPr>
        <w:pStyle w:val="Heading3"/>
      </w:pPr>
      <w:bookmarkStart w:id="835" w:name="oregon-court-of-appeals"/>
      <w:r>
        <w:t xml:space="preserve">Oregon Court of Appeals</w:t>
      </w:r>
      <w:bookmarkEnd w:id="835"/>
    </w:p>
    <w:p>
      <w:pPr>
        <w:numPr>
          <w:ilvl w:val="0"/>
          <w:numId w:val="1085"/>
        </w:numPr>
        <w:pStyle w:val="Compact"/>
      </w:pPr>
      <w:r>
        <w:rPr>
          <w:b/>
        </w:rPr>
        <w:t xml:space="preserve">Advocates for School Trust Lands v. State</w:t>
      </w:r>
      <w:r>
        <w:t xml:space="preserve">, 346 Or App 668 (2026)</w:t>
      </w:r>
      <w:r>
        <w:t xml:space="preserve"> </w:t>
      </w:r>
      <w:r>
        <w:t xml:space="preserve">[@advocates-2026]</w:t>
      </w:r>
      <w:r>
        <w:t xml:space="preserve"> </w:t>
      </w:r>
      <w:r>
        <w:t xml:space="preserve">(Jan. 28, 2026) — schoolchildren-beneficiary standing recognized under Article VIII; challenges to the validity of laws are not torts subject to the Oregon Tort Claims Act (684 n.9</w:t>
      </w:r>
      <w:r>
        <w:t xml:space="preserve"> </w:t>
      </w:r>
      <w:r>
        <w:rPr>
          <w:i/>
        </w:rPr>
        <w:t xml:space="preserve">remanded</w:t>
      </w:r>
      <w:r>
        <w:t xml:space="preserve"> </w:t>
      </w:r>
      <w:r>
        <w:t xml:space="preserve">the lawmaking question; it did not hold against plaintiffs). The State’s petition for Supreme Court review is pending [VERIFY current status]. Note for the comparative chapters: this is Oregon catching up to sister-state standing doctrine, not a national first.</w:t>
      </w:r>
    </w:p>
    <w:p>
      <w:pPr>
        <w:numPr>
          <w:ilvl w:val="1"/>
          <w:numId w:val="1086"/>
        </w:numPr>
        <w:pStyle w:val="Compact"/>
      </w:pPr>
      <w:r>
        <w:rPr>
          <w:i/>
        </w:rPr>
        <w:t xml:space="preserve">Supports:</w:t>
      </w:r>
      <w:r>
        <w:t xml:space="preserve"> </w:t>
      </w:r>
      <w:r>
        <w:t xml:space="preserve">Ch. 13 (beneficiary standing — lead modern case); Ch. 17.</w:t>
      </w:r>
    </w:p>
    <w:p>
      <w:pPr>
        <w:numPr>
          <w:ilvl w:val="0"/>
          <w:numId w:val="1085"/>
        </w:numPr>
        <w:pStyle w:val="Compact"/>
      </w:pPr>
      <w:r>
        <w:rPr>
          <w:b/>
        </w:rPr>
        <w:t xml:space="preserve">Hanggi v. Hartford Fire Ins. Co.</w:t>
      </w:r>
      <w:r>
        <w:t xml:space="preserve">, 132 Or App 601 (1995), rev. dismissed as improvidently granted, 322 Or 573 (1996)</w:t>
      </w:r>
      <w:r>
        <w:t xml:space="preserve"> </w:t>
      </w:r>
      <w:r>
        <w:t xml:space="preserve">[@hanggi-1995]</w:t>
      </w:r>
      <w:r>
        <w:t xml:space="preserve"> </w:t>
      </w:r>
      <w:r>
        <w:t xml:space="preserve">— statutory-trust (PERF) fiduciary breach treated as an OTCA tort; the State’s anchor authority, distinguished by</w:t>
      </w:r>
      <w:r>
        <w:t xml:space="preserve"> </w:t>
      </w:r>
      <w:r>
        <w:rPr>
          <w:i/>
        </w:rPr>
        <w:t xml:space="preserve">Advocates</w:t>
      </w:r>
      <w:r>
        <w:t xml:space="preserve">/</w:t>
      </w:r>
      <w:r>
        <w:rPr>
          <w:i/>
        </w:rPr>
        <w:t xml:space="preserve">Comcast</w:t>
      </w:r>
      <w:r>
        <w:t xml:space="preserve">.</w:t>
      </w:r>
    </w:p>
    <w:p>
      <w:pPr>
        <w:numPr>
          <w:ilvl w:val="1"/>
          <w:numId w:val="1087"/>
        </w:numPr>
        <w:pStyle w:val="Compact"/>
      </w:pPr>
      <w:r>
        <w:rPr>
          <w:i/>
        </w:rPr>
        <w:t xml:space="preserve">Supports:</w:t>
      </w:r>
      <w:r>
        <w:t xml:space="preserve"> </w:t>
      </w:r>
      <w:r>
        <w:t xml:space="preserve">Ch. 17 (defense-side statement).</w:t>
      </w:r>
    </w:p>
    <w:p>
      <w:pPr>
        <w:pStyle w:val="Heading3"/>
      </w:pPr>
      <w:bookmarkStart w:id="836" w:name="X9a5fe7442e18e742cceb95fb07ff0a2765a70e3"/>
      <w:r>
        <w:t xml:space="preserve">Attorney General opinions (the most complete state AG survey in the corpus)</w:t>
      </w:r>
      <w:bookmarkEnd w:id="836"/>
    </w:p>
    <w:p>
      <w:pPr>
        <w:pStyle w:val="FirstParagraph"/>
      </w:pPr>
      <w:r>
        <w:t xml:space="preserve">Held in the primary-source archive (selection; full catalog in the Library’s authorities register § 4.1):</w:t>
      </w:r>
      <w:r>
        <w:t xml:space="preserve"> </w:t>
      </w:r>
      <w:r>
        <w:t xml:space="preserve">-</w:t>
      </w:r>
      <w:r>
        <w:t xml:space="preserve"> </w:t>
      </w:r>
      <w:r>
        <w:rPr>
          <w:b/>
        </w:rPr>
        <w:t xml:space="preserve">46 Op Atty Gen 468 (Op 8223) (1992)</w:t>
      </w:r>
      <w:r>
        <w:t xml:space="preserve"> </w:t>
      </w:r>
      <w:r>
        <w:t xml:space="preserve">[@ag-or-8223-1992]</w:t>
      </w:r>
      <w:r>
        <w:t xml:space="preserve"> </w:t>
      </w:r>
      <w:r>
        <w:t xml:space="preserve">— the strict-fiduciary landmark: Admission Act and Article VIII obligations are binding fiduciary obligations —</w:t>
      </w:r>
      <w:r>
        <w:t xml:space="preserve"> </w:t>
      </w:r>
      <w:r>
        <w:t xml:space="preserve">“</w:t>
      </w:r>
      <w:r>
        <w:t xml:space="preserve">The obligations are binding. They cannot be disregarded.</w:t>
      </w:r>
      <w:r>
        <w:t xml:space="preserve">”</w:t>
      </w:r>
      <w:r>
        <w:t xml:space="preserve"> </w:t>
      </w:r>
      <w:r>
        <w:t xml:space="preserve">Signatory confirmed against the held L0 primary:</w:t>
      </w:r>
      <w:r>
        <w:t xml:space="preserve"> </w:t>
      </w:r>
      <w:r>
        <w:rPr>
          <w:b/>
        </w:rPr>
        <w:t xml:space="preserve">Charles S. Crookham, Attorney General</w:t>
      </w:r>
      <w:r>
        <w:t xml:space="preserve"> </w:t>
      </w:r>
      <w:r>
        <w:t xml:space="preserve">(Op 8223, July 24, 1992); the</w:t>
      </w:r>
      <w:r>
        <w:t xml:space="preserve"> </w:t>
      </w:r>
      <w:r>
        <w:t xml:space="preserve">“</w:t>
      </w:r>
      <w:r>
        <w:t xml:space="preserve">Frohnmayer</w:t>
      </w:r>
      <w:r>
        <w:t xml:space="preserve">”</w:t>
      </w:r>
      <w:r>
        <w:t xml:space="preserve"> </w:t>
      </w:r>
      <w:r>
        <w:t xml:space="preserve">attribution carried elsewhere in project files is incorrect (Frohnmayer had left office by 1992). → Ch. 4 (§ 4.5); Ch. 7; Ch. 14.</w:t>
      </w:r>
      <w:r>
        <w:t xml:space="preserve"> </w:t>
      </w:r>
      <w:r>
        <w:t xml:space="preserve">-</w:t>
      </w:r>
      <w:r>
        <w:t xml:space="preserve"> </w:t>
      </w:r>
      <w:r>
        <w:rPr>
          <w:b/>
        </w:rPr>
        <w:t xml:space="preserve">43 Op Atty Gen 140 (Op 8135) (1983)</w:t>
      </w:r>
      <w:r>
        <w:t xml:space="preserve"> </w:t>
      </w:r>
      <w:r>
        <w:t xml:space="preserve">[@ag-or-8135-1983]</w:t>
      </w:r>
      <w:r>
        <w:t xml:space="preserve"> </w:t>
      </w:r>
      <w:r>
        <w:t xml:space="preserve">— the CSF</w:t>
      </w:r>
      <w:r>
        <w:t xml:space="preserve"> </w:t>
      </w:r>
      <w:r>
        <w:t xml:space="preserve">“</w:t>
      </w:r>
      <w:r>
        <w:t xml:space="preserve">is a trust which must be invested … only in such manner as will obtain the maximum financial benefit over time to the fund.</w:t>
      </w:r>
      <w:r>
        <w:t xml:space="preserve">”</w:t>
      </w:r>
      <w:r>
        <w:t xml:space="preserve"> </w:t>
      </w:r>
      <w:r>
        <w:t xml:space="preserve">→ Ch. 7 (lead AG authority).</w:t>
      </w:r>
      <w:r>
        <w:t xml:space="preserve"> </w:t>
      </w:r>
      <w:r>
        <w:t xml:space="preserve">-</w:t>
      </w:r>
      <w:r>
        <w:t xml:space="preserve"> </w:t>
      </w:r>
      <w:r>
        <w:rPr>
          <w:b/>
        </w:rPr>
        <w:t xml:space="preserve">37 Op Atty Gen 569 (1975)</w:t>
      </w:r>
      <w:r>
        <w:t xml:space="preserve"> </w:t>
      </w:r>
      <w:r>
        <w:t xml:space="preserve">[@ag-or-37-569-1975]</w:t>
      </w:r>
      <w:r>
        <w:t xml:space="preserve"> </w:t>
      </w:r>
      <w:r>
        <w:t xml:space="preserve">— fiduciary duty to obtain full market value on Common School Forest timber; not subordinate to other policy goals. → Ch. 7; Ch. 9.</w:t>
      </w:r>
      <w:r>
        <w:t xml:space="preserve"> </w:t>
      </w:r>
      <w:r>
        <w:t xml:space="preserve">-</w:t>
      </w:r>
      <w:r>
        <w:t xml:space="preserve"> </w:t>
      </w:r>
      <w:r>
        <w:rPr>
          <w:b/>
        </w:rPr>
        <w:t xml:space="preserve">38 Op Atty Gen 850 (Op 7450) (1977)</w:t>
      </w:r>
      <w:r>
        <w:t xml:space="preserve"> </w:t>
      </w:r>
      <w:r>
        <w:t xml:space="preserve">[@ag-or-7450-1977]</w:t>
      </w:r>
      <w:r>
        <w:t xml:space="preserve"> </w:t>
      </w:r>
      <w:r>
        <w:t xml:space="preserve">— non-commercial designations permitted only if they do not diminish the CSF contribution. → Ch. 6; Ch. 7.</w:t>
      </w:r>
      <w:r>
        <w:t xml:space="preserve"> </w:t>
      </w:r>
      <w:r>
        <w:t xml:space="preserve">- Identified, not yet pulled (pre-1997 set, Register § 4.2), including 23 Op Atty Gen 400 (1948)</w:t>
      </w:r>
      <w:r>
        <w:t xml:space="preserve"> </w:t>
      </w:r>
      <w:r>
        <w:t xml:space="preserve">[@ag-or-23-400-1948]</w:t>
      </w:r>
      <w:r>
        <w:t xml:space="preserve"> </w:t>
      </w:r>
      <w:r>
        <w:t xml:space="preserve">(cited in</w:t>
      </w:r>
      <w:r>
        <w:t xml:space="preserve"> </w:t>
      </w:r>
      <w:r>
        <w:rPr>
          <w:i/>
        </w:rPr>
        <w:t xml:space="preserve">Johnson</w:t>
      </w:r>
      <w:r>
        <w:t xml:space="preserve">) and 32 Op Atty Gen 100 (1964)</w:t>
      </w:r>
      <w:r>
        <w:t xml:space="preserve"> </w:t>
      </w:r>
      <w:r>
        <w:t xml:space="preserve">[@ag-or-32-100-1964]</w:t>
      </w:r>
      <w:r>
        <w:t xml:space="preserve"> </w:t>
      </w:r>
      <w:r>
        <w:t xml:space="preserve">(cited in</w:t>
      </w:r>
      <w:r>
        <w:t xml:space="preserve"> </w:t>
      </w:r>
      <w:r>
        <w:rPr>
          <w:i/>
        </w:rPr>
        <w:t xml:space="preserve">Cascadia</w:t>
      </w:r>
      <w:r>
        <w:t xml:space="preserve">) — both load-bearing. [VERIFY on pull.]</w:t>
      </w:r>
    </w:p>
    <w:p>
      <w:pPr>
        <w:pStyle w:val="Heading3"/>
      </w:pPr>
      <w:bookmarkStart w:id="837" w:name="federal-cases-on-the-oregon-grant"/>
      <w:r>
        <w:t xml:space="preserve">Federal cases on the Oregon grant</w:t>
      </w:r>
      <w:bookmarkEnd w:id="837"/>
    </w:p>
    <w:p>
      <w:pPr>
        <w:numPr>
          <w:ilvl w:val="0"/>
          <w:numId w:val="1088"/>
        </w:numPr>
        <w:pStyle w:val="Compact"/>
      </w:pPr>
      <w:r>
        <w:rPr>
          <w:b/>
        </w:rPr>
        <w:t xml:space="preserve">United States v. Morrison</w:t>
      </w:r>
      <w:r>
        <w:t xml:space="preserve">, 240 U.S. 192, 205 (1916)</w:t>
      </w:r>
      <w:r>
        <w:t xml:space="preserve"> </w:t>
      </w:r>
      <w:r>
        <w:t xml:space="preserve">[@morrison-1916]</w:t>
      </w:r>
      <w:r>
        <w:t xml:space="preserve"> </w:t>
      </w:r>
      <w:r>
        <w:t xml:space="preserve">— treats the</w:t>
      </w:r>
      <w:r>
        <w:t xml:space="preserve"> </w:t>
      </w:r>
      <w:r>
        <w:rPr>
          <w:i/>
        </w:rPr>
        <w:t xml:space="preserve">Heydenfeldt</w:t>
      </w:r>
      <w:r>
        <w:t xml:space="preserve"> </w:t>
      </w:r>
      <w:r>
        <w:t xml:space="preserve">decision</w:t>
      </w:r>
      <w:r>
        <w:t xml:space="preserve"> </w:t>
      </w:r>
      <w:r>
        <w:t xml:space="preserve">“</w:t>
      </w:r>
      <w:r>
        <w:t xml:space="preserve">as establishing a definite rule of construction</w:t>
      </w:r>
      <w:r>
        <w:t xml:space="preserve">”</w:t>
      </w:r>
      <w:r>
        <w:t xml:space="preserve"> </w:t>
      </w:r>
      <w:r>
        <w:t xml:space="preserve">for school grants, reviewing the</w:t>
      </w:r>
      <w:r>
        <w:t xml:space="preserve"> </w:t>
      </w:r>
      <w:r>
        <w:rPr>
          <w:i/>
        </w:rPr>
        <w:t xml:space="preserve">Oregon</w:t>
      </w:r>
      <w:r>
        <w:t xml:space="preserve"> </w:t>
      </w:r>
      <w:r>
        <w:t xml:space="preserve">grant: Congress</w:t>
      </w:r>
      <w:r>
        <w:t xml:space="preserve"> </w:t>
      </w:r>
      <w:r>
        <w:t xml:space="preserve">“</w:t>
      </w:r>
      <w:r>
        <w:t xml:space="preserve">used the same phrase substantially in nearly every one of the school grants</w:t>
      </w:r>
      <w:r>
        <w:t xml:space="preserve">”</w:t>
      </w:r>
      <w:r>
        <w:t xml:space="preserve"> </w:t>
      </w:r>
      <w:r>
        <w:t xml:space="preserve">with</w:t>
      </w:r>
      <w:r>
        <w:t xml:space="preserve"> </w:t>
      </w:r>
      <w:r>
        <w:t xml:space="preserve">“</w:t>
      </w:r>
      <w:r>
        <w:t xml:space="preserve">the manifest intention to place the States on the same footing</w:t>
      </w:r>
      <w:r>
        <w:t xml:space="preserve">”</w:t>
      </w:r>
      <w:r>
        <w:t xml:space="preserve">; carries</w:t>
      </w:r>
      <w:r>
        <w:t xml:space="preserve"> </w:t>
      </w:r>
      <w:r>
        <w:rPr>
          <w:i/>
        </w:rPr>
        <w:t xml:space="preserve">Cooper v. Roberts</w:t>
      </w:r>
      <w:r>
        <w:t xml:space="preserve"> </w:t>
      </w:r>
      <w:r>
        <w:t xml:space="preserve">to Oregon. Anchor of the filed Response’s Section C. (Quotations and pin verified against the held primary, 2026-06-07. Correction recorded: the opinion says</w:t>
      </w:r>
      <w:r>
        <w:t xml:space="preserve"> </w:t>
      </w:r>
      <w:r>
        <w:t xml:space="preserve">“</w:t>
      </w:r>
      <w:r>
        <w:t xml:space="preserve">definite,</w:t>
      </w:r>
      <w:r>
        <w:t xml:space="preserve">”</w:t>
      </w:r>
      <w:r>
        <w:t xml:space="preserve"> </w:t>
      </w:r>
      <w:r>
        <w:t xml:space="preserve">not</w:t>
      </w:r>
      <w:r>
        <w:t xml:space="preserve"> </w:t>
      </w:r>
      <w:r>
        <w:t xml:space="preserve">“</w:t>
      </w:r>
      <w:r>
        <w:t xml:space="preserve">definitive,</w:t>
      </w:r>
      <w:r>
        <w:t xml:space="preserve">”</w:t>
      </w:r>
      <w:r>
        <w:t xml:space="preserve"> </w:t>
      </w:r>
      <w:r>
        <w:t xml:space="preserve">and</w:t>
      </w:r>
      <w:r>
        <w:t xml:space="preserve"> </w:t>
      </w:r>
      <w:r>
        <w:t xml:space="preserve">“</w:t>
      </w:r>
      <w:r>
        <w:t xml:space="preserve">the States</w:t>
      </w:r>
      <w:r>
        <w:t xml:space="preserve">”</w:t>
      </w:r>
      <w:r>
        <w:t xml:space="preserve"> </w:t>
      </w:r>
      <w:r>
        <w:t xml:space="preserve">is capitalized — counsel should re-check the filed Response’s rendering.)</w:t>
      </w:r>
    </w:p>
    <w:p>
      <w:pPr>
        <w:numPr>
          <w:ilvl w:val="1"/>
          <w:numId w:val="1089"/>
        </w:numPr>
        <w:pStyle w:val="Compact"/>
      </w:pPr>
      <w:r>
        <w:rPr>
          <w:i/>
        </w:rPr>
        <w:t xml:space="preserve">Supports:</w:t>
      </w:r>
      <w:r>
        <w:t xml:space="preserve"> </w:t>
      </w:r>
      <w:r>
        <w:t xml:space="preserve">Ch. 2; Ch. 4 (§ 4.5).</w:t>
      </w:r>
    </w:p>
    <w:p>
      <w:pPr>
        <w:numPr>
          <w:ilvl w:val="0"/>
          <w:numId w:val="1088"/>
        </w:numPr>
        <w:pStyle w:val="Compact"/>
      </w:pPr>
      <w:r>
        <w:rPr>
          <w:b/>
        </w:rPr>
        <w:t xml:space="preserve">State of Oregon ex rel. Division of State Lands v. Bureau of Land Management</w:t>
      </w:r>
      <w:r>
        <w:t xml:space="preserve">, 876 F.2d 1419 (9th Cir. 1989)</w:t>
      </w:r>
      <w:r>
        <w:t xml:space="preserve"> </w:t>
      </w:r>
      <w:r>
        <w:t xml:space="preserve">[@dsl-blm-1989]</w:t>
      </w:r>
      <w:r>
        <w:t xml:space="preserve"> </w:t>
      </w:r>
      <w:r>
        <w:t xml:space="preserve">— history of 43 U.S.C. § 851 et seq. and the lieu-lands selection process; Elliott State Forest exchange background.</w:t>
      </w:r>
    </w:p>
    <w:p>
      <w:pPr>
        <w:numPr>
          <w:ilvl w:val="1"/>
          <w:numId w:val="1090"/>
        </w:numPr>
        <w:pStyle w:val="Compact"/>
      </w:pPr>
      <w:r>
        <w:rPr>
          <w:i/>
        </w:rPr>
        <w:t xml:space="preserve">Supports:</w:t>
      </w:r>
      <w:r>
        <w:t xml:space="preserve"> </w:t>
      </w:r>
      <w:r>
        <w:t xml:space="preserve">§§ 2.1, 2.8.</w:t>
      </w:r>
    </w:p>
    <w:p>
      <w:pPr>
        <w:pStyle w:val="Heading3"/>
      </w:pPr>
      <w:bookmarkStart w:id="838" w:name="Xe32a566bd36b3196b27d4d487cb0bc332181764"/>
      <w:r>
        <w:t xml:space="preserve">Pending litigation — described from the public record only</w:t>
      </w:r>
      <w:bookmarkEnd w:id="838"/>
    </w:p>
    <w:p>
      <w:pPr>
        <w:pStyle w:val="FirstParagraph"/>
      </w:pPr>
      <w:r>
        <w:rPr>
          <w:i/>
        </w:rPr>
        <w:t xml:space="preserve">Nothing in this subsection states adjudicated doctrine. The letter opinions are trial-level rulings in pending cases; the appellate decision (Advocates) is subject to a pending review petition [VERIFY status]; all characterizations of party positions are attributions, not findings.</w:t>
      </w:r>
    </w:p>
    <w:p>
      <w:pPr>
        <w:numPr>
          <w:ilvl w:val="0"/>
          <w:numId w:val="1091"/>
        </w:numPr>
        <w:pStyle w:val="Compact"/>
      </w:pPr>
      <w:r>
        <w:rPr>
          <w:b/>
        </w:rPr>
        <w:t xml:space="preserve">Sullivan v. State</w:t>
      </w:r>
      <w:r>
        <w:t xml:space="preserve">, Polk County Circuit Court No. 21CV15024 (2021), appeal docketed as Oregon Court of Appeals No. A177308</w:t>
      </w:r>
      <w:r>
        <w:t xml:space="preserve"> </w:t>
      </w:r>
      <w:r>
        <w:t xml:space="preserve">[@sullivan-2021]</w:t>
      </w:r>
      <w:r>
        <w:t xml:space="preserve"> </w:t>
      </w:r>
      <w:r>
        <w:t xml:space="preserve">— the first suit in the lineage (pro se, on Land Board management of the Elliott). The corpus holds the State’s Rule 21 motions (standing and sovereign-immunity grounds) and the Appellant’s Opening Brief (filed Feb. 21, 2022), which relies at length on AG Op. 8223.</w:t>
      </w:r>
      <w:r>
        <w:t xml:space="preserve"> </w:t>
      </w:r>
      <w:r>
        <w:rPr>
          <w:b/>
        </w:rPr>
        <w:t xml:space="preserve">A177308 disposition: AFFIRMED WITHOUT OPINION (AWOP), decided Oct. 12, 2022</w:t>
      </w:r>
      <w:r>
        <w:t xml:space="preserve"> </w:t>
      </w:r>
      <w:r>
        <w:t xml:space="preserve">— confirmed against the held L0 appeal docket (Disposition: Dispositional Decision — Affirmed Without Opinion; Decision Form: AWOP). There is therefore</w:t>
      </w:r>
      <w:r>
        <w:t xml:space="preserve"> </w:t>
      </w:r>
      <w:r>
        <w:rPr>
          <w:b/>
        </w:rPr>
        <w:t xml:space="preserve">no written appellate opinion to retrieve and no precedential reasoning to quote.</w:t>
      </w:r>
      <w:r>
        <w:t xml:space="preserve"> </w:t>
      </w:r>
      <w:r>
        <w:t xml:space="preserve">The</w:t>
      </w:r>
      <w:r>
        <w:t xml:space="preserve"> </w:t>
      </w:r>
      <w:r>
        <w:t xml:space="preserve">“</w:t>
      </w:r>
      <w:r>
        <w:t xml:space="preserve">reported merits holding</w:t>
      </w:r>
      <w:r>
        <w:t xml:space="preserve">”</w:t>
      </w:r>
      <w:r>
        <w:t xml:space="preserve"> </w:t>
      </w:r>
      <w:r>
        <w:t xml:space="preserve">earlier carried for this case — that the Attorney General’s office may defend state officials without also defending the trust because the trust instrument did not demand it — describes a</w:t>
      </w:r>
      <w:r>
        <w:t xml:space="preserve"> </w:t>
      </w:r>
      <w:r>
        <w:rPr>
          <w:i/>
        </w:rPr>
        <w:t xml:space="preserve">trial-court / briefing-level</w:t>
      </w:r>
      <w:r>
        <w:t xml:space="preserve"> </w:t>
      </w:r>
      <w:r>
        <w:t xml:space="preserve">position, not an appellate holding; an AWOP affirmance establishes no published rule and may not be cited as appellate authority. Ch. 14 (the Attorney General problem) must be reframed accordingly: A177308 illustrates the</w:t>
      </w:r>
      <w:r>
        <w:t xml:space="preserve"> </w:t>
      </w:r>
      <w:r>
        <w:rPr>
          <w:i/>
        </w:rPr>
        <w:t xml:space="preserve">posture</w:t>
      </w:r>
      <w:r>
        <w:t xml:space="preserve"> </w:t>
      </w:r>
      <w:r>
        <w:t xml:space="preserve">(the AG defended officials and the affirmance was without opinion), not an appellate court’s articulated reasoning.</w:t>
      </w:r>
    </w:p>
    <w:p>
      <w:pPr>
        <w:numPr>
          <w:ilvl w:val="1"/>
          <w:numId w:val="1092"/>
        </w:numPr>
        <w:pStyle w:val="Compact"/>
      </w:pPr>
      <w:r>
        <w:rPr>
          <w:i/>
        </w:rPr>
        <w:t xml:space="preserve">Feeds:</w:t>
      </w:r>
      <w:r>
        <w:t xml:space="preserve"> </w:t>
      </w:r>
      <w:r>
        <w:t xml:space="preserve">Ch. 14 (lead exhibit, pending verification); Ch. 13 (standing posture of the first suit).</w:t>
      </w:r>
    </w:p>
    <w:p>
      <w:pPr>
        <w:numPr>
          <w:ilvl w:val="0"/>
          <w:numId w:val="1091"/>
        </w:numPr>
        <w:pStyle w:val="Compact"/>
      </w:pPr>
      <w:r>
        <w:rPr>
          <w:b/>
        </w:rPr>
        <w:t xml:space="preserve">Coos County Circuit Court No. 23CV39056</w:t>
      </w:r>
      <w:r>
        <w:t xml:space="preserve"> </w:t>
      </w:r>
      <w:r>
        <w:t xml:space="preserve">— Letter Opinion, Feb. 26, 2024</w:t>
      </w:r>
      <w:r>
        <w:t xml:space="preserve"> </w:t>
      </w:r>
      <w:r>
        <w:t xml:space="preserve">[@advocates-letter-2024]</w:t>
      </w:r>
      <w:r>
        <w:t xml:space="preserve"> </w:t>
      </w:r>
      <w:r>
        <w:t xml:space="preserve">(Judge Andrew E. Combs): dismissed on OTCA-tort and notice grounds; reversed in relevant part by</w:t>
      </w:r>
      <w:r>
        <w:t xml:space="preserve"> </w:t>
      </w:r>
      <w:r>
        <w:rPr>
          <w:i/>
        </w:rPr>
        <w:t xml:space="preserve">Advocates v. State</w:t>
      </w:r>
      <w:r>
        <w:t xml:space="preserve"> </w:t>
      </w:r>
      <w:r>
        <w:t xml:space="preserve">(2026)</w:t>
      </w:r>
      <w:r>
        <w:t xml:space="preserve"> </w:t>
      </w:r>
      <w:r>
        <w:t xml:space="preserve">[@advocates-2026]</w:t>
      </w:r>
      <w:r>
        <w:t xml:space="preserve">.</w:t>
      </w:r>
    </w:p>
    <w:p>
      <w:pPr>
        <w:numPr>
          <w:ilvl w:val="1"/>
          <w:numId w:val="1093"/>
        </w:numPr>
        <w:pStyle w:val="Compact"/>
      </w:pPr>
      <w:r>
        <w:rPr>
          <w:i/>
        </w:rPr>
        <w:t xml:space="preserve">Feeds:</w:t>
      </w:r>
      <w:r>
        <w:t xml:space="preserve"> </w:t>
      </w:r>
      <w:r>
        <w:t xml:space="preserve">Ch. 17 (the recharacterization arc, trial-court phase).</w:t>
      </w:r>
    </w:p>
    <w:p>
      <w:pPr>
        <w:numPr>
          <w:ilvl w:val="0"/>
          <w:numId w:val="1091"/>
        </w:numPr>
        <w:pStyle w:val="Compact"/>
      </w:pPr>
      <w:r>
        <w:rPr>
          <w:b/>
        </w:rPr>
        <w:t xml:space="preserve">Coos County Circuit Court No. 24CV38372</w:t>
      </w:r>
      <w:r>
        <w:t xml:space="preserve"> </w:t>
      </w:r>
      <w:r>
        <w:t xml:space="preserve">(the live case) —</w:t>
      </w:r>
    </w:p>
    <w:p>
      <w:pPr>
        <w:numPr>
          <w:ilvl w:val="1"/>
          <w:numId w:val="1094"/>
        </w:numPr>
        <w:pStyle w:val="Compact"/>
      </w:pPr>
      <w:r>
        <w:t xml:space="preserve">Letter Opinion, Mar. 6, 2025</w:t>
      </w:r>
      <w:r>
        <w:t xml:space="preserve"> </w:t>
      </w:r>
      <w:r>
        <w:t xml:space="preserve">[@siuslaw-letter-2025]</w:t>
      </w:r>
      <w:r>
        <w:t xml:space="preserve">: standing found for districts and students under the trust theory; failure-to-state-a-claim denied on the 2024 claims; trust-characterization and beneficiary-identity questions expressly reserved.</w:t>
      </w:r>
      <w:r>
        <w:t xml:space="preserve"> </w:t>
      </w:r>
      <w:r>
        <w:rPr>
          <w:i/>
        </w:rPr>
        <w:t xml:space="preserve">Feeds:</w:t>
      </w:r>
      <w:r>
        <w:t xml:space="preserve"> </w:t>
      </w:r>
      <w:r>
        <w:t xml:space="preserve">Ch. 4 (§ 4.5); Ch. 13.</w:t>
      </w:r>
    </w:p>
    <w:p>
      <w:pPr>
        <w:numPr>
          <w:ilvl w:val="1"/>
          <w:numId w:val="1094"/>
        </w:numPr>
        <w:pStyle w:val="Compact"/>
      </w:pPr>
      <w:r>
        <w:t xml:space="preserve">Letter Opinion, Sept. 5, 2025</w:t>
      </w:r>
      <w:r>
        <w:t xml:space="preserve"> </w:t>
      </w:r>
      <w:r>
        <w:t xml:space="preserve">[@siuslaw-letter-ii-2025]</w:t>
      </w:r>
      <w:r>
        <w:t xml:space="preserve"> </w:t>
      </w:r>
      <w:r>
        <w:t xml:space="preserve">(on the First Amended Complaint): per the filed Response, held that management of Oregon’s School Trust Lands is governed by the Law of Trust (invoked by plaintiffs as law of the case via</w:t>
      </w:r>
      <w:r>
        <w:t xml:space="preserve"> </w:t>
      </w:r>
      <w:r>
        <w:rPr>
          <w:i/>
        </w:rPr>
        <w:t xml:space="preserve">Kennedy v. Wheeler</w:t>
      </w:r>
      <w:r>
        <w:t xml:space="preserve">, 356 Or 518 (2014)</w:t>
      </w:r>
      <w:r>
        <w:t xml:space="preserve"> </w:t>
      </w:r>
      <w:r>
        <w:t xml:space="preserve">[@kennedy-2014]</w:t>
      </w:r>
      <w:r>
        <w:t xml:space="preserve">).</w:t>
      </w:r>
      <w:r>
        <w:t xml:space="preserve"> </w:t>
      </w:r>
      <w:r>
        <w:rPr>
          <w:i/>
        </w:rPr>
        <w:t xml:space="preserve">Feeds:</w:t>
      </w:r>
      <w:r>
        <w:t xml:space="preserve"> </w:t>
      </w:r>
      <w:r>
        <w:t xml:space="preserve">Ch. 4 (§ 4.5 n.23); Ch. 12.</w:t>
      </w:r>
    </w:p>
    <w:p>
      <w:pPr>
        <w:numPr>
          <w:ilvl w:val="1"/>
          <w:numId w:val="1094"/>
        </w:numPr>
        <w:pStyle w:val="Compact"/>
      </w:pPr>
      <w:r>
        <w:t xml:space="preserve">Defendants’ Motion for Summary Judgment, May 13, 2026 (55 authorities, fully annotated in the litigation corpus); Plaintiffs’ Response and Cross-Motion for Partial Summary Judgment, filed May 29, 2026 (four cross-motion declarations sought: federal compact;</w:t>
      </w:r>
      <w:r>
        <w:t xml:space="preserve"> </w:t>
      </w:r>
      <w:r>
        <w:rPr>
          <w:i/>
        </w:rPr>
        <w:t xml:space="preserve">Wood v. Honeyman</w:t>
      </w:r>
      <w:r>
        <w:t xml:space="preserve"> </w:t>
      </w:r>
      <w:r>
        <w:t xml:space="preserve">trust law applies; no constitutional/statutory trifurcation; Land Board members personally liable as fiduciaries). Hearing posture per STATUS/memory [VERIFY before publication].</w:t>
      </w:r>
    </w:p>
    <w:p>
      <w:pPr>
        <w:numPr>
          <w:ilvl w:val="1"/>
          <w:numId w:val="1094"/>
        </w:numPr>
        <w:pStyle w:val="Compact"/>
      </w:pPr>
      <w:r>
        <w:rPr>
          <w:i/>
        </w:rPr>
        <w:t xml:space="preserve">Feeds:</w:t>
      </w:r>
      <w:r>
        <w:t xml:space="preserve"> </w:t>
      </w:r>
      <w:r>
        <w:t xml:space="preserve">Ch. 4 (§ 4.5 — the contested ground, presented as contested); Chs. 12, 13, 16, 17 (both sides’ arguments stated at full strength).</w:t>
      </w:r>
    </w:p>
    <w:p>
      <w:pPr>
        <w:pStyle w:val="Heading3"/>
      </w:pPr>
      <w:bookmarkStart w:id="839" w:name="X4f8c9466f34a1e5129b600944e178043816a6df"/>
      <w:r>
        <w:t xml:space="preserve">Statutory layer (selection; full list in the Library’s authorities register § 5.3)</w:t>
      </w:r>
      <w:bookmarkEnd w:id="839"/>
    </w:p>
    <w:p>
      <w:pPr>
        <w:pStyle w:val="FirstParagraph"/>
      </w:pPr>
      <w:r>
        <w:t xml:space="preserve">ORS ch. 130 (Oregon UTC) — 130.005(2)(e) (public-body exclusion question), 130.010(1) (</w:t>
      </w:r>
      <w:r>
        <w:t xml:space="preserve">“</w:t>
      </w:r>
      <w:r>
        <w:t xml:space="preserve">applies to all trusts, whenever created</w:t>
      </w:r>
      <w:r>
        <w:t xml:space="preserve">”</w:t>
      </w:r>
      <w:r>
        <w:t xml:space="preserve">), and the §§ 130.650–.710 duty ladder deployed in the filed Response; ORS 30.260(8) (OTCA, the</w:t>
      </w:r>
      <w:r>
        <w:t xml:space="preserve"> </w:t>
      </w:r>
      <w:r>
        <w:rPr>
          <w:i/>
        </w:rPr>
        <w:t xml:space="preserve">Comcast</w:t>
      </w:r>
      <w:r>
        <w:t xml:space="preserve"> </w:t>
      </w:r>
      <w:r>
        <w:t xml:space="preserve">hook); ORS chs. 273–274 (state lands); ORS ch. 530 (state forests). → Ch. 3; Ch. 12; Ch. 17.</w:t>
      </w:r>
    </w:p>
    <w:p>
      <w:pPr>
        <w:pStyle w:val="Heading3"/>
      </w:pPr>
      <w:bookmarkStart w:id="840" w:name="X1f0d2a200a630984db8ee5dd68ac9c725933287"/>
      <w:r>
        <w:t xml:space="preserve">Authorities identified but not yet verified</w:t>
      </w:r>
      <w:bookmarkEnd w:id="840"/>
    </w:p>
    <w:p>
      <w:pPr>
        <w:numPr>
          <w:ilvl w:val="0"/>
          <w:numId w:val="1095"/>
        </w:numPr>
        <w:pStyle w:val="Compact"/>
      </w:pPr>
      <w:r>
        <w:t xml:space="preserve">A177308 opinion (G-1 — the entry’s biggest open item);</w:t>
      </w:r>
      <w:r>
        <w:t xml:space="preserve"> </w:t>
      </w:r>
      <w:r>
        <w:rPr>
          <w:i/>
        </w:rPr>
        <w:t xml:space="preserve">Corpe v. Brooks</w:t>
      </w:r>
      <w:r>
        <w:t xml:space="preserve"> </w:t>
      </w:r>
      <w:r>
        <w:t xml:space="preserve">(1880) pull;</w:t>
      </w:r>
      <w:r>
        <w:t xml:space="preserve"> </w:t>
      </w:r>
      <w:r>
        <w:rPr>
          <w:i/>
        </w:rPr>
        <w:t xml:space="preserve">Lee</w:t>
      </w:r>
      <w:r>
        <w:t xml:space="preserve"> </w:t>
      </w:r>
      <w:r>
        <w:t xml:space="preserve">full opinion (quotations triangulated; print volume recommended for court use);</w:t>
      </w:r>
      <w:r>
        <w:t xml:space="preserve"> </w:t>
      </w:r>
      <w:r>
        <w:rPr>
          <w:i/>
        </w:rPr>
        <w:t xml:space="preserve">Advocates</w:t>
      </w:r>
      <w:r>
        <w:t xml:space="preserve"> </w:t>
      </w:r>
      <w:r>
        <w:t xml:space="preserve">review-petition status; Hawk dissertation (1949) primary-source-archive copy; Op 8223 signatory. (Resolved by the 2026-06-07 L0 verification pass:</w:t>
      </w:r>
      <w:r>
        <w:t xml:space="preserve"> </w:t>
      </w:r>
      <w:r>
        <w:rPr>
          <w:i/>
        </w:rPr>
        <w:t xml:space="preserve">Wood v. Honeyman</w:t>
      </w:r>
      <w:r>
        <w:t xml:space="preserve"> </w:t>
      </w:r>
      <w:r>
        <w:t xml:space="preserve">(G-2),</w:t>
      </w:r>
      <w:r>
        <w:t xml:space="preserve"> </w:t>
      </w:r>
      <w:r>
        <w:rPr>
          <w:i/>
        </w:rPr>
        <w:t xml:space="preserve">Morrison</w:t>
      </w:r>
      <w:r>
        <w:t xml:space="preserve"> </w:t>
      </w:r>
      <w:r>
        <w:t xml:space="preserve">(G-3),</w:t>
      </w:r>
      <w:r>
        <w:t xml:space="preserve"> </w:t>
      </w:r>
      <w:r>
        <w:rPr>
          <w:i/>
        </w:rPr>
        <w:t xml:space="preserve">Schneider</w:t>
      </w:r>
      <w:r>
        <w:t xml:space="preserve">,</w:t>
      </w:r>
      <w:r>
        <w:t xml:space="preserve"> </w:t>
      </w:r>
      <w:r>
        <w:rPr>
          <w:i/>
        </w:rPr>
        <w:t xml:space="preserve">Grand Prize</w:t>
      </w:r>
      <w:r>
        <w:t xml:space="preserve">,</w:t>
      </w:r>
      <w:r>
        <w:t xml:space="preserve"> </w:t>
      </w:r>
      <w:r>
        <w:rPr>
          <w:i/>
        </w:rPr>
        <w:t xml:space="preserve">Warner Valley</w:t>
      </w:r>
      <w:r>
        <w:t xml:space="preserve">,</w:t>
      </w:r>
      <w:r>
        <w:t xml:space="preserve"> </w:t>
      </w:r>
      <w:r>
        <w:rPr>
          <w:i/>
        </w:rPr>
        <w:t xml:space="preserve">Moro</w:t>
      </w:r>
      <w:r>
        <w:t xml:space="preserve">,</w:t>
      </w:r>
      <w:r>
        <w:t xml:space="preserve"> </w:t>
      </w:r>
      <w:r>
        <w:rPr>
          <w:i/>
        </w:rPr>
        <w:t xml:space="preserve">Kennedy v. Wheeler</w:t>
      </w:r>
      <w:r>
        <w:t xml:space="preserve">, and</w:t>
      </w:r>
      <w:r>
        <w:t xml:space="preserve"> </w:t>
      </w:r>
      <w:r>
        <w:rPr>
          <w:i/>
        </w:rPr>
        <w:t xml:space="preserve">Chernaik</w:t>
      </w:r>
      <w:r>
        <w:t xml:space="preserve"> </w:t>
      </w:r>
      <w:r>
        <w:t xml:space="preserve">now held and the quoted passages verified; the</w:t>
      </w:r>
      <w:r>
        <w:t xml:space="preserve"> </w:t>
      </w:r>
      <w:r>
        <w:rPr>
          <w:i/>
        </w:rPr>
        <w:t xml:space="preserve">Putnam</w:t>
      </w:r>
      <w:r>
        <w:t xml:space="preserve"> </w:t>
      </w:r>
      <w:r>
        <w:t xml:space="preserve">and</w:t>
      </w:r>
      <w:r>
        <w:t xml:space="preserve"> </w:t>
      </w:r>
      <w:r>
        <w:rPr>
          <w:i/>
        </w:rPr>
        <w:t xml:space="preserve">Lindland</w:t>
      </w:r>
      <w:r>
        <w:t xml:space="preserve"> </w:t>
      </w:r>
      <w:r>
        <w:t xml:space="preserve">parallel-cite discrepancies resolved at CAP level — 293 P. 940 and 693 P.2d 20.)</w:t>
      </w:r>
    </w:p>
    <w:p>
      <w:pPr>
        <w:pStyle w:val="Heading3"/>
      </w:pPr>
      <w:bookmarkStart w:id="841" w:name="X5de8da9d16ce8464578c840c614aa7515e1f746"/>
      <w:r>
        <w:t xml:space="preserve">Cross-reference map (section → Oregon authority)</w:t>
      </w:r>
      <w:bookmarkEnd w:id="841"/>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Oregon authority</w:t>
            </w:r>
          </w:p>
        </w:tc>
      </w:tr>
      <w:tr>
        <w:tc>
          <w:p>
            <w:pPr>
              <w:pStyle w:val="Compact"/>
              <w:jc w:val="left"/>
            </w:pPr>
            <w:r>
              <w:t xml:space="preserve">§ 2.4 (two-section generation; 1859 Act; trust without the word)</w:t>
            </w:r>
          </w:p>
        </w:tc>
        <w:tc>
          <w:p>
            <w:pPr>
              <w:pStyle w:val="Compact"/>
              <w:jc w:val="left"/>
            </w:pPr>
            <w:r>
              <w:t xml:space="preserve">Admission Act, 11 Stat. 383; Grand Prize</w:t>
            </w:r>
          </w:p>
        </w:tc>
      </w:tr>
      <w:tr>
        <w:tc>
          <w:p>
            <w:pPr>
              <w:pStyle w:val="Compact"/>
              <w:jc w:val="left"/>
            </w:pPr>
            <w:r>
              <w:t xml:space="preserve">§ 2.7 (compacts)</w:t>
            </w:r>
          </w:p>
        </w:tc>
        <w:tc>
          <w:p>
            <w:pPr>
              <w:pStyle w:val="Compact"/>
              <w:jc w:val="left"/>
            </w:pPr>
            <w:r>
              <w:t xml:space="preserve">Admission Act compact clause; Morrison (verified against the held primary)</w:t>
            </w:r>
          </w:p>
        </w:tc>
      </w:tr>
      <w:tr>
        <w:tc>
          <w:p>
            <w:pPr>
              <w:pStyle w:val="Compact"/>
              <w:jc w:val="left"/>
            </w:pPr>
            <w:r>
              <w:t xml:space="preserve">Ch. 3 (reception)</w:t>
            </w:r>
          </w:p>
        </w:tc>
        <w:tc>
          <w:p>
            <w:pPr>
              <w:pStyle w:val="Compact"/>
              <w:jc w:val="left"/>
            </w:pPr>
            <w:r>
              <w:t xml:space="preserve">Or. Const. Art. VIII §§ 2, 5; Robertson v. State Land Board; Warner Valley</w:t>
            </w:r>
          </w:p>
        </w:tc>
      </w:tr>
      <w:tr>
        <w:tc>
          <w:p>
            <w:pPr>
              <w:pStyle w:val="Compact"/>
              <w:jc w:val="left"/>
            </w:pPr>
            <w:r>
              <w:t xml:space="preserve">Ch. 4 § 4.5 (the contested ground — the live case study)</w:t>
            </w:r>
          </w:p>
        </w:tc>
        <w:tc>
          <w:p>
            <w:pPr>
              <w:pStyle w:val="Compact"/>
              <w:jc w:val="left"/>
            </w:pPr>
            <w:r>
              <w:t xml:space="preserve">Schneider; Grand Prize; Lee; Eagle Point; Johnson; Cascadia; Mar. 6 &amp; Sept. 5, 2025 letter opinions (pending, non-precedential)</w:t>
            </w:r>
          </w:p>
        </w:tc>
      </w:tr>
      <w:tr>
        <w:tc>
          <w:p>
            <w:pPr>
              <w:pStyle w:val="Compact"/>
              <w:jc w:val="left"/>
            </w:pPr>
            <w:r>
              <w:t xml:space="preserve">Ch. 4 § 4.6(c) (limitations exemption)</w:t>
            </w:r>
          </w:p>
        </w:tc>
        <w:tc>
          <w:p>
            <w:pPr>
              <w:pStyle w:val="Compact"/>
              <w:jc w:val="left"/>
            </w:pPr>
            <w:r>
              <w:t xml:space="preserve">Lee</w:t>
            </w:r>
          </w:p>
        </w:tc>
      </w:tr>
      <w:tr>
        <w:tc>
          <w:p>
            <w:pPr>
              <w:pStyle w:val="Compact"/>
              <w:jc w:val="left"/>
            </w:pPr>
            <w:r>
              <w:t xml:space="preserve">Ch. 4 § 4.7 (defense-side positions)</w:t>
            </w:r>
          </w:p>
        </w:tc>
        <w:tc>
          <w:p>
            <w:pPr>
              <w:pStyle w:val="Compact"/>
              <w:jc w:val="left"/>
            </w:pPr>
            <w:r>
              <w:t xml:space="preserve">Putnam; Johnson (first half); Cascadia (State’s reading); Moro/Strunk/James</w:t>
            </w:r>
          </w:p>
        </w:tc>
      </w:tr>
      <w:tr>
        <w:tc>
          <w:p>
            <w:pPr>
              <w:pStyle w:val="Compact"/>
              <w:jc w:val="left"/>
            </w:pPr>
            <w:r>
              <w:t xml:space="preserve">Ch. 5 (two capacities; PTD contrast)</w:t>
            </w:r>
          </w:p>
        </w:tc>
        <w:tc>
          <w:p>
            <w:pPr>
              <w:pStyle w:val="Compact"/>
              <w:jc w:val="left"/>
            </w:pPr>
            <w:r>
              <w:t xml:space="preserve">Chernaik</w:t>
            </w:r>
          </w:p>
        </w:tc>
      </w:tr>
      <w:tr>
        <w:tc>
          <w:p>
            <w:pPr>
              <w:pStyle w:val="Compact"/>
              <w:jc w:val="left"/>
            </w:pPr>
            <w:r>
              <w:t xml:space="preserve">Ch. 7 (productivity)</w:t>
            </w:r>
          </w:p>
        </w:tc>
        <w:tc>
          <w:p>
            <w:pPr>
              <w:pStyle w:val="Compact"/>
              <w:jc w:val="left"/>
            </w:pPr>
            <w:r>
              <w:t xml:space="preserve">Johnson; Cascadia; AG Ops. 8135, 569/1975</w:t>
            </w:r>
          </w:p>
        </w:tc>
      </w:tr>
      <w:tr>
        <w:tc>
          <w:p>
            <w:pPr>
              <w:pStyle w:val="Compact"/>
              <w:jc w:val="left"/>
            </w:pPr>
            <w:r>
              <w:t xml:space="preserve">Ch. 8 (impartiality)</w:t>
            </w:r>
          </w:p>
        </w:tc>
        <w:tc>
          <w:p>
            <w:pPr>
              <w:pStyle w:val="Compact"/>
              <w:jc w:val="left"/>
            </w:pPr>
            <w:r>
              <w:t xml:space="preserve">Johnson</w:t>
            </w:r>
          </w:p>
        </w:tc>
      </w:tr>
      <w:tr>
        <w:tc>
          <w:p>
            <w:pPr>
              <w:pStyle w:val="Compact"/>
              <w:jc w:val="left"/>
            </w:pPr>
            <w:r>
              <w:t xml:space="preserve">Ch. 9 (full value)</w:t>
            </w:r>
          </w:p>
        </w:tc>
        <w:tc>
          <w:p>
            <w:pPr>
              <w:pStyle w:val="Compact"/>
              <w:jc w:val="left"/>
            </w:pPr>
            <w:r>
              <w:t xml:space="preserve">Warner Valley; 37 Op Atty Gen 569</w:t>
            </w:r>
          </w:p>
        </w:tc>
      </w:tr>
      <w:tr>
        <w:tc>
          <w:p>
            <w:pPr>
              <w:pStyle w:val="Compact"/>
              <w:jc w:val="left"/>
            </w:pPr>
            <w:r>
              <w:t xml:space="preserve">Ch. 10 (transactional review)</w:t>
            </w:r>
          </w:p>
        </w:tc>
        <w:tc>
          <w:p>
            <w:pPr>
              <w:pStyle w:val="Compact"/>
              <w:jc w:val="left"/>
            </w:pPr>
            <w:r>
              <w:t xml:space="preserve">Eagle Point</w:t>
            </w:r>
          </w:p>
        </w:tc>
      </w:tr>
      <w:tr>
        <w:tc>
          <w:p>
            <w:pPr>
              <w:pStyle w:val="Compact"/>
              <w:jc w:val="left"/>
            </w:pPr>
            <w:r>
              <w:t xml:space="preserve">Ch. 12 (accounting)</w:t>
            </w:r>
          </w:p>
        </w:tc>
        <w:tc>
          <w:p>
            <w:pPr>
              <w:pStyle w:val="Compact"/>
              <w:jc w:val="left"/>
            </w:pPr>
            <w:r>
              <w:t xml:space="preserve">Wood v. Honeyman (cited in briefing, lead candidate); Lee; Sept. 5, 2025 letter opinion (pending)</w:t>
            </w:r>
          </w:p>
        </w:tc>
      </w:tr>
      <w:tr>
        <w:tc>
          <w:p>
            <w:pPr>
              <w:pStyle w:val="Compact"/>
              <w:jc w:val="left"/>
            </w:pPr>
            <w:r>
              <w:t xml:space="preserve">Ch. 13 (standing)</w:t>
            </w:r>
          </w:p>
        </w:tc>
        <w:tc>
          <w:p>
            <w:pPr>
              <w:pStyle w:val="Compact"/>
              <w:jc w:val="left"/>
            </w:pPr>
            <w:r>
              <w:t xml:space="preserve">Advocates (lead); Pendleton; Mar. 6, 2025 letter opinion (pending)</w:t>
            </w:r>
          </w:p>
        </w:tc>
      </w:tr>
      <w:tr>
        <w:tc>
          <w:p>
            <w:pPr>
              <w:pStyle w:val="Compact"/>
              <w:jc w:val="left"/>
            </w:pPr>
            <w:r>
              <w:t xml:space="preserve">Ch. 14 (the AG problem)</w:t>
            </w:r>
          </w:p>
        </w:tc>
        <w:tc>
          <w:p>
            <w:pPr>
              <w:pStyle w:val="Compact"/>
              <w:jc w:val="left"/>
            </w:pPr>
            <w:r>
              <w:t xml:space="preserve">A177308 (Affirmed Without Opinion, 10/12/2022 — posture only, not appellate authority); AG Op. 8223 (Crookham)</w:t>
            </w:r>
          </w:p>
        </w:tc>
      </w:tr>
      <w:tr>
        <w:tc>
          <w:p>
            <w:pPr>
              <w:pStyle w:val="Compact"/>
              <w:jc w:val="left"/>
            </w:pPr>
            <w:r>
              <w:t xml:space="preserve">Ch. 16 (justiciability)</w:t>
            </w:r>
          </w:p>
        </w:tc>
        <w:tc>
          <w:p>
            <w:pPr>
              <w:pStyle w:val="Compact"/>
              <w:jc w:val="left"/>
            </w:pPr>
            <w:r>
              <w:t xml:space="preserve">Pendleton (lead candidate); Couey; Putnam (defense side)</w:t>
            </w:r>
          </w:p>
        </w:tc>
      </w:tr>
      <w:tr>
        <w:tc>
          <w:p>
            <w:pPr>
              <w:pStyle w:val="Compact"/>
              <w:jc w:val="left"/>
            </w:pPr>
            <w:r>
              <w:t xml:space="preserve">Ch. 17 (tort recharacterization)</w:t>
            </w:r>
          </w:p>
        </w:tc>
        <w:tc>
          <w:p>
            <w:pPr>
              <w:pStyle w:val="Compact"/>
              <w:jc w:val="left"/>
            </w:pPr>
            <w:r>
              <w:t xml:space="preserve">Comcast (lead); Advocates; Hanggi (defense side, distinguished)</w:t>
            </w:r>
          </w:p>
        </w:tc>
      </w:tr>
      <w:tr>
        <w:tc>
          <w:p>
            <w:pPr>
              <w:pStyle w:val="Compact"/>
              <w:jc w:val="left"/>
            </w:pPr>
            <w:r>
              <w:t xml:space="preserve">Ch. 18 (nullity; voiding)</w:t>
            </w:r>
          </w:p>
        </w:tc>
        <w:tc>
          <w:p>
            <w:pPr>
              <w:pStyle w:val="Compact"/>
              <w:jc w:val="left"/>
            </w:pPr>
            <w:r>
              <w:t xml:space="preserve">Warner Valley</w:t>
            </w:r>
          </w:p>
        </w:tc>
      </w:tr>
    </w:tbl>
    <w:p>
      <w:r>
        <w:pict>
          <v:rect style="width:0;height:1.5pt" o:hralign="center" o:hrstd="t" o:hr="t"/>
        </w:pict>
      </w:r>
    </w:p>
    <w:p>
      <w:pPr>
        <w:pStyle w:val="FirstParagraph"/>
      </w:pPr>
      <w:r>
        <w:rPr>
          <w:i/>
        </w:rPr>
        <w:t xml:space="preserve">End of Oregon entry v1. The longest entry in the appendix by design: Oregon is the volume’s live case study (§ 4.5), and the appendix is where an Oregon practitioner enters the treatise. 2026-06-07 L0 verification pass: Schneider, Grand Prize, Warner Valley, Wood, Johnson, Comcast, Moro/Strunk, Cascadia, Chernaik, Kennedy, Advocates, Hanggi, and Morrison checked against held primaries; the Robertson caption and two quotation wordings (Schneider</w:t>
      </w:r>
      <w:r>
        <w:rPr>
          <w:i/>
        </w:rPr>
        <w:t xml:space="preserve"> </w:t>
      </w:r>
      <w:r>
        <w:rPr>
          <w:i/>
        </w:rPr>
        <w:t xml:space="preserve">“</w:t>
      </w:r>
      <w:r>
        <w:rPr>
          <w:i/>
        </w:rPr>
        <w:t xml:space="preserve">the title</w:t>
      </w:r>
      <w:r>
        <w:rPr>
          <w:i/>
        </w:rPr>
        <w:t xml:space="preserve">”</w:t>
      </w:r>
      <w:r>
        <w:rPr>
          <w:i/>
        </w:rPr>
        <w:t xml:space="preserve">; Grand Prize</w:t>
      </w:r>
      <w:r>
        <w:rPr>
          <w:i/>
        </w:rPr>
        <w:t xml:space="preserve"> </w:t>
      </w:r>
      <w:r>
        <w:rPr>
          <w:i/>
        </w:rPr>
        <w:t xml:space="preserve">“</w:t>
      </w:r>
      <w:r>
        <w:rPr>
          <w:i/>
        </w:rPr>
        <w:t xml:space="preserve">State of Oregon</w:t>
      </w:r>
      <w:r>
        <w:rPr>
          <w:i/>
        </w:rPr>
        <w:t xml:space="preserve">”</w:t>
      </w:r>
      <w:r>
        <w:rPr>
          <w:i/>
        </w:rPr>
        <w:t xml:space="preserve">) corrected; the Morrison</w:t>
      </w:r>
      <w:r>
        <w:rPr>
          <w:i/>
        </w:rPr>
        <w:t xml:space="preserve"> </w:t>
      </w:r>
      <w:r>
        <w:rPr>
          <w:i/>
        </w:rPr>
        <w:t xml:space="preserve">“</w:t>
      </w:r>
      <w:r>
        <w:rPr>
          <w:i/>
        </w:rPr>
        <w:t xml:space="preserve">definite/definitive</w:t>
      </w:r>
      <w:r>
        <w:rPr>
          <w:i/>
        </w:rPr>
        <w:t xml:space="preserve">”</w:t>
      </w:r>
      <w:r>
        <w:rPr>
          <w:i/>
        </w:rPr>
        <w:t xml:space="preserve"> </w:t>
      </w:r>
      <w:r>
        <w:rPr>
          <w:i/>
        </w:rPr>
        <w:t xml:space="preserve">error corrected; Putnam and Lindland parallel cites resolved at CAP level.</w:t>
      </w:r>
    </w:p>
    <w:p>
      <w:r>
        <w:br w:type="page"/>
      </w:r>
    </w:p>
    <w:p>
      <w:pPr>
        <w:pStyle w:val="Heading1"/>
      </w:pPr>
      <w:bookmarkStart w:id="842" w:name="state-appendix-south-dakota"/>
      <w:r>
        <w:t xml:space="preserve">State Appendix — South Dakota</w:t>
      </w:r>
      <w:bookmarkEnd w:id="842"/>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843" w:name="south-dakota"/>
      <w:r>
        <w:t xml:space="preserve">SOUTH DAKOTA</w:t>
      </w:r>
      <w:bookmarkEnd w:id="843"/>
    </w:p>
    <w:p>
      <w:pPr>
        <w:pStyle w:val="FirstParagraph"/>
      </w:pPr>
      <w:r>
        <w:rPr>
          <w:b/>
        </w:rPr>
        <w:t xml:space="preserve">Granting instrument.</w:t>
      </w:r>
      <w:r>
        <w:t xml:space="preserve"> </w:t>
      </w:r>
      <w:r>
        <w:t xml:space="preserve">Omnibus Enabling Act of February 22, 1889 (25 Stat. 676)</w:t>
      </w:r>
      <w:r>
        <w:t xml:space="preserve"> </w:t>
      </w:r>
      <w:r>
        <w:t xml:space="preserve">[@act-omnibus-1889]</w:t>
      </w:r>
      <w:r>
        <w:t xml:space="preserve"> </w:t>
      </w:r>
      <w:r>
        <w:t xml:space="preserve">— sections 16 and 36 of every township in trust for common schools, with additional grants for the state university, normal schools, and other named institutions, each a distinct trust; proceeds in a permanent fund; appraisal before sale or lease; no disposition below appraised value. → §§ 2.4, 2.7; Appendix B.</w:t>
      </w:r>
    </w:p>
    <w:p>
      <w:pPr>
        <w:pStyle w:val="BodyText"/>
      </w:pPr>
      <w:r>
        <w:rPr>
          <w:b/>
        </w:rPr>
        <w:t xml:space="preserve">Constitutional reception and administering body.</w:t>
      </w:r>
      <w:r>
        <w:t xml:space="preserve"> </w:t>
      </w:r>
      <w:r>
        <w:t xml:space="preserve">South Dakota was admitted November 2, 1889; its first Constitution accepted the grant and incorporated the trust obligations into the state’s organic law. The Office of School and Public Lands, headed by an elected Commissioner of School and Public Lands, administers the trust. [CITE PENDING in dossier for current acreage and corpus values.] → Ch. 3.</w:t>
      </w:r>
    </w:p>
    <w:p>
      <w:pPr>
        <w:pStyle w:val="BodyText"/>
      </w:pPr>
      <w:r>
        <w:rPr>
          <w:b/>
        </w:rPr>
        <w:t xml:space="preserve">Why South Dakota matters to the field.</w:t>
      </w:r>
      <w:r>
        <w:t xml:space="preserve"> </w:t>
      </w:r>
      <w:r>
        <w:rPr>
          <w:i/>
        </w:rPr>
        <w:t xml:space="preserve">Kanaly</w:t>
      </w:r>
      <w:r>
        <w:t xml:space="preserve"> </w:t>
      </w:r>
      <w:r>
        <w:t xml:space="preserve">(1985) is one of the strongest national statements of the perpetual-trust doctrine, synthesizing federal and sister-state precedent, and is the lead authority that an uncompensated transfer of trust property to another state agency is unconstitutional — the legislative-transfer counterpart to Arizona’s condemnation case (</w:t>
      </w:r>
      <w:r>
        <w:rPr>
          <w:i/>
        </w:rPr>
        <w:t xml:space="preserve">Deer Valley</w:t>
      </w:r>
      <w:r>
        <w:t xml:space="preserve">) and the federal taking case (</w:t>
      </w:r>
      <w:r>
        <w:rPr>
          <w:i/>
        </w:rPr>
        <w:t xml:space="preserve">Lassen</w:t>
      </w:r>
      <w:r>
        <w:t xml:space="preserve">).</w:t>
      </w:r>
    </w:p>
    <w:p>
      <w:pPr>
        <w:pStyle w:val="Heading3"/>
      </w:pPr>
      <w:bookmarkStart w:id="844" w:name="the-cases-10"/>
      <w:r>
        <w:t xml:space="preserve">The cases</w:t>
      </w:r>
      <w:bookmarkEnd w:id="844"/>
    </w:p>
    <w:p>
      <w:pPr>
        <w:numPr>
          <w:ilvl w:val="0"/>
          <w:numId w:val="1096"/>
        </w:numPr>
        <w:pStyle w:val="Compact"/>
      </w:pPr>
      <w:r>
        <w:rPr>
          <w:b/>
        </w:rPr>
        <w:t xml:space="preserve">Kanaly v. State by and through Janklow</w:t>
      </w:r>
      <w:r>
        <w:t xml:space="preserve">, 368 N.W.2d 819 (S.D. 1985)</w:t>
      </w:r>
      <w:r>
        <w:t xml:space="preserve"> </w:t>
      </w:r>
      <w:r>
        <w:t xml:space="preserve">[@kanaly-1985]</w:t>
      </w:r>
      <w:r>
        <w:t xml:space="preserve">.</w:t>
      </w:r>
    </w:p>
    <w:p>
      <w:pPr>
        <w:numPr>
          <w:ilvl w:val="1"/>
          <w:numId w:val="1097"/>
        </w:numPr>
        <w:pStyle w:val="Compact"/>
      </w:pPr>
      <w:r>
        <w:rPr>
          <w:i/>
        </w:rPr>
        <w:t xml:space="preserve">Posture.</w:t>
      </w:r>
      <w:r>
        <w:t xml:space="preserve"> </w:t>
      </w:r>
      <w:r>
        <w:t xml:space="preserve">Challenge to a legislative transfer of school trust property to another state agency without compensation; held unconstitutional and in violation of the Enabling Act. Posture and the holding quotation below are verified against the L0 opinion.</w:t>
      </w:r>
    </w:p>
    <w:p>
      <w:pPr>
        <w:numPr>
          <w:ilvl w:val="1"/>
          <w:numId w:val="1097"/>
        </w:numPr>
        <w:pStyle w:val="Compact"/>
      </w:pPr>
      <w:r>
        <w:rPr>
          <w:i/>
        </w:rPr>
        <w:t xml:space="preserve">Holdings.</w:t>
      </w:r>
      <w:r>
        <w:t xml:space="preserve"> </w:t>
      </w:r>
      <w:r>
        <w:t xml:space="preserve">The school land grant is variously an</w:t>
      </w:r>
      <w:r>
        <w:t xml:space="preserve"> </w:t>
      </w:r>
      <w:r>
        <w:t xml:space="preserve">“</w:t>
      </w:r>
      <w:r>
        <w:t xml:space="preserve">irrevocable compact,</w:t>
      </w:r>
      <w:r>
        <w:t xml:space="preserve">”</w:t>
      </w:r>
      <w:r>
        <w:t xml:space="preserve"> </w:t>
      </w:r>
      <w:r>
        <w:t xml:space="preserve">a</w:t>
      </w:r>
      <w:r>
        <w:t xml:space="preserve"> </w:t>
      </w:r>
      <w:r>
        <w:t xml:space="preserve">“</w:t>
      </w:r>
      <w:r>
        <w:t xml:space="preserve">solemn agreement,</w:t>
      </w:r>
      <w:r>
        <w:t xml:space="preserve">”</w:t>
      </w:r>
      <w:r>
        <w:t xml:space="preserve"> </w:t>
      </w:r>
      <w:r>
        <w:t xml:space="preserve">and a</w:t>
      </w:r>
      <w:r>
        <w:t xml:space="preserve"> </w:t>
      </w:r>
      <w:r>
        <w:t xml:space="preserve">“</w:t>
      </w:r>
      <w:r>
        <w:t xml:space="preserve">contract</w:t>
      </w:r>
      <w:r>
        <w:t xml:space="preserve">”</w:t>
      </w:r>
      <w:r>
        <w:t xml:space="preserve"> </w:t>
      </w:r>
      <w:r>
        <w:t xml:space="preserve">between the accepting state and the United States.</w:t>
      </w:r>
      <w:r>
        <w:t xml:space="preserve"> </w:t>
      </w:r>
      <w:r>
        <w:t xml:space="preserve">“</w:t>
      </w:r>
      <w:r>
        <w:t xml:space="preserve">That these provisions create a special, permanent and perpetual trust of all land, money, property, and proceeds of the same, donated to the state for educational institutions by the United States and individuals alike and that the state is the trustee is beyond question</w:t>
      </w:r>
      <w:r>
        <w:t xml:space="preserve">”</w:t>
      </w:r>
      <w:r>
        <w:t xml:space="preserve"> </w:t>
      </w:r>
      <w:r>
        <w:t xml:space="preserve">(p. 823). Cited nationally — including by</w:t>
      </w:r>
      <w:r>
        <w:t xml:space="preserve"> </w:t>
      </w:r>
      <w:r>
        <w:rPr>
          <w:i/>
        </w:rPr>
        <w:t xml:space="preserve">Skamania</w:t>
      </w:r>
      <w:r>
        <w:t xml:space="preserve"> </w:t>
      </w:r>
      <w:r>
        <w:t xml:space="preserve">(Washington) and in the</w:t>
      </w:r>
      <w:r>
        <w:t xml:space="preserve"> </w:t>
      </w:r>
      <w:r>
        <w:rPr>
          <w:i/>
        </w:rPr>
        <w:t xml:space="preserve">Nigh</w:t>
      </w:r>
      <w:r>
        <w:t xml:space="preserve"> </w:t>
      </w:r>
      <w:r>
        <w:t xml:space="preserve">line (Oklahoma) — as a leading articulation of the perpetual-trust doctrine.</w:t>
      </w:r>
    </w:p>
    <w:p>
      <w:pPr>
        <w:numPr>
          <w:ilvl w:val="1"/>
          <w:numId w:val="1097"/>
        </w:numPr>
        <w:pStyle w:val="Compact"/>
      </w:pPr>
      <w:r>
        <w:rPr>
          <w:i/>
        </w:rPr>
        <w:t xml:space="preserve">Supports:</w:t>
      </w:r>
      <w:r>
        <w:t xml:space="preserve"> </w:t>
      </w:r>
      <w:r>
        <w:t xml:space="preserve">Ch. 4 (§§ 4.3 (constitutional incorporation), 3.6(d) (uncompensated inter-agency transfers)); Ch. 10 (intra-governmental transfers — lead legislative-transfer case); Ch. 18 (remedies).</w:t>
      </w:r>
    </w:p>
    <w:p>
      <w:pPr>
        <w:pStyle w:val="Heading3"/>
      </w:pPr>
      <w:bookmarkStart w:id="845" w:name="Xf14523311e97e146e1a713d47d9fdf477c2ff8e"/>
      <w:r>
        <w:t xml:space="preserve">Authorities identified but not yet verified</w:t>
      </w:r>
      <w:bookmarkEnd w:id="845"/>
    </w:p>
    <w:p>
      <w:pPr>
        <w:numPr>
          <w:ilvl w:val="0"/>
          <w:numId w:val="1098"/>
        </w:numPr>
        <w:pStyle w:val="Compact"/>
      </w:pPr>
      <w:r>
        <w:t xml:space="preserve">The</w:t>
      </w:r>
      <w:r>
        <w:t xml:space="preserve"> </w:t>
      </w:r>
      <w:r>
        <w:t xml:space="preserve">“</w:t>
      </w:r>
      <w:r>
        <w:t xml:space="preserve">397 N.W.2d 374 (S.D. 1986)</w:t>
      </w:r>
      <w:r>
        <w:t xml:space="preserve">”</w:t>
      </w:r>
      <w:r>
        <w:t xml:space="preserve"> </w:t>
      </w:r>
      <w:r>
        <w:t xml:space="preserve">citation carried in the Arizona dossier’s</w:t>
      </w:r>
      <w:r>
        <w:t xml:space="preserve"> </w:t>
      </w:r>
      <w:r>
        <w:rPr>
          <w:i/>
        </w:rPr>
        <w:t xml:space="preserve">Deer Valley</w:t>
      </w:r>
      <w:r>
        <w:t xml:space="preserve"> </w:t>
      </w:r>
      <w:r>
        <w:t xml:space="preserve">discussion is a</w:t>
      </w:r>
      <w:r>
        <w:t xml:space="preserve"> </w:t>
      </w:r>
      <w:r>
        <w:rPr>
          <w:b/>
        </w:rPr>
        <w:t xml:space="preserve">phantom</w:t>
      </w:r>
      <w:r>
        <w:t xml:space="preserve"> </w:t>
      </w:r>
      <w:r>
        <w:t xml:space="preserve">— no</w:t>
      </w:r>
      <w:r>
        <w:t xml:space="preserve"> </w:t>
      </w:r>
      <w:r>
        <w:rPr>
          <w:i/>
        </w:rPr>
        <w:t xml:space="preserve">Kanaly</w:t>
      </w:r>
      <w:r>
        <w:t xml:space="preserve"> </w:t>
      </w:r>
      <w:r>
        <w:t xml:space="preserve">opinion is reported at that citation. The genuine</w:t>
      </w:r>
      <w:r>
        <w:t xml:space="preserve"> </w:t>
      </w:r>
      <w:r>
        <w:rPr>
          <w:i/>
        </w:rPr>
        <w:t xml:space="preserve">Kanaly</w:t>
      </w:r>
      <w:r>
        <w:t xml:space="preserve"> </w:t>
      </w:r>
      <w:r>
        <w:t xml:space="preserve">sequels, all now held in L0, are:</w:t>
      </w:r>
      <w:r>
        <w:t xml:space="preserve"> </w:t>
      </w:r>
      <w:r>
        <w:rPr>
          <w:i/>
        </w:rPr>
        <w:t xml:space="preserve">Kanaly v. State</w:t>
      </w:r>
      <w:r>
        <w:t xml:space="preserve"> </w:t>
      </w:r>
      <w:r>
        <w:t xml:space="preserve">(Kanaly I), 368 N.W.2d 819 (S.D. 1985) [the case above];</w:t>
      </w:r>
      <w:r>
        <w:t xml:space="preserve"> </w:t>
      </w:r>
      <w:r>
        <w:rPr>
          <w:i/>
        </w:rPr>
        <w:t xml:space="preserve">Kanaly v. State</w:t>
      </w:r>
      <w:r>
        <w:t xml:space="preserve"> </w:t>
      </w:r>
      <w:r>
        <w:t xml:space="preserve">(Kanaly II), 401 N.W.2d 551 (S.D. 1987) (lead); and</w:t>
      </w:r>
      <w:r>
        <w:t xml:space="preserve"> </w:t>
      </w:r>
      <w:r>
        <w:rPr>
          <w:i/>
        </w:rPr>
        <w:t xml:space="preserve">Kanaly v. State</w:t>
      </w:r>
      <w:r>
        <w:t xml:space="preserve"> </w:t>
      </w:r>
      <w:r>
        <w:t xml:space="preserve">(Kanaly III), 403 N.W.2d 33 (S.D. 1987) (per curiam). Do not cite 397 N.W.2d 374.</w:t>
      </w:r>
    </w:p>
    <w:p>
      <w:pPr>
        <w:numPr>
          <w:ilvl w:val="0"/>
          <w:numId w:val="1098"/>
        </w:numPr>
        <w:pStyle w:val="Compact"/>
      </w:pPr>
      <w:r>
        <w:t xml:space="preserve">The earlier South Dakota line on competitive bidding, appraised value, and the institutional-trust grants [CITE PENDING in dossier for full citation chain].</w:t>
      </w:r>
    </w:p>
    <w:p>
      <w:pPr>
        <w:numPr>
          <w:ilvl w:val="0"/>
          <w:numId w:val="1098"/>
        </w:numPr>
        <w:pStyle w:val="Compact"/>
      </w:pPr>
      <w:r>
        <w:rPr>
          <w:i/>
        </w:rPr>
        <w:t xml:space="preserve">Kanaly</w:t>
      </w:r>
      <w:r>
        <w:t xml:space="preserve"> </w:t>
      </w:r>
      <w:r>
        <w:t xml:space="preserve">pin cites beyond p. 823 — pending (Register G-6).</w:t>
      </w:r>
    </w:p>
    <w:p>
      <w:pPr>
        <w:pStyle w:val="Heading3"/>
      </w:pPr>
      <w:bookmarkStart w:id="846" w:name="X10fee2d6bb58f4077ef046b62d3a416cfdaad93"/>
      <w:r>
        <w:t xml:space="preserve">Cross-reference map (section → South Dakota authority)</w:t>
      </w:r>
      <w:bookmarkEnd w:id="846"/>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South Dakota authority</w:t>
            </w:r>
          </w:p>
        </w:tc>
      </w:tr>
      <w:tr>
        <w:tc>
          <w:p>
            <w:pPr>
              <w:pStyle w:val="Compact"/>
              <w:jc w:val="left"/>
            </w:pPr>
            <w:r>
              <w:t xml:space="preserve">§ 2.4 (Omnibus Act)</w:t>
            </w:r>
          </w:p>
        </w:tc>
        <w:tc>
          <w:p>
            <w:pPr>
              <w:pStyle w:val="Compact"/>
              <w:jc w:val="left"/>
            </w:pPr>
            <w:r>
              <w:t xml:space="preserve">Omnibus Enabling Act, 25 Stat. 676</w:t>
            </w:r>
          </w:p>
        </w:tc>
      </w:tr>
      <w:tr>
        <w:tc>
          <w:p>
            <w:pPr>
              <w:pStyle w:val="Compact"/>
              <w:jc w:val="left"/>
            </w:pPr>
            <w:r>
              <w:t xml:space="preserve">Ch. 4 § 4.3 (constitutional incorporation)</w:t>
            </w:r>
          </w:p>
        </w:tc>
        <w:tc>
          <w:p>
            <w:pPr>
              <w:pStyle w:val="Compact"/>
              <w:jc w:val="left"/>
            </w:pPr>
            <w:r>
              <w:t xml:space="preserve">Kanaly</w:t>
            </w:r>
          </w:p>
        </w:tc>
      </w:tr>
      <w:tr>
        <w:tc>
          <w:p>
            <w:pPr>
              <w:pStyle w:val="Compact"/>
              <w:jc w:val="left"/>
            </w:pPr>
            <w:r>
              <w:t xml:space="preserve">Ch. 4 § 4.6(d) (uncompensated inter-agency transfer)</w:t>
            </w:r>
          </w:p>
        </w:tc>
        <w:tc>
          <w:p>
            <w:pPr>
              <w:pStyle w:val="Compact"/>
              <w:jc w:val="left"/>
            </w:pPr>
            <w:r>
              <w:t xml:space="preserve">Kanaly (lead)</w:t>
            </w:r>
          </w:p>
        </w:tc>
      </w:tr>
      <w:tr>
        <w:tc>
          <w:p>
            <w:pPr>
              <w:pStyle w:val="Compact"/>
              <w:jc w:val="left"/>
            </w:pPr>
            <w:r>
              <w:t xml:space="preserve">Ch. 10 (intra-governmental transfers)</w:t>
            </w:r>
          </w:p>
        </w:tc>
        <w:tc>
          <w:p>
            <w:pPr>
              <w:pStyle w:val="Compact"/>
              <w:jc w:val="left"/>
            </w:pPr>
            <w:r>
              <w:t xml:space="preserve">Kanaly (lead, legislative direction); cf. Deer Valley (Ariz.)</w:t>
            </w:r>
          </w:p>
        </w:tc>
      </w:tr>
      <w:tr>
        <w:tc>
          <w:p>
            <w:pPr>
              <w:pStyle w:val="Compact"/>
              <w:jc w:val="left"/>
            </w:pPr>
            <w:r>
              <w:t xml:space="preserve">Ch. 18 (remedies)</w:t>
            </w:r>
          </w:p>
        </w:tc>
        <w:tc>
          <w:p>
            <w:pPr>
              <w:pStyle w:val="Compact"/>
              <w:jc w:val="left"/>
            </w:pPr>
            <w:r>
              <w:t xml:space="preserve">Kanaly</w:t>
            </w:r>
          </w:p>
        </w:tc>
      </w:tr>
    </w:tbl>
    <w:p>
      <w:r>
        <w:pict>
          <v:rect style="width:0;height:1.5pt" o:hralign="center" o:hrstd="t" o:hr="t"/>
        </w:pict>
      </w:r>
    </w:p>
    <w:p>
      <w:pPr>
        <w:pStyle w:val="FirstParagraph"/>
      </w:pPr>
      <w:r>
        <w:rPr>
          <w:i/>
        </w:rPr>
        <w:t xml:space="preserve">End of South Dakota entry v1.</w:t>
      </w:r>
    </w:p>
    <w:p>
      <w:r>
        <w:br w:type="page"/>
      </w:r>
    </w:p>
    <w:p>
      <w:pPr>
        <w:pStyle w:val="Heading1"/>
      </w:pPr>
      <w:bookmarkStart w:id="847" w:name="state-appendix-texas"/>
      <w:r>
        <w:t xml:space="preserve">State Appendix — Texas</w:t>
      </w:r>
      <w:bookmarkEnd w:id="847"/>
    </w:p>
    <w:p>
      <w:pPr>
        <w:pStyle w:val="FirstParagraph"/>
      </w:pPr>
      <w:r>
        <w:rPr>
          <w:i/>
        </w:rPr>
        <w:t xml:space="preserve">Stub entry. The verified hornbook corpus holds no case law for this state (the Library’s authorities register G-8); the case line is queued — see the verification queue (Priority 3). Instrument citation carried as given in the Fifty-States encyclopedia dossier; candidate authorities named there are listed for the harvest, not for citation.</w:t>
      </w:r>
    </w:p>
    <w:p>
      <w:r>
        <w:pict>
          <v:rect style="width:0;height:1.5pt" o:hralign="center" o:hrstd="t" o:hr="t"/>
        </w:pict>
      </w:r>
    </w:p>
    <w:p>
      <w:pPr>
        <w:pStyle w:val="Heading2"/>
      </w:pPr>
      <w:bookmarkStart w:id="848" w:name="Xe4e41206a26b3c725820e0aa888439a98619471"/>
      <w:r>
        <w:t xml:space="preserve">TEXAS (stub — the no-federal-grant structure)</w:t>
      </w:r>
      <w:bookmarkEnd w:id="848"/>
    </w:p>
    <w:p>
      <w:pPr>
        <w:pStyle w:val="FirstParagraph"/>
      </w:pPr>
      <w:r>
        <w:rPr>
          <w:b/>
        </w:rPr>
        <w:t xml:space="preserve">Granting instrument.</w:t>
      </w:r>
      <w:r>
        <w:t xml:space="preserve"> </w:t>
      </w:r>
      <w:r>
        <w:t xml:space="preserve">None federal. Joint Resolution for Annexing Texas to the United States, March 1, 1845, 5 Stat. 797, § 2 (Texas</w:t>
      </w:r>
      <w:r>
        <w:t xml:space="preserve"> </w:t>
      </w:r>
      <w:r>
        <w:t xml:space="preserve">“</w:t>
      </w:r>
      <w:r>
        <w:t xml:space="preserve">shall also retain all the vacant and unappropriated lands lying within its limits … to be disposed of as said State may direct</w:t>
      </w:r>
      <w:r>
        <w:t xml:space="preserve">”</w:t>
      </w:r>
      <w:r>
        <w:t xml:space="preserve">); Joint Resolution for the Admission of the State of Texas into the Union, December 29, 1845, 9 Stat. 108. Texas retained its own public domain; the federal government was never the settlor; there is no Section 16, no Section 36, no enabling-act trust covenant. The school-trust architecture (Permanent School Fund; constitutionalized irreducible fund; independently elected fiduciaries) is located entirely in state law. → Ch. 2 (the structural contrast case — what a school trust looks like when the federal floor is absent); Appendix B (noted as the non-grant exception).</w:t>
      </w:r>
    </w:p>
    <w:p>
      <w:pPr>
        <w:pStyle w:val="BodyText"/>
      </w:pPr>
      <w:r>
        <w:rPr>
          <w:b/>
        </w:rPr>
        <w:t xml:space="preserve">Case line.</w:t>
      </w:r>
      <w:r>
        <w:t xml:space="preserve"> </w:t>
      </w:r>
      <w:r>
        <w:t xml:space="preserve">Not yet collected into the verified corpus — see the verification queue (Priority 3). Texas’s special non-federal-grant structure is flagged in the</w:t>
      </w:r>
      <w:r>
        <w:t xml:space="preserve"> </w:t>
      </w:r>
      <w:r>
        <w:rPr>
          <w:i/>
        </w:rPr>
        <w:t xml:space="preserve">Schools of the Republic</w:t>
      </w:r>
      <w:r>
        <w:t xml:space="preserve"> </w:t>
      </w:r>
      <w:r>
        <w:t xml:space="preserve">revision direction for separate treatment; the Texas constitutional and statutory authorities in the Fifty-States dossier await verification before hornbook use. Prospective feeds: Ch. 3 (state-side architecture doing the work Congress did elsewhere); Ch. 19.</w:t>
      </w:r>
    </w:p>
    <w:p>
      <w:r>
        <w:pict>
          <v:rect style="width:0;height:1.5pt" o:hralign="center" o:hrstd="t" o:hr="t"/>
        </w:pict>
      </w:r>
    </w:p>
    <w:p>
      <w:pPr>
        <w:pStyle w:val="FirstParagraph"/>
      </w:pPr>
      <w:r>
        <w:rPr>
          <w:i/>
        </w:rPr>
        <w:t xml:space="preserve">End of Texas stub v0.</w:t>
      </w:r>
    </w:p>
    <w:p>
      <w:r>
        <w:br w:type="page"/>
      </w:r>
    </w:p>
    <w:p>
      <w:pPr>
        <w:pStyle w:val="Heading1"/>
      </w:pPr>
      <w:bookmarkStart w:id="849" w:name="state-appendix-utah"/>
      <w:r>
        <w:t xml:space="preserve">State Appendix — Utah</w:t>
      </w:r>
      <w:bookmarkEnd w:id="849"/>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850" w:name="utah"/>
      <w:r>
        <w:t xml:space="preserve">UTAH</w:t>
      </w:r>
      <w:bookmarkEnd w:id="850"/>
    </w:p>
    <w:p>
      <w:pPr>
        <w:pStyle w:val="FirstParagraph"/>
      </w:pPr>
      <w:r>
        <w:rPr>
          <w:b/>
        </w:rPr>
        <w:t xml:space="preserve">Granting instrument.</w:t>
      </w:r>
      <w:r>
        <w:t xml:space="preserve"> </w:t>
      </w:r>
      <w:r>
        <w:t xml:space="preserve">Utah Enabling Act of July 16, 1894 (28 Stat. 107)</w:t>
      </w:r>
      <w:r>
        <w:t xml:space="preserve"> </w:t>
      </w:r>
      <w:r>
        <w:t xml:space="preserve">[@act-utah-1894]</w:t>
      </w:r>
      <w:r>
        <w:t xml:space="preserve"> </w:t>
      </w:r>
      <w:r>
        <w:t xml:space="preserve">— sections 2, 16, 32, and 36 of every township (the first quadrupled grant), with additional grants for normal schools, the university, and other institutions; disposition prohibited at less than appraised value; proceeds held in a perpetual fund. → §§ 2.5, 2.7; Appendix B.</w:t>
      </w:r>
    </w:p>
    <w:p>
      <w:pPr>
        <w:pStyle w:val="BodyText"/>
      </w:pPr>
      <w:r>
        <w:rPr>
          <w:b/>
        </w:rPr>
        <w:t xml:space="preserve">Constitutional reception and administering body.</w:t>
      </w:r>
      <w:r>
        <w:t xml:space="preserve"> </w:t>
      </w:r>
      <w:r>
        <w:t xml:space="preserve">Utah was admitted January 4, 1896. The School and Institutional Trust Lands Administration (SITLA), established 1994 as a quasi-independent agency with a single statutory mandate to maximize beneficiary return, manages the lands; the School and Institutional Trust Fund Office (SITFO) manages the financial corpus; earnings reach individual school communities through the School LAND Trust Program. Utah Const. Art. IV § 10</w:t>
      </w:r>
      <w:r>
        <w:t xml:space="preserve"> </w:t>
      </w:r>
      <w:r>
        <w:t xml:space="preserve">[@const-ut-art4]</w:t>
      </w:r>
      <w:r>
        <w:t xml:space="preserve"> </w:t>
      </w:r>
      <w:r>
        <w:t xml:space="preserve">(the public-officials’ oath clause,</w:t>
      </w:r>
      <w:r>
        <w:t xml:space="preserve"> </w:t>
      </w:r>
      <w:r>
        <w:t xml:space="preserve">“</w:t>
      </w:r>
      <w:r>
        <w:t xml:space="preserve">with fidelity</w:t>
      </w:r>
      <w:r>
        <w:t xml:space="preserve">”</w:t>
      </w:r>
      <w:r>
        <w:t xml:space="preserve">) figures in the current Book Cliffs analysis. → Ch. 3; Ch. 19 (the Utah reform model — lead jurisdiction).</w:t>
      </w:r>
    </w:p>
    <w:p>
      <w:pPr>
        <w:pStyle w:val="BodyText"/>
      </w:pPr>
      <w:r>
        <w:rPr>
          <w:b/>
        </w:rPr>
        <w:t xml:space="preserve">Why Utah matters to the field.</w:t>
      </w:r>
      <w:r>
        <w:t xml:space="preserve"> </w:t>
      </w:r>
      <w:r>
        <w:t xml:space="preserve">Utah supplies both the bilateral-compact framing of the granting instruments (the</w:t>
      </w:r>
      <w:r>
        <w:t xml:space="preserve"> </w:t>
      </w:r>
      <w:r>
        <w:rPr>
          <w:i/>
        </w:rPr>
        <w:t xml:space="preserve">Kleppe</w:t>
      </w:r>
      <w:r>
        <w:t xml:space="preserve">–</w:t>
      </w:r>
      <w:r>
        <w:rPr>
          <w:i/>
        </w:rPr>
        <w:t xml:space="preserve">Andrus</w:t>
      </w:r>
      <w:r>
        <w:t xml:space="preserve"> </w:t>
      </w:r>
      <w:r>
        <w:t xml:space="preserve">federal line, including Utah’s named U.S. Supreme Court case) and the strongest state-court articulation of the no-waiver principle (</w:t>
      </w:r>
      <w:r>
        <w:rPr>
          <w:i/>
        </w:rPr>
        <w:t xml:space="preserve">Plateau Mining</w:t>
      </w:r>
      <w:r>
        <w:t xml:space="preserve">,</w:t>
      </w:r>
      <w:r>
        <w:t xml:space="preserve"> </w:t>
      </w:r>
      <w:r>
        <w:rPr>
          <w:i/>
        </w:rPr>
        <w:t xml:space="preserve">NPCA</w:t>
      </w:r>
      <w:r>
        <w:t xml:space="preserve">). It is simultaneously the field’s modern reform exemplar (SITLA/SITFO) and — through the 2026 Book Cliffs direct-sale transaction — the live test of whether reformed architecture withstands the State acting as trustee, seller, and buyer at once.</w:t>
      </w:r>
    </w:p>
    <w:p>
      <w:pPr>
        <w:pStyle w:val="Heading3"/>
      </w:pPr>
      <w:bookmarkStart w:id="851" w:name="the-cases-11"/>
      <w:r>
        <w:t xml:space="preserve">The cases</w:t>
      </w:r>
      <w:bookmarkEnd w:id="851"/>
    </w:p>
    <w:p>
      <w:pPr>
        <w:numPr>
          <w:ilvl w:val="0"/>
          <w:numId w:val="1099"/>
        </w:numPr>
        <w:pStyle w:val="Compact"/>
      </w:pPr>
      <w:r>
        <w:rPr>
          <w:b/>
        </w:rPr>
        <w:t xml:space="preserve">State of Utah v. Kleppe</w:t>
      </w:r>
      <w:r>
        <w:t xml:space="preserve">, 586 F.2d 756 (10th Cir. 1978)</w:t>
      </w:r>
      <w:r>
        <w:t xml:space="preserve"> </w:t>
      </w:r>
      <w:r>
        <w:t xml:space="preserve">[@kleppe-1978]</w:t>
      </w:r>
      <w:r>
        <w:t xml:space="preserve">.</w:t>
      </w:r>
    </w:p>
    <w:p>
      <w:pPr>
        <w:numPr>
          <w:ilvl w:val="1"/>
          <w:numId w:val="1100"/>
        </w:numPr>
        <w:pStyle w:val="Compact"/>
      </w:pPr>
      <w:r>
        <w:rPr>
          <w:i/>
        </w:rPr>
        <w:t xml:space="preserve">Posture.</w:t>
      </w:r>
      <w:r>
        <w:t xml:space="preserve"> </w:t>
      </w:r>
      <w:r>
        <w:t xml:space="preserve">Utah sought indemnity (in-lieu) selections from the Secretary of the Interior to replace lost school sections; the Secretary resisted; summary judgment for Utah affirmed (Judge Barrett).</w:t>
      </w:r>
    </w:p>
    <w:p>
      <w:pPr>
        <w:numPr>
          <w:ilvl w:val="1"/>
          <w:numId w:val="1100"/>
        </w:numPr>
        <w:pStyle w:val="Compact"/>
      </w:pPr>
      <w:r>
        <w:rPr>
          <w:i/>
        </w:rPr>
        <w:t xml:space="preserve">Holdings.</w:t>
      </w:r>
      <w:r>
        <w:t xml:space="preserve"> </w:t>
      </w:r>
      <w:r>
        <w:t xml:space="preserve">The congressional land-grant program</w:t>
      </w:r>
      <w:r>
        <w:t xml:space="preserve"> </w:t>
      </w:r>
      <w:r>
        <w:t xml:space="preserve">“</w:t>
      </w:r>
      <w:r>
        <w:t xml:space="preserve">was bilateral in effect</w:t>
      </w:r>
      <w:r>
        <w:t xml:space="preserve">”</w:t>
      </w:r>
      <w:r>
        <w:t xml:space="preserve">: both the United States and the receiving state incurred enforceable obligations. The grants</w:t>
      </w:r>
      <w:r>
        <w:t xml:space="preserve"> </w:t>
      </w:r>
      <w:r>
        <w:t xml:space="preserve">“</w:t>
      </w:r>
      <w:r>
        <w:t xml:space="preserve">created a binding permanent trust which would generate financial aid to support the public school systems.</w:t>
      </w:r>
      <w:r>
        <w:t xml:space="preserve">”</w:t>
      </w:r>
      <w:r>
        <w:t xml:space="preserve"> </w:t>
      </w:r>
      <w:r>
        <w:t xml:space="preserve">The federal-circuit floor under the modern Utah line and the authority on which the Tenth Circuit’s later school-trust jurisprudence (including</w:t>
      </w:r>
      <w:r>
        <w:t xml:space="preserve"> </w:t>
      </w:r>
      <w:r>
        <w:rPr>
          <w:i/>
        </w:rPr>
        <w:t xml:space="preserve">Branson</w:t>
      </w:r>
      <w:r>
        <w:t xml:space="preserve">) explicitly rests.</w:t>
      </w:r>
    </w:p>
    <w:p>
      <w:pPr>
        <w:numPr>
          <w:ilvl w:val="1"/>
          <w:numId w:val="1100"/>
        </w:numPr>
        <w:pStyle w:val="Compact"/>
      </w:pPr>
      <w:r>
        <w:rPr>
          <w:i/>
        </w:rPr>
        <w:t xml:space="preserve">Supports:</w:t>
      </w:r>
      <w:r>
        <w:t xml:space="preserve"> </w:t>
      </w:r>
      <w:r>
        <w:t xml:space="preserve">§ 2.7 (instruments as compacts); Ch. 4 (binding-trust character).</w:t>
      </w:r>
    </w:p>
    <w:p>
      <w:pPr>
        <w:numPr>
          <w:ilvl w:val="0"/>
          <w:numId w:val="1099"/>
        </w:numPr>
        <w:pStyle w:val="Compact"/>
      </w:pPr>
      <w:r>
        <w:rPr>
          <w:b/>
        </w:rPr>
        <w:t xml:space="preserve">State of Utah v. Andrus</w:t>
      </w:r>
      <w:r>
        <w:t xml:space="preserve">, 486 F. Supp. 995 (D. Utah 1979)</w:t>
      </w:r>
      <w:r>
        <w:t xml:space="preserve"> </w:t>
      </w:r>
      <w:r>
        <w:t xml:space="preserve">[@andrus-1979]</w:t>
      </w:r>
      <w:r>
        <w:t xml:space="preserve">.</w:t>
      </w:r>
    </w:p>
    <w:p>
      <w:pPr>
        <w:numPr>
          <w:ilvl w:val="1"/>
          <w:numId w:val="1101"/>
        </w:numPr>
        <w:pStyle w:val="Compact"/>
      </w:pPr>
      <w:r>
        <w:rPr>
          <w:i/>
        </w:rPr>
        <w:t xml:space="preserve">Posture.</w:t>
      </w:r>
      <w:r>
        <w:t xml:space="preserve"> </w:t>
      </w:r>
      <w:r>
        <w:t xml:space="preserve">District of Utah; access to trust lands encircled by federal land.</w:t>
      </w:r>
    </w:p>
    <w:p>
      <w:pPr>
        <w:numPr>
          <w:ilvl w:val="1"/>
          <w:numId w:val="1101"/>
        </w:numPr>
        <w:pStyle w:val="Compact"/>
      </w:pPr>
      <w:r>
        <w:rPr>
          <w:i/>
        </w:rPr>
        <w:t xml:space="preserve">Holdings.</w:t>
      </w:r>
      <w:r>
        <w:t xml:space="preserve"> </w:t>
      </w:r>
      <w:r>
        <w:t xml:space="preserve">The school trust grants were</w:t>
      </w:r>
      <w:r>
        <w:t xml:space="preserve"> </w:t>
      </w:r>
      <w:r>
        <w:t xml:space="preserve">“</w:t>
      </w:r>
      <w:r>
        <w:t xml:space="preserve">a bilateral compact</w:t>
      </w:r>
      <w:r>
        <w:t xml:space="preserve">”</w:t>
      </w:r>
      <w:r>
        <w:t xml:space="preserve"> </w:t>
      </w:r>
      <w:r>
        <w:t xml:space="preserve">between the United States and Utah, not a unilateral gift; the state must be allowed access to encircled trust lands —</w:t>
      </w:r>
      <w:r>
        <w:t xml:space="preserve"> </w:t>
      </w:r>
      <w:r>
        <w:t xml:space="preserve">“</w:t>
      </w:r>
      <w:r>
        <w:t xml:space="preserve">without access the state could not develop the trust lands in any fashion and they would become economically worthless. This Congress did not intend.</w:t>
      </w:r>
      <w:r>
        <w:t xml:space="preserve">”</w:t>
      </w:r>
    </w:p>
    <w:p>
      <w:pPr>
        <w:numPr>
          <w:ilvl w:val="1"/>
          <w:numId w:val="1101"/>
        </w:numPr>
        <w:pStyle w:val="Compact"/>
      </w:pPr>
      <w:r>
        <w:rPr>
          <w:i/>
        </w:rPr>
        <w:t xml:space="preserve">Supports:</w:t>
      </w:r>
      <w:r>
        <w:t xml:space="preserve"> </w:t>
      </w:r>
      <w:r>
        <w:t xml:space="preserve">§ 2.7 (compacts; the access implication, HB1 nn.27-28); Ch. 4.</w:t>
      </w:r>
    </w:p>
    <w:p>
      <w:pPr>
        <w:numPr>
          <w:ilvl w:val="0"/>
          <w:numId w:val="1099"/>
        </w:numPr>
        <w:pStyle w:val="Compact"/>
      </w:pPr>
      <w:r>
        <w:rPr>
          <w:b/>
        </w:rPr>
        <w:t xml:space="preserve">United States v. Cotter Corporation</w:t>
      </w:r>
      <w:r>
        <w:t xml:space="preserve">, Nos. C 79-0037, C 79-0307 (D. Utah Oct. 1, 1979)</w:t>
      </w:r>
      <w:r>
        <w:t xml:space="preserve"> </w:t>
      </w:r>
      <w:r>
        <w:t xml:space="preserve">[@cotter-1979]</w:t>
      </w:r>
      <w:r>
        <w:t xml:space="preserve">.</w:t>
      </w:r>
    </w:p>
    <w:p>
      <w:pPr>
        <w:numPr>
          <w:ilvl w:val="1"/>
          <w:numId w:val="1102"/>
        </w:numPr>
        <w:pStyle w:val="Compact"/>
      </w:pPr>
      <w:r>
        <w:rPr>
          <w:i/>
        </w:rPr>
        <w:t xml:space="preserve">Posture.</w:t>
      </w:r>
      <w:r>
        <w:t xml:space="preserve"> </w:t>
      </w:r>
      <w:r>
        <w:t xml:space="preserve">Companion to</w:t>
      </w:r>
      <w:r>
        <w:t xml:space="preserve"> </w:t>
      </w:r>
      <w:r>
        <w:rPr>
          <w:i/>
        </w:rPr>
        <w:t xml:space="preserve">Andrus</w:t>
      </w:r>
      <w:r>
        <w:t xml:space="preserve"> </w:t>
      </w:r>
      <w:r>
        <w:t xml:space="preserve">(D. Utah).</w:t>
      </w:r>
    </w:p>
    <w:p>
      <w:pPr>
        <w:numPr>
          <w:ilvl w:val="1"/>
          <w:numId w:val="1102"/>
        </w:numPr>
        <w:pStyle w:val="Compact"/>
      </w:pPr>
      <w:r>
        <w:rPr>
          <w:i/>
        </w:rPr>
        <w:t xml:space="preserve">Holdings.</w:t>
      </w:r>
      <w:r>
        <w:t xml:space="preserve"> </w:t>
      </w:r>
      <w:r>
        <w:t xml:space="preserve">Articulated the bilateral-compact doctrine and the rule that special school-land legislation prevails over later general legislation. (cited in briefing, primary not yet pulled — no primary in the primary-source archive.)</w:t>
      </w:r>
    </w:p>
    <w:p>
      <w:pPr>
        <w:numPr>
          <w:ilvl w:val="1"/>
          <w:numId w:val="1102"/>
        </w:numPr>
        <w:pStyle w:val="Compact"/>
      </w:pPr>
      <w:r>
        <w:rPr>
          <w:i/>
        </w:rPr>
        <w:t xml:space="preserve">Supports:</w:t>
      </w:r>
      <w:r>
        <w:t xml:space="preserve"> </w:t>
      </w:r>
      <w:r>
        <w:t xml:space="preserve">§ 2.8 (continuing federal framework).</w:t>
      </w:r>
    </w:p>
    <w:p>
      <w:pPr>
        <w:numPr>
          <w:ilvl w:val="0"/>
          <w:numId w:val="1099"/>
        </w:numPr>
        <w:pStyle w:val="Compact"/>
      </w:pPr>
      <w:r>
        <w:rPr>
          <w:b/>
        </w:rPr>
        <w:t xml:space="preserve">Andrus v. Utah</w:t>
      </w:r>
      <w:r>
        <w:t xml:space="preserve">, 446 U.S. 500 (1980)</w:t>
      </w:r>
      <w:r>
        <w:t xml:space="preserve"> </w:t>
      </w:r>
      <w:r>
        <w:t xml:space="preserve">[@andrus-1980]</w:t>
      </w:r>
      <w:r>
        <w:t xml:space="preserve">.</w:t>
      </w:r>
    </w:p>
    <w:p>
      <w:pPr>
        <w:numPr>
          <w:ilvl w:val="1"/>
          <w:numId w:val="1103"/>
        </w:numPr>
        <w:pStyle w:val="Compact"/>
      </w:pPr>
      <w:r>
        <w:rPr>
          <w:i/>
        </w:rPr>
        <w:t xml:space="preserve">Posture.</w:t>
      </w:r>
      <w:r>
        <w:t xml:space="preserve"> </w:t>
      </w:r>
      <w:r>
        <w:t xml:space="preserve">Certiorari from the Tenth Circuit on the indemnity-selection dispute; reversed — the Secretary’s</w:t>
      </w:r>
      <w:r>
        <w:t xml:space="preserve"> </w:t>
      </w:r>
      <w:r>
        <w:t xml:space="preserve">“</w:t>
      </w:r>
      <w:r>
        <w:t xml:space="preserve">grossly disparate value</w:t>
      </w:r>
      <w:r>
        <w:t xml:space="preserve">”</w:t>
      </w:r>
      <w:r>
        <w:t xml:space="preserve"> </w:t>
      </w:r>
      <w:r>
        <w:t xml:space="preserve">policy upheld as lawful discretion under Section 7 of the Taylor Grazing Act.</w:t>
      </w:r>
    </w:p>
    <w:p>
      <w:pPr>
        <w:numPr>
          <w:ilvl w:val="1"/>
          <w:numId w:val="1103"/>
        </w:numPr>
        <w:pStyle w:val="Compact"/>
      </w:pPr>
      <w:r>
        <w:rPr>
          <w:i/>
        </w:rPr>
        <w:t xml:space="preserve">Holdings.</w:t>
      </w:r>
      <w:r>
        <w:t xml:space="preserve"> </w:t>
      </w:r>
      <w:r>
        <w:t xml:space="preserve">The doctrinal contribution is the framing: Justice Stevens described the school-lands grant as</w:t>
      </w:r>
      <w:r>
        <w:t xml:space="preserve"> </w:t>
      </w:r>
      <w:r>
        <w:t xml:space="preserve">“</w:t>
      </w:r>
      <w:r>
        <w:t xml:space="preserve">a</w:t>
      </w:r>
      <w:r>
        <w:t xml:space="preserve"> </w:t>
      </w:r>
      <w:r>
        <w:t xml:space="preserve">‘</w:t>
      </w:r>
      <w:r>
        <w:t xml:space="preserve">solemn agreement</w:t>
      </w:r>
      <w:r>
        <w:t xml:space="preserve">’</w:t>
      </w:r>
      <w:r>
        <w:t xml:space="preserve"> </w:t>
      </w:r>
      <w:r>
        <w:t xml:space="preserve">which in some ways may be analogized to a contract between private parties,</w:t>
      </w:r>
      <w:r>
        <w:t xml:space="preserve">”</w:t>
      </w:r>
      <w:r>
        <w:t xml:space="preserve"> </w:t>
      </w:r>
      <w:r>
        <w:t xml:space="preserve">with the indemnity right existing</w:t>
      </w:r>
      <w:r>
        <w:t xml:space="preserve"> </w:t>
      </w:r>
      <w:r>
        <w:t xml:space="preserve">“</w:t>
      </w:r>
      <w:r>
        <w:t xml:space="preserve">to give the State the benefit of the bargain.</w:t>
      </w:r>
      <w:r>
        <w:t xml:space="preserve">”</w:t>
      </w:r>
      <w:r>
        <w:t xml:space="preserve"> </w:t>
      </w:r>
      <w:r>
        <w:t xml:space="preserve">Justice Powell’s dissent (joined by Burger, C.J., and Blackmun and Rehnquist, JJ., at 522-23 per the Library’s authorities register) supplied the formulation later courts most often quote: the grants were</w:t>
      </w:r>
      <w:r>
        <w:t xml:space="preserve"> </w:t>
      </w:r>
      <w:r>
        <w:t xml:space="preserve">“</w:t>
      </w:r>
      <w:r>
        <w:t xml:space="preserve">solemn bilateral compacts between each State and the Federal Government,</w:t>
      </w:r>
      <w:r>
        <w:t xml:space="preserve">”</w:t>
      </w:r>
      <w:r>
        <w:t xml:space="preserve"> </w:t>
      </w:r>
      <w:r>
        <w:t xml:space="preserve">and Congress</w:t>
      </w:r>
      <w:r>
        <w:t xml:space="preserve"> </w:t>
      </w:r>
      <w:r>
        <w:t xml:space="preserve">“</w:t>
      </w:r>
      <w:r>
        <w:t xml:space="preserve">imposed upon the State a binding and perpetual obligation to use the granted lands for the support of public education.</w:t>
      </w:r>
      <w:r>
        <w:t xml:space="preserve">”</w:t>
      </w:r>
      <w:r>
        <w:t xml:space="preserve"> </w:t>
      </w:r>
      <w:r>
        <w:t xml:space="preserve">The Powell formulation is the one the Oregon Supreme Court cited approvingly in</w:t>
      </w:r>
      <w:r>
        <w:t xml:space="preserve"> </w:t>
      </w:r>
      <w:r>
        <w:rPr>
          <w:i/>
        </w:rPr>
        <w:t xml:space="preserve">Cascadia Wildlands</w:t>
      </w:r>
      <w:r>
        <w:t xml:space="preserve">, 365 Or 750, 752 n.1 (2019)</w:t>
      </w:r>
      <w:r>
        <w:t xml:space="preserve"> </w:t>
      </w:r>
      <w:r>
        <w:t xml:space="preserve">[@cascadia-2019]</w:t>
      </w:r>
      <w:r>
        <w:t xml:space="preserve">. One of the six U.S. Supreme Court school-trust authorities.</w:t>
      </w:r>
    </w:p>
    <w:p>
      <w:pPr>
        <w:numPr>
          <w:ilvl w:val="1"/>
          <w:numId w:val="1103"/>
        </w:numPr>
        <w:pStyle w:val="Compact"/>
      </w:pPr>
      <w:r>
        <w:rPr>
          <w:i/>
        </w:rPr>
        <w:t xml:space="preserve">Supports:</w:t>
      </w:r>
      <w:r>
        <w:t xml:space="preserve"> </w:t>
      </w:r>
      <w:r>
        <w:t xml:space="preserve">§§ 2.7-2.8; Ch. 4 (the compact framing both sides of the trust-character debate must engage).</w:t>
      </w:r>
    </w:p>
    <w:p>
      <w:pPr>
        <w:numPr>
          <w:ilvl w:val="0"/>
          <w:numId w:val="1099"/>
        </w:numPr>
        <w:pStyle w:val="Compact"/>
      </w:pPr>
      <w:r>
        <w:rPr>
          <w:b/>
        </w:rPr>
        <w:t xml:space="preserve">Jensen v. Dinehart</w:t>
      </w:r>
      <w:r>
        <w:t xml:space="preserve">, 645 P.2d 32 (Utah 1982)</w:t>
      </w:r>
      <w:r>
        <w:t xml:space="preserve"> </w:t>
      </w:r>
      <w:r>
        <w:t xml:space="preserve">[@jensen-1982]</w:t>
      </w:r>
      <w:r>
        <w:t xml:space="preserve"> </w:t>
      </w:r>
      <w:r>
        <w:t xml:space="preserve">(decided Mar. 10, 1982; Hall, C.J.; Oaks, J., concurring in part and dissenting in part). Verified against the full L0 opinion, 2026-06-10.</w:t>
      </w:r>
    </w:p>
    <w:p>
      <w:pPr>
        <w:numPr>
          <w:ilvl w:val="1"/>
          <w:numId w:val="1104"/>
        </w:numPr>
        <w:pStyle w:val="Compact"/>
      </w:pPr>
      <w:r>
        <w:rPr>
          <w:i/>
        </w:rPr>
        <w:t xml:space="preserve">Holdings.</w:t>
      </w:r>
      <w:r>
        <w:t xml:space="preserve"> </w:t>
      </w:r>
      <w:r>
        <w:t xml:space="preserve">MAJORITY: school-section mineral proceeds are properly placed in the currently expendable Uniform School Fund (</w:t>
      </w:r>
      <w:r>
        <w:rPr>
          <w:i/>
        </w:rPr>
        <w:t xml:space="preserve">35); the trial court’s contrary declaratory judgment reversed — a holding adverse to the trust position. OAKS, J., separate opinion (</w:t>
      </w:r>
      <w:r>
        <w:t xml:space="preserve">36-37): the Jones Act exhibits no intent to remove or modify the trust restriction Congress imposed on sections granted under the 1894 Enabling Act (citing</w:t>
      </w:r>
      <w:r>
        <w:t xml:space="preserve"> </w:t>
      </w:r>
      <w:r>
        <w:rPr>
          <w:i/>
        </w:rPr>
        <w:t xml:space="preserve">State ex rel. Williamson v. Commissioners of the Land Office</w:t>
      </w:r>
      <w:r>
        <w:t xml:space="preserve">, 301 P.2d 655 (Okla. 1956)) — trust-protective, but not the holding. Cite with full attribution; the special-prevails-over-general rule rests independently on</w:t>
      </w:r>
      <w:r>
        <w:t xml:space="preserve"> </w:t>
      </w:r>
      <w:r>
        <w:rPr>
          <w:i/>
        </w:rPr>
        <w:t xml:space="preserve">Cotter Corp.</w:t>
      </w:r>
    </w:p>
    <w:p>
      <w:pPr>
        <w:numPr>
          <w:ilvl w:val="1"/>
          <w:numId w:val="1104"/>
        </w:numPr>
        <w:pStyle w:val="Compact"/>
      </w:pPr>
      <w:r>
        <w:rPr>
          <w:i/>
        </w:rPr>
        <w:t xml:space="preserve">Supports:</w:t>
      </w:r>
      <w:r>
        <w:t xml:space="preserve"> </w:t>
      </w:r>
      <w:r>
        <w:t xml:space="preserve">§ 2.8.</w:t>
      </w:r>
    </w:p>
    <w:p>
      <w:pPr>
        <w:numPr>
          <w:ilvl w:val="0"/>
          <w:numId w:val="1099"/>
        </w:numPr>
        <w:pStyle w:val="Compact"/>
      </w:pPr>
      <w:r>
        <w:rPr>
          <w:b/>
        </w:rPr>
        <w:t xml:space="preserve">Plateau Mining Co. v. Utah Division of State Lands and Forestry</w:t>
      </w:r>
      <w:r>
        <w:t xml:space="preserve">, 802 P.2d 720 (Utah 1990)</w:t>
      </w:r>
      <w:r>
        <w:t xml:space="preserve"> </w:t>
      </w:r>
      <w:r>
        <w:t xml:space="preserve">[@plateau-1990]</w:t>
      </w:r>
      <w:r>
        <w:t xml:space="preserve">.</w:t>
      </w:r>
    </w:p>
    <w:p>
      <w:pPr>
        <w:numPr>
          <w:ilvl w:val="1"/>
          <w:numId w:val="1105"/>
        </w:numPr>
        <w:pStyle w:val="Compact"/>
      </w:pPr>
      <w:r>
        <w:rPr>
          <w:i/>
        </w:rPr>
        <w:t xml:space="preserve">Posture.</w:t>
      </w:r>
      <w:r>
        <w:t xml:space="preserve"> </w:t>
      </w:r>
      <w:r>
        <w:t xml:space="preserve">Coal-lease royalty underpayment accepted by the Division for years without protest; when the Division asserted the full rate, the lessee pleaded waiver and estoppel; both rejected.</w:t>
      </w:r>
    </w:p>
    <w:p>
      <w:pPr>
        <w:numPr>
          <w:ilvl w:val="1"/>
          <w:numId w:val="1105"/>
        </w:numPr>
        <w:pStyle w:val="Compact"/>
      </w:pPr>
      <w:r>
        <w:rPr>
          <w:i/>
        </w:rPr>
        <w:t xml:space="preserve">Holdings.</w:t>
      </w:r>
      <w:r>
        <w:t xml:space="preserve"> </w:t>
      </w:r>
      <w:r>
        <w:t xml:space="preserve">The State as trustee of school trust lands owes the same fiduciary duties as any private trustee, including loyalty to the beneficiaries. Prior acceptance of below-market consideration cannot constitute waiver, because the trustee has no authority to waive the beneficiaries’ interest; estoppel cannot be asserted against the State on trust lands; the statute of limitations has no application to school-trust claims of this character. The leading Utah authority on no-waiver (79 citations per dossier).</w:t>
      </w:r>
    </w:p>
    <w:p>
      <w:pPr>
        <w:numPr>
          <w:ilvl w:val="1"/>
          <w:numId w:val="1105"/>
        </w:numPr>
        <w:pStyle w:val="Compact"/>
      </w:pPr>
      <w:r>
        <w:rPr>
          <w:i/>
        </w:rPr>
        <w:t xml:space="preserve">Supports:</w:t>
      </w:r>
      <w:r>
        <w:t xml:space="preserve"> </w:t>
      </w:r>
      <w:r>
        <w:t xml:space="preserve">Ch. 4 (§ 4.6(c), no waiver / no limitations); Ch. 11 (royalty underpayment, waiver, estoppel — lead case); Ch. 12 (accounting consequences).</w:t>
      </w:r>
    </w:p>
    <w:p>
      <w:pPr>
        <w:numPr>
          <w:ilvl w:val="0"/>
          <w:numId w:val="1099"/>
        </w:numPr>
        <w:pStyle w:val="Compact"/>
      </w:pPr>
      <w:r>
        <w:rPr>
          <w:b/>
        </w:rPr>
        <w:t xml:space="preserve">National Parks and Conservation Association v. Board of State Lands and Forestry</w:t>
      </w:r>
      <w:r>
        <w:t xml:space="preserve">, 869 P.2d 909 (Utah 1993)</w:t>
      </w:r>
      <w:r>
        <w:t xml:space="preserve"> </w:t>
      </w:r>
      <w:r>
        <w:t xml:space="preserve">[@npca-1993]</w:t>
      </w:r>
      <w:r>
        <w:t xml:space="preserve">.</w:t>
      </w:r>
    </w:p>
    <w:p>
      <w:pPr>
        <w:numPr>
          <w:ilvl w:val="1"/>
          <w:numId w:val="1106"/>
        </w:numPr>
        <w:pStyle w:val="Compact"/>
      </w:pPr>
      <w:r>
        <w:rPr>
          <w:i/>
        </w:rPr>
        <w:t xml:space="preserve">Posture.</w:t>
      </w:r>
      <w:r>
        <w:t xml:space="preserve"> </w:t>
      </w:r>
      <w:r>
        <w:t xml:space="preserve">The Division approved an exchange of a school-trust section inside Capitol Reef National Park for Garfield County lands; NPCA’s intervention denied; nine administrative declaratory rulings issued; the Utah Supreme Court (Stewart, J.) reversed the key rulings.</w:t>
      </w:r>
    </w:p>
    <w:p>
      <w:pPr>
        <w:numPr>
          <w:ilvl w:val="1"/>
          <w:numId w:val="1106"/>
        </w:numPr>
        <w:pStyle w:val="Compact"/>
      </w:pPr>
      <w:r>
        <w:rPr>
          <w:i/>
        </w:rPr>
        <w:t xml:space="preserve">Holdings.</w:t>
      </w:r>
      <w:r>
        <w:t xml:space="preserve"> </w:t>
      </w:r>
      <w:r>
        <w:t xml:space="preserve">The school-land trust is imposed</w:t>
      </w:r>
      <w:r>
        <w:t xml:space="preserve"> </w:t>
      </w:r>
      <w:r>
        <w:t xml:space="preserve">“</w:t>
      </w:r>
      <w:r>
        <w:t xml:space="preserve">not only on the disposition of proceeds from school trust lands, but also on the use of the land itself.</w:t>
      </w:r>
      <w:r>
        <w:t xml:space="preserve">”</w:t>
      </w:r>
      <w:r>
        <w:t xml:space="preserve"> </w:t>
      </w:r>
      <w:r>
        <w:t xml:space="preserve">An appraisal</w:t>
      </w:r>
      <w:r>
        <w:t xml:space="preserve"> </w:t>
      </w:r>
      <w:r>
        <w:t xml:space="preserve">“</w:t>
      </w:r>
      <w:r>
        <w:t xml:space="preserve">submitted by a party intending to purchase a trust asset is suspect on its face, even when performed by an independent and reputable appraiser, because the buyer has the opportunity to shop for favorable appraisals</w:t>
      </w:r>
      <w:r>
        <w:t xml:space="preserve">”</w:t>
      </w:r>
      <w:r>
        <w:t xml:space="preserve"> </w:t>
      </w:r>
      <w:r>
        <w:t xml:space="preserve">(869 P.2d at 922, verified verbatim against the full L0 opinion) and cannot satisfy the trustee’s duty of independent valuation. Whether</w:t>
      </w:r>
      <w:r>
        <w:t xml:space="preserve"> </w:t>
      </w:r>
      <w:r>
        <w:t xml:space="preserve">“</w:t>
      </w:r>
      <w:r>
        <w:t xml:space="preserve">scenic, aesthetic, and recreational values</w:t>
      </w:r>
      <w:r>
        <w:t xml:space="preserve">”</w:t>
      </w:r>
      <w:r>
        <w:t xml:space="preserve"> </w:t>
      </w:r>
      <w:r>
        <w:t xml:space="preserve">should be preferred over income maximization is resolved for income maximization unless the trust is compensated for any deviation (Durham, J., concurring on the narrower ground that economic interests</w:t>
      </w:r>
      <w:r>
        <w:t xml:space="preserve"> </w:t>
      </w:r>
      <w:r>
        <w:t xml:space="preserve">“</w:t>
      </w:r>
      <w:r>
        <w:t xml:space="preserve">ordinarily will prevail</w:t>
      </w:r>
      <w:r>
        <w:t xml:space="preserve">”</w:t>
      </w:r>
      <w:r>
        <w:t xml:space="preserve">). Treated as settled since: inconsistent statutes and practices are unconstitutional and void; the independent-evaluation duty is non-delegable. (A distinct 2010 opinion does exist, but the Response’s</w:t>
      </w:r>
      <w:r>
        <w:t xml:space="preserve"> </w:t>
      </w:r>
      <w:r>
        <w:t xml:space="preserve">“</w:t>
      </w:r>
      <w:r>
        <w:t xml:space="preserve">Bd. of State Lands (Utah 2010)</w:t>
      </w:r>
      <w:r>
        <w:t xml:space="preserve">”</w:t>
      </w:r>
      <w:r>
        <w:t xml:space="preserve"> </w:t>
      </w:r>
      <w:r>
        <w:t xml:space="preserve">is a caption conflation, not a year error: the 2010 case is</w:t>
      </w:r>
      <w:r>
        <w:t xml:space="preserve"> </w:t>
      </w:r>
      <w:r>
        <w:rPr>
          <w:i/>
        </w:rPr>
        <w:t xml:space="preserve">National Parks Conservation Ass’n v. Board of Trustees of SITLA</w:t>
      </w:r>
      <w:r>
        <w:t xml:space="preserve">, 2010 UT 13, 231 P.3d 1193 (NPCA II) — the Burr Trail / Capitol Reef section 16 sequel that affirmed the redone exchange; the 1993 case here is v.</w:t>
      </w:r>
      <w:r>
        <w:t xml:space="preserve"> </w:t>
      </w:r>
      <w:r>
        <w:rPr>
          <w:i/>
        </w:rPr>
        <w:t xml:space="preserve">Board of State Lands</w:t>
      </w:r>
      <w:r>
        <w:t xml:space="preserve">. Do not conflate the two.)</w:t>
      </w:r>
    </w:p>
    <w:p>
      <w:pPr>
        <w:numPr>
          <w:ilvl w:val="1"/>
          <w:numId w:val="1106"/>
        </w:numPr>
        <w:pStyle w:val="Compact"/>
      </w:pPr>
      <w:r>
        <w:rPr>
          <w:i/>
        </w:rPr>
        <w:t xml:space="preserve">Supports:</w:t>
      </w:r>
      <w:r>
        <w:t xml:space="preserve"> </w:t>
      </w:r>
      <w:r>
        <w:t xml:space="preserve">Ch. 7 (income maximization — lead case with</w:t>
      </w:r>
      <w:r>
        <w:t xml:space="preserve"> </w:t>
      </w:r>
      <w:r>
        <w:rPr>
          <w:i/>
        </w:rPr>
        <w:t xml:space="preserve">Plateau</w:t>
      </w:r>
      <w:r>
        <w:t xml:space="preserve">); Ch. 9 (independent appraisal); Ch. 10 (buyer-procured appraisals; exchanges).</w:t>
      </w:r>
    </w:p>
    <w:p>
      <w:pPr>
        <w:pStyle w:val="Heading3"/>
      </w:pPr>
      <w:bookmarkStart w:id="852" w:name="X8848fbcd8629806a43dc8a06164c6142fa61750"/>
      <w:r>
        <w:t xml:space="preserve">Current development — described from the public record only</w:t>
      </w:r>
      <w:bookmarkEnd w:id="852"/>
    </w:p>
    <w:p>
      <w:pPr>
        <w:numPr>
          <w:ilvl w:val="0"/>
          <w:numId w:val="1107"/>
        </w:numPr>
        <w:pStyle w:val="Compact"/>
      </w:pPr>
      <w:r>
        <w:rPr>
          <w:b/>
        </w:rPr>
        <w:t xml:space="preserve">Book Cliffs direct-sale transaction (2025–2026).</w:t>
      </w:r>
      <w:r>
        <w:t xml:space="preserve"> </w:t>
      </w:r>
      <w:r>
        <w:t xml:space="preserve">Under House Bill 262 (2024 session), codified as Utah Code § 53C-4-104</w:t>
      </w:r>
      <w:r>
        <w:t xml:space="preserve"> </w:t>
      </w:r>
      <w:r>
        <w:t xml:space="preserve">[@act-utah-hb262]</w:t>
      </w:r>
      <w:r>
        <w:t xml:space="preserve">, with implementing rule R850-80-630 (finalized late 2025), the Utah Trust Lands Administration is authorized to sell contiguous blocks of more than 5,000 acres directly to the Utah Department of Natural Resources without public auction. The proposed transaction covers approximately 50,608 acres in the Book Cliffs region of Grand County, with the $50 million purchase price drawn from the Public Education Economic Stabilization Restricted Account. Advocates for School Trust Lands has published a critical analysis (Tonia Day,</w:t>
      </w:r>
      <w:r>
        <w:t xml:space="preserve"> </w:t>
      </w:r>
      <w:r>
        <w:rPr>
          <w:i/>
        </w:rPr>
        <w:t xml:space="preserve">The Self-Dealing Shell Game: Utah’s Book Cliffs Deal</w:t>
      </w:r>
      <w:r>
        <w:t xml:space="preserve">, May 2026)</w:t>
      </w:r>
      <w:r>
        <w:t xml:space="preserve"> </w:t>
      </w:r>
      <w:r>
        <w:t xml:space="preserve">[@day-bookcliffs-2026]</w:t>
      </w:r>
      <w:r>
        <w:t xml:space="preserve"> </w:t>
      </w:r>
      <w:r>
        <w:t xml:space="preserve">characterizing the transaction as a breach of trust on self-dealing, auction-bypass, and fund-source grounds; the State’s position has not been articulated in litigation, and as of May 2026 no challenge has been filed. The matter is contested, not adjudicated. [Per memory/STATUS, the TLA board acted May 21, 2026 — verify current transaction status before publication.]</w:t>
      </w:r>
    </w:p>
    <w:p>
      <w:pPr>
        <w:numPr>
          <w:ilvl w:val="1"/>
          <w:numId w:val="1108"/>
        </w:numPr>
        <w:pStyle w:val="Compact"/>
      </w:pPr>
      <w:r>
        <w:rPr>
          <w:i/>
        </w:rPr>
        <w:t xml:space="preserve">Supports:</w:t>
      </w:r>
      <w:r>
        <w:t xml:space="preserve"> </w:t>
      </w:r>
      <w:r>
        <w:t xml:space="preserve">Ch. 10 (contemporary direct-sale-to-agency statutes); Ch. 19 (reform’s open problems — named example in the architecture).</w:t>
      </w:r>
    </w:p>
    <w:p>
      <w:pPr>
        <w:pStyle w:val="Heading3"/>
      </w:pPr>
      <w:bookmarkStart w:id="853" w:name="Xea632c3dc08c11ddb721fe155d2d84a5a53a7ea"/>
      <w:r>
        <w:t xml:space="preserve">Cross-reference map (section → Utah authority)</w:t>
      </w:r>
      <w:bookmarkEnd w:id="853"/>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Utah authority</w:t>
            </w:r>
          </w:p>
        </w:tc>
      </w:tr>
      <w:tr>
        <w:tc>
          <w:p>
            <w:pPr>
              <w:pStyle w:val="Compact"/>
              <w:jc w:val="left"/>
            </w:pPr>
            <w:r>
              <w:t xml:space="preserve">§ 2.5 (quadrupled grant, 1894)</w:t>
            </w:r>
          </w:p>
        </w:tc>
        <w:tc>
          <w:p>
            <w:pPr>
              <w:pStyle w:val="Compact"/>
              <w:jc w:val="left"/>
            </w:pPr>
            <w:r>
              <w:t xml:space="preserve">Utah Enabling Act, 28 Stat. 107</w:t>
            </w:r>
          </w:p>
        </w:tc>
      </w:tr>
      <w:tr>
        <w:tc>
          <w:p>
            <w:pPr>
              <w:pStyle w:val="Compact"/>
              <w:jc w:val="left"/>
            </w:pPr>
            <w:r>
              <w:t xml:space="preserve">§ 2.7 (instruments as compacts)</w:t>
            </w:r>
          </w:p>
        </w:tc>
        <w:tc>
          <w:p>
            <w:pPr>
              <w:pStyle w:val="Compact"/>
              <w:jc w:val="left"/>
            </w:pPr>
            <w:r>
              <w:t xml:space="preserve">Kleppe; Utah v. Andrus; Andrus v. Utah</w:t>
            </w:r>
          </w:p>
        </w:tc>
      </w:tr>
      <w:tr>
        <w:tc>
          <w:p>
            <w:pPr>
              <w:pStyle w:val="Compact"/>
              <w:jc w:val="left"/>
            </w:pPr>
            <w:r>
              <w:t xml:space="preserve">§ 2.8 (continuing framework; special over general)</w:t>
            </w:r>
          </w:p>
        </w:tc>
        <w:tc>
          <w:p>
            <w:pPr>
              <w:pStyle w:val="Compact"/>
              <w:jc w:val="left"/>
            </w:pPr>
            <w:r>
              <w:t xml:space="preserve">Cotter; Jensen v. Dinehart</w:t>
            </w:r>
          </w:p>
        </w:tc>
      </w:tr>
      <w:tr>
        <w:tc>
          <w:p>
            <w:pPr>
              <w:pStyle w:val="Compact"/>
              <w:jc w:val="left"/>
            </w:pPr>
            <w:r>
              <w:t xml:space="preserve">Ch. 4 (trust character)</w:t>
            </w:r>
          </w:p>
        </w:tc>
        <w:tc>
          <w:p>
            <w:pPr>
              <w:pStyle w:val="Compact"/>
              <w:jc w:val="left"/>
            </w:pPr>
            <w:r>
              <w:t xml:space="preserve">Kleppe; Andrus v. Utah (Powell dissent)</w:t>
            </w:r>
          </w:p>
        </w:tc>
      </w:tr>
      <w:tr>
        <w:tc>
          <w:p>
            <w:pPr>
              <w:pStyle w:val="Compact"/>
              <w:jc w:val="left"/>
            </w:pPr>
            <w:r>
              <w:t xml:space="preserve">Ch. 4 § 4.6(c) (no waiver / no limitations)</w:t>
            </w:r>
          </w:p>
        </w:tc>
        <w:tc>
          <w:p>
            <w:pPr>
              <w:pStyle w:val="Compact"/>
              <w:jc w:val="left"/>
            </w:pPr>
            <w:r>
              <w:t xml:space="preserve">Plateau Mining (lead)</w:t>
            </w:r>
          </w:p>
        </w:tc>
      </w:tr>
      <w:tr>
        <w:tc>
          <w:p>
            <w:pPr>
              <w:pStyle w:val="Compact"/>
              <w:jc w:val="left"/>
            </w:pPr>
            <w:r>
              <w:t xml:space="preserve">Ch. 7 (income maximization)</w:t>
            </w:r>
          </w:p>
        </w:tc>
        <w:tc>
          <w:p>
            <w:pPr>
              <w:pStyle w:val="Compact"/>
              <w:jc w:val="left"/>
            </w:pPr>
            <w:r>
              <w:t xml:space="preserve">NPCA</w:t>
            </w:r>
          </w:p>
        </w:tc>
      </w:tr>
      <w:tr>
        <w:tc>
          <w:p>
            <w:pPr>
              <w:pStyle w:val="Compact"/>
              <w:jc w:val="left"/>
            </w:pPr>
            <w:r>
              <w:t xml:space="preserve">Ch. 9 (independent appraisal)</w:t>
            </w:r>
          </w:p>
        </w:tc>
        <w:tc>
          <w:p>
            <w:pPr>
              <w:pStyle w:val="Compact"/>
              <w:jc w:val="left"/>
            </w:pPr>
            <w:r>
              <w:t xml:space="preserve">NPCA</w:t>
            </w:r>
          </w:p>
        </w:tc>
      </w:tr>
      <w:tr>
        <w:tc>
          <w:p>
            <w:pPr>
              <w:pStyle w:val="Compact"/>
              <w:jc w:val="left"/>
            </w:pPr>
            <w:r>
              <w:t xml:space="preserve">Ch. 10 (self-dealing; direct-sale statutes)</w:t>
            </w:r>
          </w:p>
        </w:tc>
        <w:tc>
          <w:p>
            <w:pPr>
              <w:pStyle w:val="Compact"/>
              <w:jc w:val="left"/>
            </w:pPr>
            <w:r>
              <w:t xml:space="preserve">NPCA; Utah Code § 53C-4-104 (Book Cliffs, contested)</w:t>
            </w:r>
          </w:p>
        </w:tc>
      </w:tr>
      <w:tr>
        <w:tc>
          <w:p>
            <w:pPr>
              <w:pStyle w:val="Compact"/>
              <w:jc w:val="left"/>
            </w:pPr>
            <w:r>
              <w:t xml:space="preserve">Ch. 11 (royalties; waiver; estoppel)</w:t>
            </w:r>
          </w:p>
        </w:tc>
        <w:tc>
          <w:p>
            <w:pPr>
              <w:pStyle w:val="Compact"/>
              <w:jc w:val="left"/>
            </w:pPr>
            <w:r>
              <w:t xml:space="preserve">Plateau Mining (lead)</w:t>
            </w:r>
          </w:p>
        </w:tc>
      </w:tr>
      <w:tr>
        <w:tc>
          <w:p>
            <w:pPr>
              <w:pStyle w:val="Compact"/>
              <w:jc w:val="left"/>
            </w:pPr>
            <w:r>
              <w:t xml:space="preserve">Ch. 12 (accounting)</w:t>
            </w:r>
          </w:p>
        </w:tc>
        <w:tc>
          <w:p>
            <w:pPr>
              <w:pStyle w:val="Compact"/>
              <w:jc w:val="left"/>
            </w:pPr>
            <w:r>
              <w:t xml:space="preserve">Plateau Mining</w:t>
            </w:r>
          </w:p>
        </w:tc>
      </w:tr>
      <w:tr>
        <w:tc>
          <w:p>
            <w:pPr>
              <w:pStyle w:val="Compact"/>
              <w:jc w:val="left"/>
            </w:pPr>
            <w:r>
              <w:t xml:space="preserve">Ch. 19 (structural reform)</w:t>
            </w:r>
          </w:p>
        </w:tc>
        <w:tc>
          <w:p>
            <w:pPr>
              <w:pStyle w:val="Compact"/>
              <w:jc w:val="left"/>
            </w:pPr>
            <w:r>
              <w:t xml:space="preserve">SITLA/SITFO model (lead); H.B. 262 as open problem</w:t>
            </w:r>
          </w:p>
        </w:tc>
      </w:tr>
    </w:tbl>
    <w:p>
      <w:r>
        <w:pict>
          <v:rect style="width:0;height:1.5pt" o:hralign="center" o:hrstd="t" o:hr="t"/>
        </w:pict>
      </w:r>
    </w:p>
    <w:p>
      <w:pPr>
        <w:pStyle w:val="FirstParagraph"/>
      </w:pPr>
      <w:r>
        <w:rPr>
          <w:i/>
        </w:rPr>
        <w:t xml:space="preserve">End of Utah entry v1.</w:t>
      </w:r>
    </w:p>
    <w:p>
      <w:r>
        <w:br w:type="page"/>
      </w:r>
    </w:p>
    <w:p>
      <w:pPr>
        <w:pStyle w:val="Heading1"/>
      </w:pPr>
      <w:bookmarkStart w:id="854" w:name="state-appendix-washington"/>
      <w:r>
        <w:t xml:space="preserve">State Appendix — Washington</w:t>
      </w:r>
      <w:bookmarkEnd w:id="854"/>
    </w:p>
    <w:p>
      <w:pPr>
        <w:pStyle w:val="FirstParagraph"/>
      </w:pPr>
      <w:r>
        <w:rPr>
          <w:i/>
        </w:rPr>
        <w:t xml:space="preserve">Form per the Nebraska proving sample; cross-cites per the renumbered working edition. Cross-checked against the Library’s authorities register.</w:t>
      </w:r>
    </w:p>
    <w:p>
      <w:r>
        <w:pict>
          <v:rect style="width:0;height:1.5pt" o:hralign="center" o:hrstd="t" o:hr="t"/>
        </w:pict>
      </w:r>
    </w:p>
    <w:p>
      <w:pPr>
        <w:pStyle w:val="Heading2"/>
      </w:pPr>
      <w:bookmarkStart w:id="855" w:name="washington"/>
      <w:r>
        <w:t xml:space="preserve">WASHINGTON</w:t>
      </w:r>
      <w:bookmarkEnd w:id="855"/>
    </w:p>
    <w:p>
      <w:pPr>
        <w:pStyle w:val="FirstParagraph"/>
      </w:pPr>
      <w:r>
        <w:rPr>
          <w:b/>
        </w:rPr>
        <w:t xml:space="preserve">Granting instrument.</w:t>
      </w:r>
      <w:r>
        <w:t xml:space="preserve"> </w:t>
      </w:r>
      <w:r>
        <w:t xml:space="preserve">Omnibus Enabling Act of February 22, 1889 (25 Stat. 676)</w:t>
      </w:r>
      <w:r>
        <w:t xml:space="preserve"> </w:t>
      </w:r>
      <w:r>
        <w:t xml:space="preserve">[@act-omnibus-1889]</w:t>
      </w:r>
      <w:r>
        <w:t xml:space="preserve">, admitting Washington with Montana and the Dakotas — sections 16 and 36 of every township in trust for common schools, with additional grants for the state university, normal schools, agricultural colleges, scientific schools, public buildings, and charitable and penal institutions, each held as a distinct trust for its named beneficiary. → §§ 2.4, 2.7; Appendix B.</w:t>
      </w:r>
    </w:p>
    <w:p>
      <w:pPr>
        <w:pStyle w:val="BodyText"/>
      </w:pPr>
      <w:r>
        <w:rPr>
          <w:b/>
        </w:rPr>
        <w:t xml:space="preserve">Constitutional reception and administering body.</w:t>
      </w:r>
      <w:r>
        <w:t xml:space="preserve"> </w:t>
      </w:r>
      <w:r>
        <w:t xml:space="preserve">Washington was admitted November 11, 1889. The Department of Natural Resources, under the Commissioner of Public Lands and the Board of Natural Resources, administers roughly 3 million acres of trust lands [CITE PENDING in dossier for current acreage and corpus]; revenue derives heavily from timber sales. [VERIFY Washington constitutional article/section citations — not yet carried in the corpus.] → Ch. 3.</w:t>
      </w:r>
    </w:p>
    <w:p>
      <w:pPr>
        <w:pStyle w:val="BodyText"/>
      </w:pPr>
      <w:r>
        <w:rPr>
          <w:b/>
        </w:rPr>
        <w:t xml:space="preserve">Why Washington matters to the field.</w:t>
      </w:r>
      <w:r>
        <w:t xml:space="preserve"> </w:t>
      </w:r>
      <w:r>
        <w:rPr>
          <w:i/>
        </w:rPr>
        <w:t xml:space="preserve">Skamania</w:t>
      </w:r>
      <w:r>
        <w:t xml:space="preserve"> </w:t>
      </w:r>
      <w:r>
        <w:t xml:space="preserve">(1984) is the field’s leading divided-loyalty case and the source of the most-quoted sister-state-consensus sentence in school-trust law;</w:t>
      </w:r>
      <w:r>
        <w:t xml:space="preserve"> </w:t>
      </w:r>
      <w:r>
        <w:rPr>
          <w:i/>
        </w:rPr>
        <w:t xml:space="preserve">Conservation Northwest</w:t>
      </w:r>
      <w:r>
        <w:t xml:space="preserve"> </w:t>
      </w:r>
      <w:r>
        <w:t xml:space="preserve">(2022) confirms, unanimously, that the doctrine is live twenty-first-century law.</w:t>
      </w:r>
    </w:p>
    <w:p>
      <w:pPr>
        <w:pStyle w:val="Heading3"/>
      </w:pPr>
      <w:bookmarkStart w:id="856" w:name="the-cases-12"/>
      <w:r>
        <w:t xml:space="preserve">The cases</w:t>
      </w:r>
      <w:bookmarkEnd w:id="856"/>
    </w:p>
    <w:p>
      <w:pPr>
        <w:numPr>
          <w:ilvl w:val="0"/>
          <w:numId w:val="1109"/>
        </w:numPr>
        <w:pStyle w:val="Compact"/>
      </w:pPr>
      <w:r>
        <w:rPr>
          <w:b/>
        </w:rPr>
        <w:t xml:space="preserve">County of Skamania v. State of Washington</w:t>
      </w:r>
      <w:r>
        <w:t xml:space="preserve">, 102 Wn.2d 127, 685 P.2d 576 (1984)</w:t>
      </w:r>
      <w:r>
        <w:t xml:space="preserve"> </w:t>
      </w:r>
      <w:r>
        <w:t xml:space="preserve">[@skamania-1984]</w:t>
      </w:r>
      <w:r>
        <w:t xml:space="preserve">.</w:t>
      </w:r>
    </w:p>
    <w:p>
      <w:pPr>
        <w:numPr>
          <w:ilvl w:val="1"/>
          <w:numId w:val="1110"/>
        </w:numPr>
        <w:pStyle w:val="Compact"/>
      </w:pPr>
      <w:r>
        <w:rPr>
          <w:i/>
        </w:rPr>
        <w:t xml:space="preserve">Posture.</w:t>
      </w:r>
      <w:r>
        <w:t xml:space="preserve"> </w:t>
      </w:r>
      <w:r>
        <w:t xml:space="preserve">Challenge to state legislation that released private timber purchasers from contracts on trust lands; legislation invalidated.</w:t>
      </w:r>
    </w:p>
    <w:p>
      <w:pPr>
        <w:numPr>
          <w:ilvl w:val="1"/>
          <w:numId w:val="1110"/>
        </w:numPr>
        <w:pStyle w:val="Compact"/>
      </w:pPr>
      <w:r>
        <w:rPr>
          <w:i/>
        </w:rPr>
        <w:t xml:space="preserve">Holdings.</w:t>
      </w:r>
      <w:r>
        <w:t xml:space="preserve"> </w:t>
      </w:r>
      <w:r>
        <w:t xml:space="preserve">“</w:t>
      </w:r>
      <w:r>
        <w:t xml:space="preserve">Every court that has considered the issue has concluded that these are real, enforceable trusts that impose upon the state the same fiduciary duties applicable to private trustees</w:t>
      </w:r>
      <w:r>
        <w:t xml:space="preserve">”</w:t>
      </w:r>
      <w:r>
        <w:t xml:space="preserve"> </w:t>
      </w:r>
      <w:r>
        <w:t xml:space="preserve">(pin 132 per the Library’s authorities register).</w:t>
      </w:r>
      <w:r>
        <w:t xml:space="preserve"> </w:t>
      </w:r>
      <w:r>
        <w:t xml:space="preserve">“</w:t>
      </w:r>
      <w:r>
        <w:t xml:space="preserve">When the State transfers trust assets such as contract rights it must seek full value for the assets, and it may not sacrifice this goal to pursue other objectives, no matter how laudable those objectives may be.</w:t>
      </w:r>
      <w:r>
        <w:t xml:space="preserve">”</w:t>
      </w:r>
      <w:r>
        <w:t xml:space="preserve"> </w:t>
      </w:r>
      <w:r>
        <w:t xml:space="preserve">And the conclusion:</w:t>
      </w:r>
      <w:r>
        <w:t xml:space="preserve"> </w:t>
      </w:r>
      <w:r>
        <w:t xml:space="preserve">“</w:t>
      </w:r>
      <w:r>
        <w:t xml:space="preserve">the primary purpose and effect of this legislation was to benefit the timber industry and the state economy in general, at the expense of the trust beneficiaries. This divided loyalty constitutes a breach of trust.</w:t>
      </w:r>
      <w:r>
        <w:t xml:space="preserve">”</w:t>
      </w:r>
    </w:p>
    <w:p>
      <w:pPr>
        <w:numPr>
          <w:ilvl w:val="1"/>
          <w:numId w:val="1110"/>
        </w:numPr>
        <w:pStyle w:val="Compact"/>
      </w:pPr>
      <w:r>
        <w:rPr>
          <w:i/>
        </w:rPr>
        <w:t xml:space="preserve">Supports:</w:t>
      </w:r>
      <w:r>
        <w:t xml:space="preserve"> </w:t>
      </w:r>
      <w:r>
        <w:t xml:space="preserve">Ch. 4 (§§ 4.1, 4.4 — the question stated; breadth of sister-state agreement); Ch. 6 (divided loyalty — lead case); Ch. 9 (full value on transfer of trust assets, including contract rights).</w:t>
      </w:r>
    </w:p>
    <w:p>
      <w:pPr>
        <w:numPr>
          <w:ilvl w:val="0"/>
          <w:numId w:val="1109"/>
        </w:numPr>
        <w:pStyle w:val="Compact"/>
      </w:pPr>
      <w:r>
        <w:rPr>
          <w:b/>
        </w:rPr>
        <w:t xml:space="preserve">Conservation Northwest v. Commissioner of Public Lands</w:t>
      </w:r>
      <w:r>
        <w:t xml:space="preserve"> </w:t>
      </w:r>
      <w:r>
        <w:t xml:space="preserve">(</w:t>
      </w:r>
      <w:r>
        <w:rPr>
          <w:i/>
        </w:rPr>
        <w:t xml:space="preserve">v. Franz</w:t>
      </w:r>
      <w:r>
        <w:t xml:space="preserve">), 200 Wn.2d 8 (Wash. 2022)</w:t>
      </w:r>
      <w:r>
        <w:t xml:space="preserve"> </w:t>
      </w:r>
      <w:r>
        <w:t xml:space="preserve">[@conservation-nw-2022]</w:t>
      </w:r>
      <w:r>
        <w:t xml:space="preserve">.</w:t>
      </w:r>
    </w:p>
    <w:p>
      <w:pPr>
        <w:numPr>
          <w:ilvl w:val="1"/>
          <w:numId w:val="1111"/>
        </w:numPr>
        <w:pStyle w:val="Compact"/>
      </w:pPr>
      <w:r>
        <w:rPr>
          <w:i/>
        </w:rPr>
        <w:t xml:space="preserve">Posture.</w:t>
      </w:r>
      <w:r>
        <w:t xml:space="preserve"> </w:t>
      </w:r>
      <w:r>
        <w:t xml:space="preserve">Washington Supreme Court, unanimous.</w:t>
      </w:r>
    </w:p>
    <w:p>
      <w:pPr>
        <w:numPr>
          <w:ilvl w:val="1"/>
          <w:numId w:val="1111"/>
        </w:numPr>
        <w:pStyle w:val="Compact"/>
      </w:pPr>
      <w:r>
        <w:rPr>
          <w:i/>
        </w:rPr>
        <w:t xml:space="preserve">Holdings.</w:t>
      </w:r>
      <w:r>
        <w:t xml:space="preserve"> </w:t>
      </w:r>
      <w:r>
        <w:t xml:space="preserve">Reaffirmation of</w:t>
      </w:r>
      <w:r>
        <w:t xml:space="preserve"> </w:t>
      </w:r>
      <w:r>
        <w:rPr>
          <w:i/>
        </w:rPr>
        <w:t xml:space="preserve">Skamania</w:t>
      </w:r>
      <w:r>
        <w:t xml:space="preserve">; the trust doctrine is live twenty-first-century law.</w:t>
      </w:r>
    </w:p>
    <w:p>
      <w:pPr>
        <w:numPr>
          <w:ilvl w:val="1"/>
          <w:numId w:val="1111"/>
        </w:numPr>
        <w:pStyle w:val="Compact"/>
      </w:pPr>
      <w:r>
        <w:rPr>
          <w:i/>
        </w:rPr>
        <w:t xml:space="preserve">Supports:</w:t>
      </w:r>
      <w:r>
        <w:t xml:space="preserve"> </w:t>
      </w:r>
      <w:r>
        <w:t xml:space="preserve">Ch. 4 (currency of the doctrine); Ch. 6.</w:t>
      </w:r>
    </w:p>
    <w:p>
      <w:pPr>
        <w:pStyle w:val="Heading3"/>
      </w:pPr>
      <w:bookmarkStart w:id="857" w:name="Xfff0b73f992d2c6e19848f172b8fe7031bc24f1"/>
      <w:r>
        <w:t xml:space="preserve">Authorities identified but not yet verified</w:t>
      </w:r>
      <w:bookmarkEnd w:id="857"/>
    </w:p>
    <w:p>
      <w:pPr>
        <w:numPr>
          <w:ilvl w:val="0"/>
          <w:numId w:val="1112"/>
        </w:numPr>
        <w:pStyle w:val="Compact"/>
      </w:pPr>
      <w:r>
        <w:rPr>
          <w:b/>
        </w:rPr>
        <w:t xml:space="preserve">Public Utility District No. 1 of Okanogan County v. State</w:t>
      </w:r>
      <w:r>
        <w:t xml:space="preserve">, 182 Wn.2d 519, 342 P.3d 308 (2015)</w:t>
      </w:r>
      <w:r>
        <w:t xml:space="preserve"> </w:t>
      </w:r>
      <w:r>
        <w:t xml:space="preserve">[@okanogan-2015]</w:t>
      </w:r>
      <w:r>
        <w:t xml:space="preserve"> </w:t>
      </w:r>
      <w:r>
        <w:t xml:space="preserve">(Wash. Supreme Court, en banc; Stephens, J.). Verified against the L0 opinion. A public utility district sought to condemn an easement for a transmission line across school trust lands managed by DNR in the Methow Valley. The court affirmed that the PUD is statutorily authorized to condemn the easement and that the lands’ trust status as school lands does not exempt them from condemnation. Feeds Ch. 4.</w:t>
      </w:r>
    </w:p>
    <w:p>
      <w:pPr>
        <w:numPr>
          <w:ilvl w:val="0"/>
          <w:numId w:val="1112"/>
        </w:numPr>
        <w:pStyle w:val="Compact"/>
      </w:pPr>
      <w:r>
        <w:t xml:space="preserve">Washington’s subsequent administrative record (harvest levels, marbled murrelet habitat litigation, sustained-yield calibration) — under Library survey; no verified case holdings carried yet.</w:t>
      </w:r>
    </w:p>
    <w:p>
      <w:pPr>
        <w:pStyle w:val="Heading3"/>
      </w:pPr>
      <w:bookmarkStart w:id="858" w:name="X3ea6ab09d4be364c25b6e5f4cbc8aa83ee33098"/>
      <w:r>
        <w:t xml:space="preserve">Cross-reference map (section → Washington authority)</w:t>
      </w:r>
      <w:bookmarkEnd w:id="858"/>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Hornbook section</w:t>
            </w:r>
          </w:p>
        </w:tc>
        <w:tc>
          <w:tcPr>
            <w:tcBorders>
              <w:bottom w:val="single"/>
            </w:tcBorders>
            <w:vAlign w:val="bottom"/>
          </w:tcPr>
          <w:p>
            <w:pPr>
              <w:pStyle w:val="Compact"/>
              <w:jc w:val="left"/>
            </w:pPr>
            <w:r>
              <w:t xml:space="preserve">Washington authority</w:t>
            </w:r>
          </w:p>
        </w:tc>
      </w:tr>
      <w:tr>
        <w:tc>
          <w:p>
            <w:pPr>
              <w:pStyle w:val="Compact"/>
              <w:jc w:val="left"/>
            </w:pPr>
            <w:r>
              <w:t xml:space="preserve">§ 2.4 (two-section generation; Omnibus Act)</w:t>
            </w:r>
          </w:p>
        </w:tc>
        <w:tc>
          <w:p>
            <w:pPr>
              <w:pStyle w:val="Compact"/>
              <w:jc w:val="left"/>
            </w:pPr>
            <w:r>
              <w:t xml:space="preserve">Omnibus Enabling Act, 25 Stat. 676</w:t>
            </w:r>
          </w:p>
        </w:tc>
      </w:tr>
      <w:tr>
        <w:tc>
          <w:p>
            <w:pPr>
              <w:pStyle w:val="Compact"/>
              <w:jc w:val="left"/>
            </w:pPr>
            <w:r>
              <w:t xml:space="preserve">Ch. 4 § 4.1 (the question stated)</w:t>
            </w:r>
          </w:p>
        </w:tc>
        <w:tc>
          <w:p>
            <w:pPr>
              <w:pStyle w:val="Compact"/>
              <w:jc w:val="left"/>
            </w:pPr>
            <w:r>
              <w:t xml:space="preserve">Skamania (</w:t>
            </w:r>
            <w:r>
              <w:t xml:space="preserve">“</w:t>
            </w:r>
            <w:r>
              <w:t xml:space="preserve">real, enforceable trusts</w:t>
            </w:r>
            <w:r>
              <w:t xml:space="preserve">”</w:t>
            </w:r>
            <w:r>
              <w:t xml:space="preserve">)</w:t>
            </w:r>
          </w:p>
        </w:tc>
      </w:tr>
      <w:tr>
        <w:tc>
          <w:p>
            <w:pPr>
              <w:pStyle w:val="Compact"/>
              <w:jc w:val="left"/>
            </w:pPr>
            <w:r>
              <w:t xml:space="preserve">Ch. 4 § 4.4 (sister-state consensus)</w:t>
            </w:r>
          </w:p>
        </w:tc>
        <w:tc>
          <w:p>
            <w:pPr>
              <w:pStyle w:val="Compact"/>
              <w:jc w:val="left"/>
            </w:pPr>
            <w:r>
              <w:t xml:space="preserve">Skamania; Conservation Northwest</w:t>
            </w:r>
          </w:p>
        </w:tc>
      </w:tr>
      <w:tr>
        <w:tc>
          <w:p>
            <w:pPr>
              <w:pStyle w:val="Compact"/>
              <w:jc w:val="left"/>
            </w:pPr>
            <w:r>
              <w:t xml:space="preserve">Ch. 6 (loyalty)</w:t>
            </w:r>
          </w:p>
        </w:tc>
        <w:tc>
          <w:p>
            <w:pPr>
              <w:pStyle w:val="Compact"/>
              <w:jc w:val="left"/>
            </w:pPr>
            <w:r>
              <w:t xml:space="preserve">Skamania (lead); Conservation Northwest</w:t>
            </w:r>
          </w:p>
        </w:tc>
      </w:tr>
      <w:tr>
        <w:tc>
          <w:p>
            <w:pPr>
              <w:pStyle w:val="Compact"/>
              <w:jc w:val="left"/>
            </w:pPr>
            <w:r>
              <w:t xml:space="preserve">Ch. 9 (full value)</w:t>
            </w:r>
          </w:p>
        </w:tc>
        <w:tc>
          <w:p>
            <w:pPr>
              <w:pStyle w:val="Compact"/>
              <w:jc w:val="left"/>
            </w:pPr>
            <w:r>
              <w:t xml:space="preserve">Skamania</w:t>
            </w:r>
          </w:p>
        </w:tc>
      </w:tr>
    </w:tbl>
    <w:p>
      <w:r>
        <w:pict>
          <v:rect style="width:0;height:1.5pt" o:hralign="center" o:hrstd="t" o:hr="t"/>
        </w:pict>
      </w:r>
    </w:p>
    <w:p>
      <w:pPr>
        <w:pStyle w:val="FirstParagraph"/>
      </w:pPr>
      <w:r>
        <w:rPr>
          <w:i/>
        </w:rPr>
        <w:t xml:space="preserve">End of Washington entry v1.</w:t>
      </w:r>
    </w:p>
    <w:p>
      <w:r>
        <w:br w:type="page"/>
      </w:r>
    </w:p>
    <w:p>
      <w:pPr>
        <w:pStyle w:val="Heading1"/>
      </w:pPr>
      <w:bookmarkStart w:id="859" w:name="state-appendix-wisconsin"/>
      <w:r>
        <w:t xml:space="preserve">State Appendix — Wisconsin</w:t>
      </w:r>
      <w:bookmarkEnd w:id="859"/>
    </w:p>
    <w:p>
      <w:pPr>
        <w:pStyle w:val="FirstParagraph"/>
      </w:pPr>
      <w:r>
        <w:rPr>
          <w:i/>
        </w:rPr>
        <w:t xml:space="preserve">Stub entry. The verified hornbook corpus holds no case law for this state (the Library’s authorities register G-8); the case line is queued — see the verification queue (Priority 3). Instrument citation carried as given in the Fifty-States encyclopedia dossier; candidate authorities named there are listed for the harvest, not for citation.</w:t>
      </w:r>
    </w:p>
    <w:p>
      <w:r>
        <w:pict>
          <v:rect style="width:0;height:1.5pt" o:hralign="center" o:hrstd="t" o:hr="t"/>
        </w:pict>
      </w:r>
    </w:p>
    <w:p>
      <w:pPr>
        <w:pStyle w:val="Heading2"/>
      </w:pPr>
      <w:bookmarkStart w:id="860" w:name="wisconsin-stub"/>
      <w:r>
        <w:t xml:space="preserve">WISCONSIN (stub)</w:t>
      </w:r>
      <w:bookmarkEnd w:id="860"/>
    </w:p>
    <w:p>
      <w:pPr>
        <w:pStyle w:val="FirstParagraph"/>
      </w:pPr>
      <w:r>
        <w:rPr>
          <w:b/>
        </w:rPr>
        <w:t xml:space="preserve">Granting instrument.</w:t>
      </w:r>
      <w:r>
        <w:t xml:space="preserve"> </w:t>
      </w:r>
      <w:r>
        <w:t xml:space="preserve">Enabling Act of August 6, 1846, ch. 89, § 7, 9 Stat. 56 (admission by Act of May 29, 1848, ch. 50, 9 Stat. 233) — section 16 of every township, the Northwest Ordinance template in its mature mid-1840s form, with indemnity lands; compact form via state acceptance; no express</w:t>
      </w:r>
      <w:r>
        <w:t xml:space="preserve"> </w:t>
      </w:r>
      <w:r>
        <w:t xml:space="preserve">“</w:t>
      </w:r>
      <w:r>
        <w:t xml:space="preserve">in trust</w:t>
      </w:r>
      <w:r>
        <w:t xml:space="preserve">”</w:t>
      </w:r>
      <w:r>
        <w:t xml:space="preserve"> </w:t>
      </w:r>
      <w:r>
        <w:t xml:space="preserve">language. Per the Fifty-States dossier, Wisconsin is the principal example of weak federal text + strong state architecture (1848 Constitution Article X) + disciplined execution. → §§ 2.2-2.3 (ordinance-template lineage); Appendix B.</w:t>
      </w:r>
    </w:p>
    <w:p>
      <w:pPr>
        <w:pStyle w:val="BodyText"/>
      </w:pPr>
      <w:r>
        <w:rPr>
          <w:b/>
        </w:rPr>
        <w:t xml:space="preserve">Case line.</w:t>
      </w:r>
      <w:r>
        <w:t xml:space="preserve"> </w:t>
      </w:r>
      <w:r>
        <w:t xml:space="preserve">Not yet collected into the verified corpus — see the verification queue (Priority 3). Candidate authority identified in the Fifty-States dossier, not yet verified for hornbook use:</w:t>
      </w:r>
      <w:r>
        <w:t xml:space="preserve"> </w:t>
      </w:r>
      <w:r>
        <w:rPr>
          <w:b/>
        </w:rPr>
        <w:t xml:space="preserve">Wisconsin v. Lane</w:t>
      </w:r>
      <w:r>
        <w:t xml:space="preserve">, 245 U.S. 427 (1918) — described there as holding the section-16 grant attached only to public lands available under the act and did not override treaty-based Indian occupancy [VERIFY before any hornbook citation]. Prospective feeds: Ch. 2 (limits of the grant’s attachment).</w:t>
      </w:r>
    </w:p>
    <w:p>
      <w:r>
        <w:pict>
          <v:rect style="width:0;height:1.5pt" o:hralign="center" o:hrstd="t" o:hr="t"/>
        </w:pict>
      </w:r>
    </w:p>
    <w:p>
      <w:pPr>
        <w:pStyle w:val="FirstParagraph"/>
      </w:pPr>
      <w:r>
        <w:rPr>
          <w:i/>
        </w:rPr>
        <w:t xml:space="preserve">End of Wisconsin stub v0.</w:t>
      </w:r>
    </w:p>
    <w:p>
      <w:r>
        <w:br w:type="page"/>
      </w:r>
    </w:p>
    <w:p>
      <w:pPr>
        <w:pStyle w:val="Heading1"/>
      </w:pPr>
      <w:bookmarkStart w:id="861" w:name="state-appendix-wyoming"/>
      <w:r>
        <w:t xml:space="preserve">State Appendix — Wyoming</w:t>
      </w:r>
      <w:bookmarkEnd w:id="861"/>
    </w:p>
    <w:p>
      <w:pPr>
        <w:pStyle w:val="FirstParagraph"/>
      </w:pPr>
      <w:r>
        <w:rPr>
          <w:i/>
        </w:rPr>
        <w:t xml:space="preserve">Stub entry. The verified hornbook corpus holds no case law for this state (the Library’s authorities register G-8); the case line is queued — see the verification queue (Priority 3). Instrument citation carried as given in the Fifty-States encyclopedia dossier; candidate authorities named there are listed for the harvest, not for citation.</w:t>
      </w:r>
    </w:p>
    <w:p>
      <w:r>
        <w:pict>
          <v:rect style="width:0;height:1.5pt" o:hralign="center" o:hrstd="t" o:hr="t"/>
        </w:pict>
      </w:r>
    </w:p>
    <w:p>
      <w:pPr>
        <w:pStyle w:val="Heading2"/>
      </w:pPr>
      <w:bookmarkStart w:id="862" w:name="wyoming-stub"/>
      <w:r>
        <w:t xml:space="preserve">WYOMING (stub)</w:t>
      </w:r>
      <w:bookmarkEnd w:id="862"/>
    </w:p>
    <w:p>
      <w:pPr>
        <w:pStyle w:val="FirstParagraph"/>
      </w:pPr>
      <w:r>
        <w:rPr>
          <w:b/>
        </w:rPr>
        <w:t xml:space="preserve">Granting instrument.</w:t>
      </w:r>
      <w:r>
        <w:t xml:space="preserve"> </w:t>
      </w:r>
      <w:r>
        <w:t xml:space="preserve">Wyoming Admission Act of July 10, 1890, ch. 664, 26 Stat. 222 (§ 4) — sections 16 and 36 of every township for common schools, proceeds to constitute a permanent school fund with income only to support schools, plus institutional grants. → §§ 2.4, 2.7; Appendix B.</w:t>
      </w:r>
    </w:p>
    <w:p>
      <w:pPr>
        <w:pStyle w:val="BodyText"/>
      </w:pPr>
      <w:r>
        <w:rPr>
          <w:b/>
        </w:rPr>
        <w:t xml:space="preserve">Case line.</w:t>
      </w:r>
      <w:r>
        <w:t xml:space="preserve"> </w:t>
      </w:r>
      <w:r>
        <w:t xml:space="preserve">Not yet collected into the verified corpus — see the verification queue (Priority 3). Two Wyoming items are flagged in the Library’s authorities register:</w:t>
      </w:r>
      <w:r>
        <w:t xml:space="preserve"> </w:t>
      </w:r>
      <w:r>
        <w:t xml:space="preserve">-</w:t>
      </w:r>
      <w:r>
        <w:t xml:space="preserve"> </w:t>
      </w:r>
      <w:r>
        <w:rPr>
          <w:b/>
        </w:rPr>
        <w:t xml:space="preserve">Director of the Office of State Lands &amp; Investments v. Merbanco, Inc.</w:t>
      </w:r>
      <w:r>
        <w:t xml:space="preserve">, 2003 WY 73, 70 P.3d 241 (Wyo. 2003)</w:t>
      </w:r>
      <w:r>
        <w:t xml:space="preserve"> </w:t>
      </w:r>
      <w:r>
        <w:t xml:space="preserve">[@merbanco-2003]</w:t>
      </w:r>
      <w:r>
        <w:t xml:space="preserve"> </w:t>
      </w:r>
      <w:r>
        <w:t xml:space="preserve">(Wyo. Supreme Court; Kite, J.). Verified against the L0 opinion. Challengers sought a declaration that the Wyoming Constitution (art. 18, § 1) prohibits exchanges of state school lands without public auction. The court held that the constitution requires public auctions only for</w:t>
      </w:r>
      <w:r>
        <w:t xml:space="preserve"> </w:t>
      </w:r>
      <w:r>
        <w:rPr>
          <w:i/>
        </w:rPr>
        <w:t xml:space="preserve">sales</w:t>
      </w:r>
      <w:r>
        <w:t xml:space="preserve"> </w:t>
      </w:r>
      <w:r>
        <w:t xml:space="preserve">of school lands;</w:t>
      </w:r>
      <w:r>
        <w:t xml:space="preserve"> </w:t>
      </w:r>
      <w:r>
        <w:rPr>
          <w:i/>
        </w:rPr>
        <w:t xml:space="preserve">exchanges are not sales</w:t>
      </w:r>
      <w:r>
        <w:t xml:space="preserve">, and the legislature acted within its authority in authorizing the challenged exchange statutes and rules. Prospective feeds: Ch. 4; Ch. 9.</w:t>
      </w:r>
      <w:r>
        <w:t xml:space="preserve"> </w:t>
      </w:r>
      <w:r>
        <w:t xml:space="preserve">-</w:t>
      </w:r>
      <w:r>
        <w:t xml:space="preserve"> </w:t>
      </w:r>
      <w:r>
        <w:rPr>
          <w:b/>
        </w:rPr>
        <w:t xml:space="preserve">Riedel v. Anderson</w:t>
      </w:r>
      <w:r>
        <w:t xml:space="preserve">, 2003 WY 70, 70 P.3d 223 — identified in the Fifty-States dossier as the leading Wyoming trust-characterization case (described there as holding no express trust in the lands themselves while Article 7 created trust status for the funds, and upholding the match-the-high-bid renewal preference) [VERIFY before any hornbook citation]. If verified, Wyoming becomes Chapter 4 § 4.7 material — a jurisdiction qualifying the binding-trust consensus — and Ch. 11 preference-right material.</w:t>
      </w:r>
    </w:p>
    <w:p>
      <w:r>
        <w:pict>
          <v:rect style="width:0;height:1.5pt" o:hralign="center" o:hrstd="t" o:hr="t"/>
        </w:pict>
      </w:r>
    </w:p>
    <w:p>
      <w:pPr>
        <w:pStyle w:val="FirstParagraph"/>
      </w:pPr>
      <w:r>
        <w:rPr>
          <w:i/>
        </w:rPr>
        <w:t xml:space="preserve">End of Wyoming stub v0.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8">
    <w:p>
      <w:pPr>
        <w:pStyle w:val="FootnoteText"/>
      </w:pPr>
      <w:r>
        <w:rPr>
          <w:rStyle w:val="FootnoteReference"/>
        </w:rPr>
        <w:footnoteRef/>
      </w:r>
      <w:r>
        <w:t xml:space="preserve"> </w:t>
      </w:r>
      <w:r>
        <w:t xml:space="preserve">Ordinance of May 20, 1785,</w:t>
      </w:r>
      <w:r>
        <w:t xml:space="preserve"> </w:t>
      </w:r>
      <w:r>
        <w:rPr>
          <w:i/>
        </w:rPr>
        <w:t xml:space="preserve">in</w:t>
      </w:r>
      <w:r>
        <w:t xml:space="preserve"> </w:t>
      </w:r>
      <w:r>
        <w:t xml:space="preserve">28 Journals of the Continental Congress 1774–1789, at 375 (John C. Fitzpatrick ed., 1933)</w:t>
      </w:r>
      <w:r>
        <w:t xml:space="preserve"> </w:t>
      </w:r>
      <w:r>
        <w:t xml:space="preserve">[@act-land-ordinance-1785]</w:t>
      </w:r>
      <w:r>
        <w:t xml:space="preserve">. The reservation language is quoted in § 1.9.</w:t>
      </w:r>
    </w:p>
  </w:footnote>
  <w:footnote w:id="29">
    <w:p>
      <w:pPr>
        <w:pStyle w:val="FootnoteText"/>
      </w:pPr>
      <w:r>
        <w:rPr>
          <w:rStyle w:val="FootnoteReference"/>
        </w:rPr>
        <w:footnoteRef/>
      </w:r>
      <w:r>
        <w:t xml:space="preserve"> </w:t>
      </w:r>
      <w:r>
        <w:t xml:space="preserve">F.W. Maitland,</w:t>
      </w:r>
      <w:r>
        <w:t xml:space="preserve"> </w:t>
      </w:r>
      <w:r>
        <w:rPr>
          <w:i/>
        </w:rPr>
        <w:t xml:space="preserve">The Unincorporate Body</w:t>
      </w:r>
      <w:r>
        <w:t xml:space="preserve">,</w:t>
      </w:r>
      <w:r>
        <w:t xml:space="preserve"> </w:t>
      </w:r>
      <w:r>
        <w:rPr>
          <w:i/>
        </w:rPr>
        <w:t xml:space="preserve">in</w:t>
      </w:r>
      <w:r>
        <w:t xml:space="preserve"> </w:t>
      </w:r>
      <w:r>
        <w:t xml:space="preserve">3 The Collected Papers of Frederic William Maitland (H.A.L. Fisher ed., 1911),</w:t>
      </w:r>
      <w:r>
        <w:t xml:space="preserve"> </w:t>
      </w:r>
      <w:r>
        <w:rPr>
          <w:i/>
        </w:rPr>
        <w:t xml:space="preserve">reprinted in</w:t>
      </w:r>
      <w:r>
        <w:t xml:space="preserve"> </w:t>
      </w:r>
      <w:r>
        <w:t xml:space="preserve">Maitland: Selected Essays 129 (H.D. Hazeltine, G. Lapsley &amp; P.H. Winfield eds., 1936)</w:t>
      </w:r>
      <w:r>
        <w:t xml:space="preserve"> </w:t>
      </w:r>
      <w:r>
        <w:t xml:space="preserve">[@maitland-unincorporate-body]</w:t>
      </w:r>
      <w:r>
        <w:t xml:space="preserve"> </w:t>
      </w:r>
      <w:r>
        <w:t xml:space="preserve">(</w:t>
      </w:r>
      <w:r>
        <w:t xml:space="preserve">“</w:t>
      </w:r>
      <w:r>
        <w:t xml:space="preserve">If we were asked what is the greatest and most distinctive achievement performed by Englishmen in the field of jurisprudence I cannot think that we should have any better answer to give than this, namely the development from century to century of the trust idea.</w:t>
      </w:r>
      <w:r>
        <w:t xml:space="preserve">”</w:t>
      </w:r>
      <w:r>
        <w:t xml:space="preserve">). [Wording + page verified 2026-06-08 (web pass): the published text reads</w:t>
      </w:r>
      <w:r>
        <w:t xml:space="preserve"> </w:t>
      </w:r>
      <w:r>
        <w:t xml:space="preserve">“</w:t>
      </w:r>
      <w:r>
        <w:t xml:space="preserve">should</w:t>
      </w:r>
      <w:r>
        <w:t xml:space="preserve">”</w:t>
      </w:r>
      <w:r>
        <w:t xml:space="preserve"> </w:t>
      </w:r>
      <w:r>
        <w:t xml:space="preserve">(F.W. Maitland,</w:t>
      </w:r>
      <w:r>
        <w:t xml:space="preserve"> </w:t>
      </w:r>
      <w:r>
        <w:rPr>
          <w:i/>
        </w:rPr>
        <w:t xml:space="preserve">Equity</w:t>
      </w:r>
      <w:r>
        <w:t xml:space="preserve"> </w:t>
      </w:r>
      <w:r>
        <w:t xml:space="preserve">(2d edn 1936) 23;</w:t>
      </w:r>
      <w:r>
        <w:t xml:space="preserve"> </w:t>
      </w:r>
      <w:r>
        <w:rPr>
          <w:i/>
        </w:rPr>
        <w:t xml:space="preserve">Selected Essays</w:t>
      </w:r>
      <w:r>
        <w:t xml:space="preserve"> </w:t>
      </w:r>
      <w:r>
        <w:t xml:space="preserve">(1936) 129). Shelf-pull caveat: this passage is the opening of Maitland’s essay</w:t>
      </w:r>
      <w:r>
        <w:t xml:space="preserve"> </w:t>
      </w:r>
      <w:r>
        <w:t xml:space="preserve">“</w:t>
      </w:r>
      <w:r>
        <w:t xml:space="preserve">Trust and Corporation</w:t>
      </w:r>
      <w:r>
        <w:t xml:space="preserve">”</w:t>
      </w:r>
      <w:r>
        <w:t xml:space="preserve"> </w:t>
      </w:r>
      <w:r>
        <w:t xml:space="preserve">(1904); confirm the essay title/page alignment against the</w:t>
      </w:r>
      <w:r>
        <w:t xml:space="preserve"> </w:t>
      </w:r>
      <w:r>
        <w:rPr>
          <w:i/>
        </w:rPr>
        <w:t xml:space="preserve">Selected Essays</w:t>
      </w:r>
      <w:r>
        <w:t xml:space="preserve"> </w:t>
      </w:r>
      <w:r>
        <w:t xml:space="preserve">contents on the physical pull (the omnibus note’s</w:t>
      </w:r>
      <w:r>
        <w:t xml:space="preserve"> </w:t>
      </w:r>
      <w:r>
        <w:t xml:space="preserve">“</w:t>
      </w:r>
      <w:r>
        <w:rPr>
          <w:i/>
        </w:rPr>
        <w:t xml:space="preserve">The Unincorporate Body</w:t>
      </w:r>
      <w:r>
        <w:t xml:space="preserve">”</w:t>
      </w:r>
      <w:r>
        <w:t xml:space="preserve"> </w:t>
      </w:r>
      <w:r>
        <w:t xml:space="preserve">attribution is the item to check).]</w:t>
      </w:r>
    </w:p>
  </w:footnote>
  <w:footnote w:id="31">
    <w:p>
      <w:pPr>
        <w:pStyle w:val="FootnoteText"/>
      </w:pPr>
      <w:r>
        <w:rPr>
          <w:rStyle w:val="FootnoteReference"/>
        </w:rPr>
        <w:footnoteRef/>
      </w:r>
      <w:r>
        <w:t xml:space="preserve"> </w:t>
      </w:r>
      <w:r>
        <w:t xml:space="preserve">On the rigidity of medieval land law, seisin, the unavailability of devise, the feudal incidents, and the mechanics, terminology, and spread of the feoffment to uses, see generally J.H. Baker, An Introduction to English Legal History (5th ed. 2019), chs. on real property and on uses and trusts</w:t>
      </w:r>
      <w:r>
        <w:t xml:space="preserve"> </w:t>
      </w:r>
      <w:r>
        <w:t xml:space="preserve">[@baker-ielh]</w:t>
      </w:r>
      <w:r>
        <w:t xml:space="preserve">; F.W. Maitland, Equity: A Course of Lectures, Lectures I–III (2d rev. ed., John Brunyate ed., 1936)</w:t>
      </w:r>
      <w:r>
        <w:t xml:space="preserve"> </w:t>
      </w:r>
      <w:r>
        <w:t xml:space="preserve">[@maitland-equity]</w:t>
      </w:r>
      <w:r>
        <w:t xml:space="preserve">; A.W.B. Simpson, A History of the Land Law chs. 1, 3, 8 (2d ed. 1986)</w:t>
      </w:r>
      <w:r>
        <w:t xml:space="preserve"> </w:t>
      </w:r>
      <w:r>
        <w:t xml:space="preserve">[@simpson-land-law]</w:t>
      </w:r>
      <w:r>
        <w:t xml:space="preserve">; 4 W.S. Holdsworth, A History of English Law (uses and the Statute of Uses)</w:t>
      </w:r>
      <w:r>
        <w:t xml:space="preserve"> </w:t>
      </w:r>
      <w:r>
        <w:t xml:space="preserve">[@holdsworth-hel]</w:t>
      </w:r>
      <w:r>
        <w:t xml:space="preserve">; 2 Frederick Pollock &amp; F.W. Maitland, The History of English Law Before the Time of Edward I (2d ed. 1898)</w:t>
      </w:r>
      <w:r>
        <w:t xml:space="preserve"> </w:t>
      </w:r>
      <w:r>
        <w:t xml:space="preserve">[@pollock-maitland-hel]</w:t>
      </w:r>
      <w:r>
        <w:t xml:space="preserve">; and, on incident-avoidance as the engine of the use’s spread, J.M.W. Bean, The Decline of English Feudalism, 1215–1540 (1968)</w:t>
      </w:r>
      <w:r>
        <w:t xml:space="preserve"> </w:t>
      </w:r>
      <w:r>
        <w:t xml:space="preserve">[@bean-decline-feudalism-1968]</w:t>
      </w:r>
      <w:r>
        <w:t xml:space="preserve">. [VERIFY pin: pins in this note are at chapter level; page-pin from the editions on the shelf before press.]</w:t>
      </w:r>
    </w:p>
  </w:footnote>
  <w:footnote w:id="32">
    <w:p>
      <w:pPr>
        <w:pStyle w:val="FootnoteText"/>
      </w:pPr>
      <w:r>
        <w:rPr>
          <w:rStyle w:val="FootnoteReference"/>
        </w:rPr>
        <w:footnoteRef/>
      </w:r>
      <w:r>
        <w:t xml:space="preserve"> </w:t>
      </w:r>
      <w:r>
        <w:t xml:space="preserve">J.L. Barton,</w:t>
      </w:r>
      <w:r>
        <w:t xml:space="preserve"> </w:t>
      </w:r>
      <w:r>
        <w:rPr>
          <w:i/>
        </w:rPr>
        <w:t xml:space="preserve">The Medieval Use</w:t>
      </w:r>
      <w:r>
        <w:t xml:space="preserve">, 81 Law Q. Rev. 562 (1965)</w:t>
      </w:r>
      <w:r>
        <w:t xml:space="preserve"> </w:t>
      </w:r>
      <w:r>
        <w:t xml:space="preserve">[@barton-medieval-use-1965]</w:t>
      </w:r>
      <w:r>
        <w:t xml:space="preserve"> </w:t>
      </w:r>
      <w:r>
        <w:t xml:space="preserve">(the documented origins of the use are more prosaic than the popular crusader account); Joseph Biancalana,</w:t>
      </w:r>
      <w:r>
        <w:t xml:space="preserve"> </w:t>
      </w:r>
      <w:r>
        <w:rPr>
          <w:i/>
        </w:rPr>
        <w:t xml:space="preserve">Medieval Uses</w:t>
      </w:r>
      <w:r>
        <w:t xml:space="preserve">,</w:t>
      </w:r>
      <w:r>
        <w:t xml:space="preserve"> </w:t>
      </w:r>
      <w:r>
        <w:rPr>
          <w:i/>
        </w:rPr>
        <w:t xml:space="preserve">in</w:t>
      </w:r>
      <w:r>
        <w:t xml:space="preserve"> </w:t>
      </w:r>
      <w:r>
        <w:t xml:space="preserve">Itinera Fiduciae: Trust and Treuhand in Historical Perspective (R. Helmholz &amp; R. Zimmermann eds., 1998)</w:t>
      </w:r>
      <w:r>
        <w:t xml:space="preserve"> </w:t>
      </w:r>
      <w:r>
        <w:t xml:space="preserve">[@biancalana-medieval-uses-1998]</w:t>
      </w:r>
      <w:r>
        <w:t xml:space="preserve">. [Barton, 81 Law Q. Rev. 562 (1965), pp. 562–577, verified 2026-06-08 (web pass); the Biancalana essay per standard bibliography, not yet pulled.]</w:t>
      </w:r>
    </w:p>
  </w:footnote>
  <w:footnote w:id="33">
    <w:p>
      <w:pPr>
        <w:pStyle w:val="FootnoteText"/>
      </w:pPr>
      <w:r>
        <w:rPr>
          <w:rStyle w:val="FootnoteReference"/>
        </w:rPr>
        <w:footnoteRef/>
      </w:r>
      <w:r>
        <w:t xml:space="preserve"> </w:t>
      </w:r>
      <w:r>
        <w:t xml:space="preserve">2</w:t>
      </w:r>
      <w:r>
        <w:t xml:space="preserve"> </w:t>
      </w:r>
      <w:r>
        <w:t xml:space="preserve">[@pollock-maitland-hel]</w:t>
      </w:r>
      <w:r>
        <w:t xml:space="preserve"> </w:t>
      </w:r>
      <w:r>
        <w:t xml:space="preserve">(lands conveyed to communities to the use of the friars); 4</w:t>
      </w:r>
      <w:r>
        <w:t xml:space="preserve"> </w:t>
      </w:r>
      <w:r>
        <w:t xml:space="preserve">[@holdsworth-hel]</w:t>
      </w:r>
      <w:r>
        <w:t xml:space="preserve"> </w:t>
      </w:r>
      <w:r>
        <w:t xml:space="preserve">(early uses; the friars); on the arrival of the first nine friars near Dover in September 1224, J.R.H. Moorman, A History of the Franciscan Order (1968)</w:t>
      </w:r>
      <w:r>
        <w:t xml:space="preserve"> </w:t>
      </w:r>
      <w:r>
        <w:t xml:space="preserve">[@moorman-franciscan-order-1968]</w:t>
      </w:r>
      <w:r>
        <w:t xml:space="preserve">. The friars were an early user of the device, not its origin. [VERIFY pin: chapter-level pins on the friars-use mechanism.]</w:t>
      </w:r>
    </w:p>
  </w:footnote>
  <w:footnote w:id="34">
    <w:p>
      <w:pPr>
        <w:pStyle w:val="FootnoteText"/>
      </w:pPr>
      <w:r>
        <w:rPr>
          <w:rStyle w:val="FootnoteReference"/>
        </w:rPr>
        <w:footnoteRef/>
      </w:r>
      <w:r>
        <w:t xml:space="preserve"> </w:t>
      </w:r>
      <w:r>
        <w:t xml:space="preserve">Thomas Frowyk’s reading on uses (c. 1489), declaring that the greatest part of the land of England was held in feoffments upon confidence, as carried in</w:t>
      </w:r>
      <w:r>
        <w:t xml:space="preserve"> </w:t>
      </w:r>
      <w:r>
        <w:t xml:space="preserve">[@baker-ielh]</w:t>
      </w:r>
      <w:r>
        <w:t xml:space="preserve">, ch. on uses and trusts. [VERIFY pin: the Baker page carrying the Frowyk reading not yet pinned.]</w:t>
      </w:r>
    </w:p>
  </w:footnote>
  <w:footnote w:id="36">
    <w:p>
      <w:pPr>
        <w:pStyle w:val="FootnoteText"/>
      </w:pPr>
      <w:r>
        <w:rPr>
          <w:rStyle w:val="FootnoteReference"/>
        </w:rPr>
        <w:footnoteRef/>
      </w:r>
      <w:r>
        <w:t xml:space="preserve"> </w:t>
      </w:r>
      <w:r>
        <w:t xml:space="preserve">On the Chancellor and the early Chancery, its procedure (subpoena, examination on oath, contempt), the maxim that equity acts</w:t>
      </w:r>
      <w:r>
        <w:t xml:space="preserve"> </w:t>
      </w:r>
      <w:r>
        <w:rPr>
          <w:i/>
        </w:rPr>
        <w:t xml:space="preserve">in personam</w:t>
      </w:r>
      <w:r>
        <w:t xml:space="preserve">, the routinization of enforcement in the fifteenth century, and the hardening of the beneficiary’s interest into near-property bounded by the bona fide purchaser, see generally</w:t>
      </w:r>
      <w:r>
        <w:t xml:space="preserve"> </w:t>
      </w:r>
      <w:r>
        <w:t xml:space="preserve">[@baker-ielh]</w:t>
      </w:r>
      <w:r>
        <w:t xml:space="preserve">, ch. on the Court of Chancery and equity; 1</w:t>
      </w:r>
      <w:r>
        <w:t xml:space="preserve"> </w:t>
      </w:r>
      <w:r>
        <w:t xml:space="preserve">[@holdsworth-hel]</w:t>
      </w:r>
      <w:r>
        <w:t xml:space="preserve"> </w:t>
      </w:r>
      <w:r>
        <w:t xml:space="preserve">(the Chancery);</w:t>
      </w:r>
      <w:r>
        <w:t xml:space="preserve"> </w:t>
      </w:r>
      <w:r>
        <w:t xml:space="preserve">[@maitland-equity]</w:t>
      </w:r>
      <w:r>
        <w:t xml:space="preserve">, Lecture I (procedure and history) and Lecture III (the equitable interest and the purchaser exception). [VERIFY pin: chapter-level pins; page-pin on pull.]</w:t>
      </w:r>
    </w:p>
  </w:footnote>
  <w:footnote w:id="38">
    <w:p>
      <w:pPr>
        <w:pStyle w:val="FootnoteText"/>
      </w:pPr>
      <w:r>
        <w:rPr>
          <w:rStyle w:val="FootnoteReference"/>
        </w:rPr>
        <w:footnoteRef/>
      </w:r>
      <w:r>
        <w:t xml:space="preserve"> </w:t>
      </w:r>
      <w:r>
        <w:t xml:space="preserve">[@baker-ielh]</w:t>
      </w:r>
      <w:r>
        <w:t xml:space="preserve">, ch. on uses and trusts (uses become widespread in the second half of the fourteenth century); 4</w:t>
      </w:r>
      <w:r>
        <w:t xml:space="preserve"> </w:t>
      </w:r>
      <w:r>
        <w:t xml:space="preserve">[@holdsworth-hel]</w:t>
      </w:r>
      <w:r>
        <w:t xml:space="preserve">;</w:t>
      </w:r>
      <w:r>
        <w:t xml:space="preserve"> </w:t>
      </w:r>
      <w:r>
        <w:t xml:space="preserve">[@barton-medieval-use-1965]</w:t>
      </w:r>
      <w:r>
        <w:t xml:space="preserve">. [VERIFY pin: chapter-level pins.]</w:t>
      </w:r>
    </w:p>
  </w:footnote>
  <w:footnote w:id="39">
    <w:p>
      <w:pPr>
        <w:pStyle w:val="FootnoteText"/>
      </w:pPr>
      <w:r>
        <w:rPr>
          <w:rStyle w:val="FootnoteReference"/>
        </w:rPr>
        <w:footnoteRef/>
      </w:r>
      <w:r>
        <w:t xml:space="preserve"> </w:t>
      </w:r>
      <w:r>
        <w:t xml:space="preserve">Magna Carta (1215), ch. 40</w:t>
      </w:r>
      <w:r>
        <w:t xml:space="preserve"> </w:t>
      </w:r>
      <w:r>
        <w:t xml:space="preserve">[@act-magna-carta-1215]</w:t>
      </w:r>
      <w:r>
        <w:t xml:space="preserve"> </w:t>
      </w:r>
      <w:r>
        <w:t xml:space="preserve">(standard translation). In the definitive 1225 reissue, chapters 39 and 40 of the 1215 charter are combined as chapter 29</w:t>
      </w:r>
      <w:r>
        <w:t xml:space="preserve"> </w:t>
      </w:r>
      <w:r>
        <w:t xml:space="preserve">[@act-magna-carta-1225]</w:t>
      </w:r>
      <w:r>
        <w:t xml:space="preserve">.</w:t>
      </w:r>
    </w:p>
  </w:footnote>
  <w:footnote w:id="40">
    <w:p>
      <w:pPr>
        <w:pStyle w:val="FootnoteText"/>
      </w:pPr>
      <w:r>
        <w:rPr>
          <w:rStyle w:val="FootnoteReference"/>
        </w:rPr>
        <w:footnoteRef/>
      </w:r>
      <w:r>
        <w:t xml:space="preserve"> </w:t>
      </w:r>
      <w:r>
        <w:t xml:space="preserve">Pope Innocent III’s bull of August 24, 1215, procured at John’s instance, annulled the charter roughly ten weeks after Runnymede; reissues followed in 1216, 1217, and 1225, and the 1225 text as confirmed by Edward I’s inspeximus of 1297 (Confirmatio Cartarum) is what sits on the English statute book. See generally J.C. Holt, Magna Carta (3d ed., rev. George Garnett &amp; John Hudson, 2015)</w:t>
      </w:r>
      <w:r>
        <w:t xml:space="preserve"> </w:t>
      </w:r>
      <w:r>
        <w:t xml:space="preserve">[@holt-magna-carta]</w:t>
      </w:r>
      <w:r>
        <w:t xml:space="preserve">. [VERIFY pin: chapter-level pin.]</w:t>
      </w:r>
    </w:p>
  </w:footnote>
  <w:footnote w:id="42">
    <w:p>
      <w:pPr>
        <w:pStyle w:val="FootnoteText"/>
      </w:pPr>
      <w:r>
        <w:rPr>
          <w:rStyle w:val="FootnoteReference"/>
        </w:rPr>
        <w:footnoteRef/>
      </w:r>
      <w:r>
        <w:t xml:space="preserve"> </w:t>
      </w:r>
      <w:r>
        <w:t xml:space="preserve">E.W. Ives,</w:t>
      </w:r>
      <w:r>
        <w:t xml:space="preserve"> </w:t>
      </w:r>
      <w:r>
        <w:rPr>
          <w:i/>
        </w:rPr>
        <w:t xml:space="preserve">The Genesis of the Statute of Uses</w:t>
      </w:r>
      <w:r>
        <w:t xml:space="preserve">, 82 Eng. Hist. Rev. 673 (1967)</w:t>
      </w:r>
      <w:r>
        <w:t xml:space="preserve"> </w:t>
      </w:r>
      <w:r>
        <w:t xml:space="preserve">[@ives-genesis-statute-uses-1967]</w:t>
      </w:r>
      <w:r>
        <w:t xml:space="preserve"> </w:t>
      </w:r>
      <w:r>
        <w:t xml:space="preserve">(the standard study of the statute’s fiscal-political genesis);</w:t>
      </w:r>
      <w:r>
        <w:t xml:space="preserve"> </w:t>
      </w:r>
      <w:r>
        <w:t xml:space="preserve">[@baker-ielh]</w:t>
      </w:r>
      <w:r>
        <w:t xml:space="preserve">, ch. on uses and trusts;</w:t>
      </w:r>
      <w:r>
        <w:t xml:space="preserve"> </w:t>
      </w:r>
      <w:r>
        <w:t xml:space="preserve">[@simpson-land-law]</w:t>
      </w:r>
      <w:r>
        <w:t xml:space="preserve">, ch. on the Statute of Uses. [Ives, 82 Eng. Hist. Rev. 673 (1967), pp. 673–697, verified 2026-06-08 (web pass); the Baker/Simpson chapter-level page pins still need a physical shelf pull.]</w:t>
      </w:r>
    </w:p>
  </w:footnote>
  <w:footnote w:id="43">
    <w:p>
      <w:pPr>
        <w:pStyle w:val="FootnoteText"/>
      </w:pPr>
      <w:r>
        <w:rPr>
          <w:rStyle w:val="FootnoteReference"/>
        </w:rPr>
        <w:footnoteRef/>
      </w:r>
      <w:r>
        <w:t xml:space="preserve"> </w:t>
      </w:r>
      <w:r>
        <w:t xml:space="preserve">Statute of Uses 1536, 27 Hen. 8, c. 10</w:t>
      </w:r>
      <w:r>
        <w:t xml:space="preserve"> </w:t>
      </w:r>
      <w:r>
        <w:t xml:space="preserve">[@act-statute-of-uses-1536]</w:t>
      </w:r>
      <w:r>
        <w:t xml:space="preserve">. Some sources style the act 1535 by regnal-session dating; 1536, the year of passage, is the common modern form. On the statute’s operation,</w:t>
      </w:r>
      <w:r>
        <w:t xml:space="preserve"> </w:t>
      </w:r>
      <w:r>
        <w:t xml:space="preserve">[@baker-ielh]</w:t>
      </w:r>
      <w:r>
        <w:t xml:space="preserve">, ch. on uses and trusts;</w:t>
      </w:r>
      <w:r>
        <w:t xml:space="preserve"> </w:t>
      </w:r>
      <w:r>
        <w:t xml:space="preserve">[@maitland-equity]</w:t>
      </w:r>
      <w:r>
        <w:t xml:space="preserve">, Lecture III.</w:t>
      </w:r>
    </w:p>
  </w:footnote>
  <w:footnote w:id="44">
    <w:p>
      <w:pPr>
        <w:pStyle w:val="FootnoteText"/>
      </w:pPr>
      <w:r>
        <w:rPr>
          <w:rStyle w:val="FootnoteReference"/>
        </w:rPr>
        <w:footnoteRef/>
      </w:r>
      <w:r>
        <w:t xml:space="preserve"> </w:t>
      </w:r>
      <w:r>
        <w:t xml:space="preserve">Statute of Wills 1540, 32 Hen. 8, c. 1</w:t>
      </w:r>
      <w:r>
        <w:t xml:space="preserve"> </w:t>
      </w:r>
      <w:r>
        <w:t xml:space="preserve">[@act-statute-of-wills-1540]</w:t>
      </w:r>
      <w:r>
        <w:t xml:space="preserve"> </w:t>
      </w:r>
      <w:r>
        <w:t xml:space="preserve">(devise of all socage land and two-thirds of land held by knight-service — hence</w:t>
      </w:r>
      <w:r>
        <w:t xml:space="preserve"> </w:t>
      </w:r>
      <w:r>
        <w:t xml:space="preserve">“</w:t>
      </w:r>
      <w:r>
        <w:t xml:space="preserve">most</w:t>
      </w:r>
      <w:r>
        <w:t xml:space="preserve">”</w:t>
      </w:r>
      <w:r>
        <w:t xml:space="preserve">).</w:t>
      </w:r>
    </w:p>
  </w:footnote>
  <w:footnote w:id="45">
    <w:p>
      <w:pPr>
        <w:pStyle w:val="FootnoteText"/>
      </w:pPr>
      <w:r>
        <w:rPr>
          <w:rStyle w:val="FootnoteReference"/>
        </w:rPr>
        <w:footnoteRef/>
      </w:r>
      <w:r>
        <w:t xml:space="preserve"> </w:t>
      </w:r>
      <w:r>
        <w:t xml:space="preserve">[@maitland-equity]</w:t>
      </w:r>
      <w:r>
        <w:t xml:space="preserve">, Lecture III (the escapes from execution);</w:t>
      </w:r>
      <w:r>
        <w:t xml:space="preserve"> </w:t>
      </w:r>
      <w:r>
        <w:t xml:space="preserve">[@baker-ielh]</w:t>
      </w:r>
      <w:r>
        <w:t xml:space="preserve">, ch. on uses and trusts. [VERIFY pin: chapter-level pins.]</w:t>
      </w:r>
    </w:p>
  </w:footnote>
  <w:footnote w:id="46">
    <w:p>
      <w:pPr>
        <w:pStyle w:val="FootnoteText"/>
      </w:pPr>
      <w:r>
        <w:rPr>
          <w:rStyle w:val="FootnoteReference"/>
        </w:rPr>
        <w:footnoteRef/>
      </w:r>
      <w:r>
        <w:t xml:space="preserve"> </w:t>
      </w:r>
      <w:r>
        <w:t xml:space="preserve">Tyrrel’s Case (1557) 2 Dyer 155a, 73 Eng. Rep. 336</w:t>
      </w:r>
      <w:r>
        <w:t xml:space="preserve"> </w:t>
      </w:r>
      <w:r>
        <w:t xml:space="preserve">[@case-tyrrel-1557]</w:t>
      </w:r>
      <w:r>
        <w:t xml:space="preserve"> </w:t>
      </w:r>
      <w:r>
        <w:t xml:space="preserve">(the second use void at law). For the modern study, N.G. Jones,</w:t>
      </w:r>
      <w:r>
        <w:t xml:space="preserve"> </w:t>
      </w:r>
      <w:r>
        <w:rPr>
          <w:i/>
        </w:rPr>
        <w:t xml:space="preserve">Tyrrel’s Case (1557) and the Use upon a Use</w:t>
      </w:r>
      <w:r>
        <w:t xml:space="preserve">, 14 J. Legal Hist. 75 (1993)</w:t>
      </w:r>
      <w:r>
        <w:t xml:space="preserve"> </w:t>
      </w:r>
      <w:r>
        <w:t xml:space="preserve">[@jones-tyrrel-1993]</w:t>
      </w:r>
      <w:r>
        <w:t xml:space="preserve">. [Verified 2026-06-08 (web pass): 2 Dyer 155a, 73 Eng. Rep. 336 confirmed; N.G. Jones, 14 J. Legal Hist. 75 (1993) per standard bibliography.]</w:t>
      </w:r>
    </w:p>
  </w:footnote>
  <w:footnote w:id="47">
    <w:p>
      <w:pPr>
        <w:pStyle w:val="FootnoteText"/>
      </w:pPr>
      <w:r>
        <w:rPr>
          <w:rStyle w:val="FootnoteReference"/>
        </w:rPr>
        <w:footnoteRef/>
      </w:r>
      <w:r>
        <w:t xml:space="preserve"> </w:t>
      </w:r>
      <w:r>
        <w:t xml:space="preserve">Sambach v. Dalston (1634) Tothill 188, 21 Eng. Rep. 164</w:t>
      </w:r>
      <w:r>
        <w:t xml:space="preserve"> </w:t>
      </w:r>
      <w:r>
        <w:t xml:space="preserve">[@case-sambach-v-dalston-1634]</w:t>
      </w:r>
      <w:r>
        <w:t xml:space="preserve"> </w:t>
      </w:r>
      <w:r>
        <w:t xml:space="preserve">(first reported chancery enforcement of a use upon a use); on the enforced second use taking the name</w:t>
      </w:r>
      <w:r>
        <w:t xml:space="preserve"> </w:t>
      </w:r>
      <w:r>
        <w:t xml:space="preserve">“</w:t>
      </w:r>
      <w:r>
        <w:t xml:space="preserve">trust,</w:t>
      </w:r>
      <w:r>
        <w:t xml:space="preserve">”</w:t>
      </w:r>
      <w:r>
        <w:t xml:space="preserve"> </w:t>
      </w:r>
      <w:r>
        <w:t xml:space="preserve">[@baker-ielh]</w:t>
      </w:r>
      <w:r>
        <w:t xml:space="preserve">, ch. on uses and trusts. Routine enforcement is better dated toward the Restoration decades than to mid-century, which is why the text says</w:t>
      </w:r>
      <w:r>
        <w:t xml:space="preserve"> </w:t>
      </w:r>
      <w:r>
        <w:t xml:space="preserve">“</w:t>
      </w:r>
      <w:r>
        <w:t xml:space="preserve">latter half.</w:t>
      </w:r>
      <w:r>
        <w:t xml:space="preserve">”</w:t>
      </w:r>
    </w:p>
  </w:footnote>
  <w:footnote w:id="48">
    <w:p>
      <w:pPr>
        <w:pStyle w:val="FootnoteText"/>
      </w:pPr>
      <w:r>
        <w:rPr>
          <w:rStyle w:val="FootnoteReference"/>
        </w:rPr>
        <w:footnoteRef/>
      </w:r>
      <w:r>
        <w:t xml:space="preserve"> </w:t>
      </w:r>
      <w:r>
        <w:t xml:space="preserve">Hopkins v. Hopkins (1738) 1 Atk. 581, 591, 26 Eng. Rep. 365, 372</w:t>
      </w:r>
      <w:r>
        <w:t xml:space="preserve"> </w:t>
      </w:r>
      <w:r>
        <w:t xml:space="preserve">[@case-hopkins-v-hopkins-1738]</w:t>
      </w:r>
      <w:r>
        <w:t xml:space="preserve"> </w:t>
      </w:r>
      <w:r>
        <w:t xml:space="preserve">(Lord Hardwicke, L.C.). [Verified 2026-06-08 (web pass): 1 Atk. 581, 591; 26 Eng. Rep. 365, 372 (Lord Hardwicke, L.C.) confirmed.] The three words: the draftsman simply inserted a second use —</w:t>
      </w:r>
      <w:r>
        <w:t xml:space="preserve"> </w:t>
      </w:r>
      <w:r>
        <w:t xml:space="preserve">“</w:t>
      </w:r>
      <w:r>
        <w:t xml:space="preserve">unto and to the use of B, in trust for C.</w:t>
      </w:r>
      <w:r>
        <w:t xml:space="preserve">”</w:t>
      </w:r>
    </w:p>
  </w:footnote>
  <w:footnote w:id="50">
    <w:p>
      <w:pPr>
        <w:pStyle w:val="FootnoteText"/>
      </w:pPr>
      <w:r>
        <w:rPr>
          <w:rStyle w:val="FootnoteReference"/>
        </w:rPr>
        <w:footnoteRef/>
      </w:r>
      <w:r>
        <w:t xml:space="preserve"> </w:t>
      </w:r>
      <w:r>
        <w:t xml:space="preserve">Gareth Jones, History of the Law of Charity 1532–1827, chs. 1–3 (1969)</w:t>
      </w:r>
      <w:r>
        <w:t xml:space="preserve"> </w:t>
      </w:r>
      <w:r>
        <w:t xml:space="preserve">[@jones-charity]</w:t>
      </w:r>
      <w:r>
        <w:t xml:space="preserve"> </w:t>
      </w:r>
      <w:r>
        <w:t xml:space="preserve">(the post-dissolution charitable landscape and the road to 1601); W.K. Jordan, Philanthropy in England 1480–1660 (1959)</w:t>
      </w:r>
      <w:r>
        <w:t xml:space="preserve"> </w:t>
      </w:r>
      <w:r>
        <w:t xml:space="preserve">[@jordan-philanthropy-1959]</w:t>
      </w:r>
      <w:r>
        <w:t xml:space="preserve"> </w:t>
      </w:r>
      <w:r>
        <w:t xml:space="preserve">(the quantitative study of the private-giving surge; its inflation adjustments have been criticized, but the directional claim in text is safe). [VERIFY pin: chapter-level pins.]</w:t>
      </w:r>
    </w:p>
  </w:footnote>
  <w:footnote w:id="51">
    <w:p>
      <w:pPr>
        <w:pStyle w:val="FootnoteText"/>
      </w:pPr>
      <w:r>
        <w:rPr>
          <w:rStyle w:val="FootnoteReference"/>
        </w:rPr>
        <w:footnoteRef/>
      </w:r>
      <w:r>
        <w:t xml:space="preserve"> </w:t>
      </w:r>
      <w:r>
        <w:t xml:space="preserve">43 Eliz. I, c. 4 (1601), preamble</w:t>
      </w:r>
      <w:r>
        <w:t xml:space="preserve"> </w:t>
      </w:r>
      <w:r>
        <w:t xml:space="preserve">[@act-charitable-uses-1601]</w:t>
      </w:r>
      <w:r>
        <w:t xml:space="preserve"> </w:t>
      </w:r>
      <w:r>
        <w:t xml:space="preserve">(spelling modernized; the original reads</w:t>
      </w:r>
      <w:r>
        <w:t xml:space="preserve"> </w:t>
      </w:r>
      <w:r>
        <w:t xml:space="preserve">“</w:t>
      </w:r>
      <w:r>
        <w:t xml:space="preserve">Schooles of Learning, Free Schooles, and Schollers in Universities</w:t>
      </w:r>
      <w:r>
        <w:t xml:space="preserve">”</w:t>
      </w:r>
      <w:r>
        <w:t xml:space="preserve">).</w:t>
      </w:r>
    </w:p>
  </w:footnote>
  <w:footnote w:id="52">
    <w:p>
      <w:pPr>
        <w:pStyle w:val="FootnoteText"/>
      </w:pPr>
      <w:r>
        <w:rPr>
          <w:rStyle w:val="FootnoteReference"/>
        </w:rPr>
        <w:footnoteRef/>
      </w:r>
      <w:r>
        <w:t xml:space="preserve"> </w:t>
      </w:r>
      <w:r>
        <w:t xml:space="preserve">[@jones-charity]</w:t>
      </w:r>
      <w:r>
        <w:t xml:space="preserve">, ch. VIII (</w:t>
      </w:r>
      <w:r>
        <w:t xml:space="preserve">“</w:t>
      </w:r>
      <w:r>
        <w:t xml:space="preserve">The Preamble to the Charitable Uses Act, 1601, and the Definition of Charity</w:t>
      </w:r>
      <w:r>
        <w:t xml:space="preserve">”</w:t>
      </w:r>
      <w:r>
        <w:t xml:space="preserve">) and the chapters on the decay of the commission procedure (by the end of the seventeenth century the information procedure had displaced commissions); Commissioners for Special Purposes of Income Tax v. Pemsel, [1891] A.C. 531, 581–83 (H.L.) (Lord Macnaghten) (the preamble-derived classification of charity). [Verified 2026-06-08 (web pass): [1891] A.C. 531; Lord Macnaghten’s four-head classification at 583 (speech from 581).]</w:t>
      </w:r>
      <w:r>
        <w:t xml:space="preserve"> </w:t>
      </w:r>
      <w:r>
        <w:t xml:space="preserve">[@case-pemsel-1891]</w:t>
      </w:r>
    </w:p>
  </w:footnote>
  <w:footnote w:id="53">
    <w:p>
      <w:pPr>
        <w:pStyle w:val="FootnoteText"/>
      </w:pPr>
      <w:r>
        <w:rPr>
          <w:rStyle w:val="FootnoteReference"/>
        </w:rPr>
        <w:footnoteRef/>
      </w:r>
      <w:r>
        <w:t xml:space="preserve"> </w:t>
      </w:r>
      <w:r>
        <w:t xml:space="preserve">[@jones-charity]</w:t>
      </w:r>
      <w:r>
        <w:t xml:space="preserve"> </w:t>
      </w:r>
      <w:r>
        <w:t xml:space="preserve">(the information procedure: enforcement by the Attorney General ex officio, the ordinary route by the end of the seventeenth century); Restatement (Second) of Trusts § 391 (1959)</w:t>
      </w:r>
      <w:r>
        <w:t xml:space="preserve"> </w:t>
      </w:r>
      <w:r>
        <w:t xml:space="preserve">[@restatement-2d-trusts]</w:t>
      </w:r>
      <w:r>
        <w:t xml:space="preserve"> </w:t>
      </w:r>
      <w:r>
        <w:t xml:space="preserve">[Verified 2026-06-08 (web pass): § 391 =</w:t>
      </w:r>
      <w:r>
        <w:t xml:space="preserve"> </w:t>
      </w:r>
      <w:r>
        <w:t xml:space="preserve">“</w:t>
      </w:r>
      <w:r>
        <w:t xml:space="preserve">Persons Who Can Enforce a Charitable Trust</w:t>
      </w:r>
      <w:r>
        <w:t xml:space="preserve">”</w:t>
      </w:r>
      <w:r>
        <w:t xml:space="preserve"> </w:t>
      </w:r>
      <w:r>
        <w:t xml:space="preserve">(Attorney General / special-interest standing) — section number confirmed; load-bearing for Chapters 13-14]; 4A Austin W. Scott &amp; William F. Fratcher, The Law of Trusts § 391 (4th ed. 1989)</w:t>
      </w:r>
      <w:r>
        <w:t xml:space="preserve"> </w:t>
      </w:r>
      <w:r>
        <w:t xml:space="preserve">[@scott-trusts]</w:t>
      </w:r>
      <w:r>
        <w:t xml:space="preserve">.</w:t>
      </w:r>
    </w:p>
  </w:footnote>
  <w:footnote w:id="55">
    <w:p>
      <w:pPr>
        <w:pStyle w:val="FootnoteText"/>
      </w:pPr>
      <w:r>
        <w:rPr>
          <w:rStyle w:val="FootnoteReference"/>
        </w:rPr>
        <w:footnoteRef/>
      </w:r>
      <w:r>
        <w:t xml:space="preserve"> </w:t>
      </w:r>
      <w:r>
        <w:t xml:space="preserve">1 William Blackstone, Commentaries</w:t>
      </w:r>
      <w:r>
        <w:t xml:space="preserve"> </w:t>
      </w:r>
      <w:r>
        <w:rPr>
          <w:i/>
        </w:rPr>
        <w:t xml:space="preserve">460 (</w:t>
      </w:r>
      <w:r>
        <w:rPr>
          <w:i/>
        </w:rPr>
        <w:t xml:space="preserve">“</w:t>
      </w:r>
      <w:r>
        <w:rPr>
          <w:i/>
        </w:rPr>
        <w:t xml:space="preserve">the king’s consent is absolutely necessary to the erection of any corporation</w:t>
      </w:r>
      <w:r>
        <w:rPr>
          <w:i/>
        </w:rPr>
        <w:t xml:space="preserve">”</w:t>
      </w:r>
      <w:r>
        <w:rPr>
          <w:i/>
        </w:rPr>
        <w:t xml:space="preserve">)</w:t>
      </w:r>
      <w:r>
        <w:rPr>
          <w:i/>
        </w:rPr>
        <w:t xml:space="preserve"> </w:t>
      </w:r>
      <w:r>
        <w:rPr>
          <w:i/>
        </w:rPr>
        <w:t xml:space="preserve">[@blackstone-commentaries]</w:t>
      </w:r>
      <w:r>
        <w:rPr>
          <w:i/>
        </w:rPr>
        <w:t xml:space="preserve">;</w:t>
      </w:r>
      <w:r>
        <w:rPr>
          <w:i/>
        </w:rPr>
        <w:t xml:space="preserve"> </w:t>
      </w:r>
      <w:r>
        <w:t xml:space="preserve">see also*</w:t>
      </w:r>
      <w:r>
        <w:t xml:space="preserve"> </w:t>
      </w:r>
      <w:r>
        <w:t xml:space="preserve">[@maitland-unincorporate-body]</w:t>
      </w:r>
      <w:r>
        <w:t xml:space="preserve"> </w:t>
      </w:r>
      <w:r>
        <w:t xml:space="preserve">(the trust as England’s working substitute for free incorporation — the very point in text). [Pin verified + corrected 2026-06-08 (web pass): Bk 1, ch. 18 (Of Corporations); the</w:t>
      </w:r>
      <w:r>
        <w:t xml:space="preserve"> </w:t>
      </w:r>
      <w:r>
        <w:t xml:space="preserve">“</w:t>
      </w:r>
      <w:r>
        <w:t xml:space="preserve">king’s consent … absolutely necessary to the erection of any corporation</w:t>
      </w:r>
      <w:r>
        <w:t xml:space="preserve">”</w:t>
      </w:r>
      <w:r>
        <w:t xml:space="preserve"> </w:t>
      </w:r>
      <w:r>
        <w:t xml:space="preserve">passage sits at</w:t>
      </w:r>
      <w:r>
        <w:t xml:space="preserve"> </w:t>
      </w:r>
      <w:r>
        <w:rPr>
          <w:i/>
        </w:rPr>
        <w:t xml:space="preserve">460 in the first edition (Yale Avalon full text) — corrected from the prior</w:t>
      </w:r>
      <w:r>
        <w:rPr>
          <w:i/>
        </w:rPr>
        <w:t xml:space="preserve"> </w:t>
      </w:r>
      <w:r>
        <w:t xml:space="preserve">472–73, which is the corporation-dissolution passage.]</w:t>
      </w:r>
    </w:p>
  </w:footnote>
  <w:footnote w:id="56">
    <w:p>
      <w:pPr>
        <w:pStyle w:val="FootnoteText"/>
      </w:pPr>
      <w:r>
        <w:rPr>
          <w:rStyle w:val="FootnoteReference"/>
        </w:rPr>
        <w:footnoteRef/>
      </w:r>
      <w:r>
        <w:t xml:space="preserve"> </w:t>
      </w:r>
      <w:r>
        <w:t xml:space="preserve">Duke of Norfolk’s Case (1682) 3 Ch. Cas. 1, 22 Eng. Rep. 931 (Lord Nottingham, L.C.)</w:t>
      </w:r>
      <w:r>
        <w:t xml:space="preserve"> </w:t>
      </w:r>
      <w:r>
        <w:t xml:space="preserve">[@case-duke-of-norfolk-1682]</w:t>
      </w:r>
      <w:r>
        <w:t xml:space="preserve">. The case originated the rule; the full lives-in-being-plus-twenty-one-years period settled over the following century and a half (the twenty-one-year tail finally in Cadell v. Palmer (1833)).</w:t>
      </w:r>
      <w:r>
        <w:t xml:space="preserve"> </w:t>
      </w:r>
      <w:r>
        <w:rPr>
          <w:i/>
        </w:rPr>
        <w:t xml:space="preserve">See generally</w:t>
      </w:r>
      <w:r>
        <w:t xml:space="preserve"> </w:t>
      </w:r>
      <w:r>
        <w:t xml:space="preserve">John Chipman Gray, The Rule Against Perpetuities §§ 169–200 (4th ed. 1942)</w:t>
      </w:r>
      <w:r>
        <w:t xml:space="preserve"> </w:t>
      </w:r>
      <w:r>
        <w:t xml:space="preserve">[@gray-perpetuities]</w:t>
      </w:r>
      <w:r>
        <w:t xml:space="preserve"> </w:t>
      </w:r>
      <w:r>
        <w:t xml:space="preserve">(the rule’s maturation). [VERIFY pin: Gray section range rests on standard attribution.]</w:t>
      </w:r>
    </w:p>
  </w:footnote>
  <w:footnote w:id="57">
    <w:p>
      <w:pPr>
        <w:pStyle w:val="FootnoteText"/>
      </w:pPr>
      <w:r>
        <w:rPr>
          <w:rStyle w:val="FootnoteReference"/>
        </w:rPr>
        <w:footnoteRef/>
      </w:r>
      <w:r>
        <w:t xml:space="preserve"> </w:t>
      </w:r>
      <w:r>
        <w:t xml:space="preserve">[@gray-perpetuities]</w:t>
      </w:r>
      <w:r>
        <w:t xml:space="preserve"> </w:t>
      </w:r>
      <w:r>
        <w:t xml:space="preserve">§§ 589–603 (charitable gifts and the Rule — the classic treatment) [VERIFY pin: section range rests on standard attribution]; Restatement (Second) of Trusts § 365 (duration of charitable trusts)</w:t>
      </w:r>
      <w:r>
        <w:t xml:space="preserve"> </w:t>
      </w:r>
      <w:r>
        <w:t xml:space="preserve">[@restatement-2d-trusts]</w:t>
      </w:r>
      <w:r>
        <w:t xml:space="preserve"> </w:t>
      </w:r>
      <w:r>
        <w:t xml:space="preserve">[Verified 2026-06-08 (web pass): § 365 (duration — a charitable trust may be perpetual) — section number confirmed].</w:t>
      </w:r>
    </w:p>
  </w:footnote>
  <w:footnote w:id="59">
    <w:p>
      <w:pPr>
        <w:pStyle w:val="FootnoteText"/>
      </w:pPr>
      <w:r>
        <w:rPr>
          <w:rStyle w:val="FootnoteReference"/>
        </w:rPr>
        <w:footnoteRef/>
      </w:r>
      <w:r>
        <w:t xml:space="preserve"> </w:t>
      </w:r>
      <w:r>
        <w:t xml:space="preserve">Samuel Eliot Morison, The Founding of Harvard College (1935)</w:t>
      </w:r>
      <w:r>
        <w:t xml:space="preserve"> </w:t>
      </w:r>
      <w:r>
        <w:t xml:space="preserve">[@morison-founding-harvard-1935]</w:t>
      </w:r>
      <w:r>
        <w:t xml:space="preserve">; accord the university’s official history. The sequence: October 28, 1636, the General Court appropriates £400 toward</w:t>
      </w:r>
      <w:r>
        <w:t xml:space="preserve"> </w:t>
      </w:r>
      <w:r>
        <w:t xml:space="preserve">“</w:t>
      </w:r>
      <w:r>
        <w:t xml:space="preserve">a schoale or colledge</w:t>
      </w:r>
      <w:r>
        <w:t xml:space="preserve">”</w:t>
      </w:r>
      <w:r>
        <w:t xml:space="preserve">; September 1638, John Harvard dies, leaving roughly half his estate and his library to the college; March 13, 1639, the General Court orders</w:t>
      </w:r>
      <w:r>
        <w:t xml:space="preserve"> </w:t>
      </w:r>
      <w:r>
        <w:t xml:space="preserve">“</w:t>
      </w:r>
      <w:r>
        <w:t xml:space="preserve">that the colledge … shalbee called Harvard Colledge.</w:t>
      </w:r>
      <w:r>
        <w:t xml:space="preserve">”</w:t>
      </w:r>
      <w:r>
        <w:t xml:space="preserve"> </w:t>
      </w:r>
      <w:r>
        <w:t xml:space="preserve">[VERIFY pin: chapter-level pin; page-pin Morison on pull.]</w:t>
      </w:r>
    </w:p>
  </w:footnote>
  <w:footnote w:id="60">
    <w:p>
      <w:pPr>
        <w:pStyle w:val="FootnoteText"/>
      </w:pPr>
      <w:r>
        <w:rPr>
          <w:rStyle w:val="FootnoteReference"/>
        </w:rPr>
        <w:footnoteRef/>
      </w:r>
      <w:r>
        <w:t xml:space="preserve"> </w:t>
      </w:r>
      <w:r>
        <w:t xml:space="preserve">Lawrence M. Friedman, A History of American Law (3d ed. 2005) (colonial courts and the reception of equity; Massachusetts’s refusal of a separate chancery)</w:t>
      </w:r>
      <w:r>
        <w:t xml:space="preserve"> </w:t>
      </w:r>
      <w:r>
        <w:t xml:space="preserve">[@friedman-history-american-law]</w:t>
      </w:r>
      <w:r>
        <w:t xml:space="preserve">; Ford W. Hall,</w:t>
      </w:r>
      <w:r>
        <w:t xml:space="preserve"> </w:t>
      </w:r>
      <w:r>
        <w:rPr>
          <w:i/>
        </w:rPr>
        <w:t xml:space="preserve">The Common Law: An Account of Its Reception in the United States</w:t>
      </w:r>
      <w:r>
        <w:t xml:space="preserve">, 4 Vand. L. Rev. 791 (1951)</w:t>
      </w:r>
      <w:r>
        <w:t xml:space="preserve"> </w:t>
      </w:r>
      <w:r>
        <w:t xml:space="preserve">[@hall-reception-1951]</w:t>
      </w:r>
      <w:r>
        <w:t xml:space="preserve"> </w:t>
      </w:r>
      <w:r>
        <w:t xml:space="preserve">(the classic survey of fixed-date reception statutes). [VERIFY pin: chapter-level pins; texts not yet pulled.]</w:t>
      </w:r>
    </w:p>
  </w:footnote>
  <w:footnote w:id="61">
    <w:p>
      <w:pPr>
        <w:pStyle w:val="FootnoteText"/>
      </w:pPr>
      <w:r>
        <w:rPr>
          <w:rStyle w:val="FootnoteReference"/>
        </w:rPr>
        <w:footnoteRef/>
      </w:r>
      <w:r>
        <w:t xml:space="preserve"> </w:t>
      </w:r>
      <w:r>
        <w:t xml:space="preserve">Trustees of the Philadelphia Baptist Ass’n v. Hart’s Executors, 17 U.S. (4 Wheat.) 1 (1819)</w:t>
      </w:r>
      <w:r>
        <w:t xml:space="preserve"> </w:t>
      </w:r>
      <w:r>
        <w:t xml:space="preserve">[@case-hart-executors-1819]</w:t>
      </w:r>
      <w:r>
        <w:t xml:space="preserve">.</w:t>
      </w:r>
    </w:p>
  </w:footnote>
  <w:footnote w:id="62">
    <w:p>
      <w:pPr>
        <w:pStyle w:val="FootnoteText"/>
      </w:pPr>
      <w:r>
        <w:rPr>
          <w:rStyle w:val="FootnoteReference"/>
        </w:rPr>
        <w:footnoteRef/>
      </w:r>
      <w:r>
        <w:t xml:space="preserve"> </w:t>
      </w:r>
      <w:r>
        <w:t xml:space="preserve">Vidal v. Girard’s Executors, 43 U.S. (2 How.) 127 (1844) (Story, J.)</w:t>
      </w:r>
      <w:r>
        <w:t xml:space="preserve"> </w:t>
      </w:r>
      <w:r>
        <w:t xml:space="preserve">[@case-vidal-girard-1844]</w:t>
      </w:r>
      <w:r>
        <w:t xml:space="preserve"> </w:t>
      </w:r>
      <w:r>
        <w:t xml:space="preserve">(</w:t>
      </w:r>
      <w:r>
        <w:t xml:space="preserve">“</w:t>
      </w:r>
      <w:r>
        <w:t xml:space="preserve">on a fuller historical record</w:t>
      </w:r>
      <w:r>
        <w:t xml:space="preserve">”</w:t>
      </w:r>
      <w:r>
        <w:t xml:space="preserve">: the Court relied on then-recently published calendars of pre-1601 chancery proceedings showing equity acting on charitable uses antecedent to 43 Eliz.).</w:t>
      </w:r>
    </w:p>
  </w:footnote>
  <w:footnote w:id="64">
    <w:p>
      <w:pPr>
        <w:pStyle w:val="FootnoteText"/>
      </w:pPr>
      <w:r>
        <w:rPr>
          <w:rStyle w:val="FootnoteReference"/>
        </w:rPr>
        <w:footnoteRef/>
      </w:r>
      <w:r>
        <w:t xml:space="preserve"> </w:t>
      </w:r>
      <w:r>
        <w:t xml:space="preserve">Ordinance of May 20, 1785,</w:t>
      </w:r>
      <w:r>
        <w:t xml:space="preserve"> </w:t>
      </w:r>
      <w:r>
        <w:rPr>
          <w:i/>
        </w:rPr>
        <w:t xml:space="preserve">in</w:t>
      </w:r>
      <w:r>
        <w:t xml:space="preserve"> </w:t>
      </w:r>
      <w:r>
        <w:t xml:space="preserve">28 Journals of the Continental Congress 1774–1789, at 375 (John C. Fitzpatrick ed., 1933)</w:t>
      </w:r>
      <w:r>
        <w:t xml:space="preserve"> </w:t>
      </w:r>
      <w:r>
        <w:t xml:space="preserve">[@act-land-ordinance-1785]</w:t>
      </w:r>
      <w:r>
        <w:t xml:space="preserve"> </w:t>
      </w:r>
      <w:r>
        <w:t xml:space="preserve">(reservation language quoted verbatim). The ordinance’s own word is</w:t>
      </w:r>
      <w:r>
        <w:t xml:space="preserve"> </w:t>
      </w:r>
      <w:r>
        <w:t xml:space="preserve">“</w:t>
      </w:r>
      <w:r>
        <w:t xml:space="preserve">lot</w:t>
      </w:r>
      <w:r>
        <w:t xml:space="preserve">”</w:t>
      </w:r>
      <w:r>
        <w:t xml:space="preserve">;</w:t>
      </w:r>
      <w:r>
        <w:t xml:space="preserve"> </w:t>
      </w:r>
      <w:r>
        <w:t xml:space="preserve">“</w:t>
      </w:r>
      <w:r>
        <w:t xml:space="preserve">sixteenth section</w:t>
      </w:r>
      <w:r>
        <w:t xml:space="preserve">”</w:t>
      </w:r>
      <w:r>
        <w:t xml:space="preserve"> </w:t>
      </w:r>
      <w:r>
        <w:t xml:space="preserve">is the standard gloss. [Reservation text verified 2026-06-08 (web pass; LOC primary:</w:t>
      </w:r>
      <w:r>
        <w:t xml:space="preserve"> </w:t>
      </w:r>
      <w:r>
        <w:t xml:space="preserve">“</w:t>
      </w:r>
      <w:r>
        <w:t xml:space="preserve">There shall be reserved the lot No. 16, of every township, for the maintenance of public schools within the said township</w:t>
      </w:r>
      <w:r>
        <w:t xml:space="preserve">”</w:t>
      </w:r>
      <w:r>
        <w:t xml:space="preserve">); the exact internal page in 28 J. Cont. Cong. (375 vs 378) still needs the bound volume — HathiTrust/LOC JCC vol. 28.]</w:t>
      </w:r>
    </w:p>
  </w:footnote>
  <w:footnote w:id="65">
    <w:p>
      <w:pPr>
        <w:pStyle w:val="FootnoteText"/>
      </w:pPr>
      <w:r>
        <w:rPr>
          <w:rStyle w:val="FootnoteReference"/>
        </w:rPr>
        <w:footnoteRef/>
      </w:r>
      <w:r>
        <w:t xml:space="preserve"> </w:t>
      </w:r>
      <w:r>
        <w:t xml:space="preserve">Northwest Ordinance of 1787, art. III</w:t>
      </w:r>
      <w:r>
        <w:t xml:space="preserve"> </w:t>
      </w:r>
      <w:r>
        <w:t xml:space="preserve">[@act-nw-ordinance-1787]</w:t>
      </w:r>
      <w:r>
        <w:t xml:space="preserve">.</w:t>
      </w:r>
    </w:p>
  </w:footnote>
  <w:footnote w:id="66">
    <w:p>
      <w:pPr>
        <w:pStyle w:val="FootnoteText"/>
      </w:pPr>
      <w:r>
        <w:rPr>
          <w:rStyle w:val="FootnoteReference"/>
        </w:rPr>
        <w:footnoteRef/>
      </w:r>
      <w:r>
        <w:t xml:space="preserve"> </w:t>
      </w:r>
      <w:r>
        <w:t xml:space="preserve">[@act-land-ordinance-1785]</w:t>
      </w:r>
      <w:r>
        <w:t xml:space="preserve">. The reservation clause contains no trust language; that much is verified on the face of the text quoted above. [VERIFY: the negative as stated sweeps the full ordinance — complete the whole-text read at 28 J. Cont. Cong. 375–81 before press; Chapter 2’s verification queue carries the same task.]</w:t>
      </w:r>
    </w:p>
  </w:footnote>
  <w:footnote w:id="69">
    <w:p>
      <w:pPr>
        <w:pStyle w:val="FootnoteText"/>
      </w:pPr>
      <w:r>
        <w:rPr>
          <w:rStyle w:val="FootnoteReference"/>
        </w:rPr>
        <w:footnoteRef/>
      </w:r>
      <w:r>
        <w:t xml:space="preserve"> </w:t>
      </w:r>
      <w:r>
        <w:t xml:space="preserve">See</w:t>
      </w:r>
      <w:r>
        <w:t xml:space="preserve"> </w:t>
      </w:r>
      <w:r>
        <w:rPr>
          <w:i/>
        </w:rPr>
        <w:t xml:space="preserve">State of Oregon ex rel. Division of State Lands v. Bureau of Land Management</w:t>
      </w:r>
      <w:r>
        <w:t xml:space="preserve">, 876 F.2d 1419 (9th Cir. 1989)</w:t>
      </w:r>
      <w:r>
        <w:t xml:space="preserve"> </w:t>
      </w:r>
      <w:r>
        <w:t xml:space="preserve">[@dsl-blm-1989]</w:t>
      </w:r>
      <w:r>
        <w:t xml:space="preserve"> </w:t>
      </w:r>
      <w:r>
        <w:t xml:space="preserve">(describing the line of statutes Congress enacted that in their present form are codified at 43 U.S.C. § 851 et seq.).</w:t>
      </w:r>
    </w:p>
  </w:footnote>
  <w:footnote w:id="70">
    <w:p>
      <w:pPr>
        <w:pStyle w:val="FootnoteText"/>
      </w:pPr>
      <w:r>
        <w:rPr>
          <w:rStyle w:val="FootnoteReference"/>
        </w:rPr>
        <w:footnoteRef/>
      </w:r>
      <w:r>
        <w:t xml:space="preserve"> </w:t>
      </w:r>
      <w:r>
        <w:rPr>
          <w:i/>
        </w:rPr>
        <w:t xml:space="preserve">Andrus v. Utah</w:t>
      </w:r>
      <w:r>
        <w:t xml:space="preserve">, 446 U.S. 500 (1980)</w:t>
      </w:r>
      <w:r>
        <w:t xml:space="preserve"> </w:t>
      </w:r>
      <w:r>
        <w:t xml:space="preserve">[@andrus-1980]</w:t>
      </w:r>
      <w:r>
        <w:t xml:space="preserve"> </w:t>
      </w:r>
      <w:r>
        <w:t xml:space="preserve">(Powell, J., dissenting), quoted approvingly by the Oregon Supreme Court in</w:t>
      </w:r>
      <w:r>
        <w:t xml:space="preserve"> </w:t>
      </w:r>
      <w:r>
        <w:rPr>
          <w:i/>
        </w:rPr>
        <w:t xml:space="preserve">Cascadia Wildlands v. Department of State Lands</w:t>
      </w:r>
      <w:r>
        <w:t xml:space="preserve">, 365 Or 750, 752 n.1 (2019)</w:t>
      </w:r>
      <w:r>
        <w:t xml:space="preserve"> </w:t>
      </w:r>
      <w:r>
        <w:t xml:space="preserve">[@cascadia-2019]</w:t>
      </w:r>
      <w:r>
        <w:t xml:space="preserve">. The</w:t>
      </w:r>
      <w:r>
        <w:t xml:space="preserve"> </w:t>
      </w:r>
      <w:r>
        <w:rPr>
          <w:i/>
        </w:rPr>
        <w:t xml:space="preserve">Andrus</w:t>
      </w:r>
      <w:r>
        <w:t xml:space="preserve"> </w:t>
      </w:r>
      <w:r>
        <w:t xml:space="preserve">majority (Stevens, J.) characterizes the grant as a</w:t>
      </w:r>
      <w:r>
        <w:t xml:space="preserve"> </w:t>
      </w:r>
      <w:r>
        <w:t xml:space="preserve">“</w:t>
      </w:r>
      <w:r>
        <w:t xml:space="preserve">solemn agreement</w:t>
      </w:r>
      <w:r>
        <w:t xml:space="preserve">”</w:t>
      </w:r>
      <w:r>
        <w:t xml:space="preserve"> </w:t>
      </w:r>
      <w:r>
        <w:t xml:space="preserve">producing a</w:t>
      </w:r>
      <w:r>
        <w:t xml:space="preserve"> </w:t>
      </w:r>
      <w:r>
        <w:t xml:space="preserve">“</w:t>
      </w:r>
      <w:r>
        <w:t xml:space="preserve">benefit of the bargain</w:t>
      </w:r>
      <w:r>
        <w:t xml:space="preserve">”</w:t>
      </w:r>
      <w:r>
        <w:t xml:space="preserve"> </w:t>
      </w:r>
      <w:r>
        <w:t xml:space="preserve">obligation on the state. See § 2.7.</w:t>
      </w:r>
    </w:p>
  </w:footnote>
  <w:footnote w:id="71">
    <w:p>
      <w:pPr>
        <w:pStyle w:val="FootnoteText"/>
      </w:pPr>
      <w:r>
        <w:rPr>
          <w:rStyle w:val="FootnoteReference"/>
        </w:rPr>
        <w:footnoteRef/>
      </w:r>
      <w:r>
        <w:t xml:space="preserve"> </w:t>
      </w:r>
      <w:r>
        <w:t xml:space="preserve">The exchange framing, collected by state:</w:t>
      </w:r>
      <w:r>
        <w:t xml:space="preserve"> </w:t>
      </w:r>
      <w:r>
        <w:rPr>
          <w:b/>
        </w:rPr>
        <w:t xml:space="preserve">Nebraska</w:t>
      </w:r>
      <w:r>
        <w:t xml:space="preserve"> </w:t>
      </w:r>
      <w:r>
        <w:t xml:space="preserve">—</w:t>
      </w:r>
      <w:r>
        <w:t xml:space="preserve"> </w:t>
      </w:r>
      <w:r>
        <w:rPr>
          <w:i/>
        </w:rPr>
        <w:t xml:space="preserve">State v. Platte Valley Public Power &amp; Irrigation District</w:t>
      </w:r>
      <w:r>
        <w:t xml:space="preserve">, 147 Neb. 289, 23 N.W.2d 300 (1946)</w:t>
      </w:r>
      <w:r>
        <w:t xml:space="preserve"> </w:t>
      </w:r>
      <w:r>
        <w:t xml:space="preserve">[@platte-valley-1946]</w:t>
      </w:r>
      <w:r>
        <w:t xml:space="preserve"> </w:t>
      </w:r>
      <w:r>
        <w:t xml:space="preserve">(school lands</w:t>
      </w:r>
      <w:r>
        <w:t xml:space="preserve"> </w:t>
      </w:r>
      <w:r>
        <w:t xml:space="preserve">“</w:t>
      </w:r>
      <w:r>
        <w:t xml:space="preserve">held in trust by the state under a contractual and constitutional obligation</w:t>
      </w:r>
      <w:r>
        <w:t xml:space="preserve">”</w:t>
      </w:r>
      <w:r>
        <w:t xml:space="preserve">) (quotation verified verbatim at 147 Neb. at 296, 2026-06-08);</w:t>
      </w:r>
      <w:r>
        <w:t xml:space="preserve"> </w:t>
      </w:r>
      <w:r>
        <w:rPr>
          <w:b/>
        </w:rPr>
        <w:t xml:space="preserve">Oklahoma</w:t>
      </w:r>
      <w:r>
        <w:t xml:space="preserve"> </w:t>
      </w:r>
      <w:r>
        <w:t xml:space="preserve">—</w:t>
      </w:r>
      <w:r>
        <w:t xml:space="preserve"> </w:t>
      </w:r>
      <w:r>
        <w:rPr>
          <w:i/>
        </w:rPr>
        <w:t xml:space="preserve">Oklahoma Education Ass’n, Inc. v. Nigh</w:t>
      </w:r>
      <w:r>
        <w:t xml:space="preserve">, 642 P.2d 230 (Okla. 1982)</w:t>
      </w:r>
      <w:r>
        <w:t xml:space="preserve"> </w:t>
      </w:r>
      <w:r>
        <w:t xml:space="preserve">[@nigh-1982]</w:t>
      </w:r>
      <w:r>
        <w:t xml:space="preserve"> </w:t>
      </w:r>
      <w:r>
        <w:t xml:space="preserve">(the arrangement an irrevocable compact binding successive legislatures);</w:t>
      </w:r>
      <w:r>
        <w:t xml:space="preserve"> </w:t>
      </w:r>
      <w:r>
        <w:rPr>
          <w:b/>
        </w:rPr>
        <w:t xml:space="preserve">South Dakota</w:t>
      </w:r>
      <w:r>
        <w:t xml:space="preserve"> </w:t>
      </w:r>
      <w:r>
        <w:t xml:space="preserve">—</w:t>
      </w:r>
      <w:r>
        <w:t xml:space="preserve"> </w:t>
      </w:r>
      <w:r>
        <w:rPr>
          <w:i/>
        </w:rPr>
        <w:t xml:space="preserve">Kanaly v. State ex rel. Janklow</w:t>
      </w:r>
      <w:r>
        <w:t xml:space="preserve">, 368 N.W.2d 819, 823 (S.D. 1985)</w:t>
      </w:r>
      <w:r>
        <w:t xml:space="preserve"> </w:t>
      </w:r>
      <w:r>
        <w:t xml:space="preserve">[@kanaly-1985]</w:t>
      </w:r>
      <w:r>
        <w:t xml:space="preserve"> </w:t>
      </w:r>
      <w:r>
        <w:t xml:space="preserve">(the grant variously an</w:t>
      </w:r>
      <w:r>
        <w:t xml:space="preserve"> </w:t>
      </w:r>
      <w:r>
        <w:t xml:space="preserve">“</w:t>
      </w:r>
      <w:r>
        <w:t xml:space="preserve">irrevocable compact,</w:t>
      </w:r>
      <w:r>
        <w:t xml:space="preserve">”</w:t>
      </w:r>
      <w:r>
        <w:t xml:space="preserve"> </w:t>
      </w:r>
      <w:r>
        <w:t xml:space="preserve">a</w:t>
      </w:r>
      <w:r>
        <w:t xml:space="preserve"> </w:t>
      </w:r>
      <w:r>
        <w:t xml:space="preserve">“</w:t>
      </w:r>
      <w:r>
        <w:t xml:space="preserve">solemn agreement,</w:t>
      </w:r>
      <w:r>
        <w:t xml:space="preserve">”</w:t>
      </w:r>
      <w:r>
        <w:t xml:space="preserve"> </w:t>
      </w:r>
      <w:r>
        <w:t xml:space="preserve">and a</w:t>
      </w:r>
      <w:r>
        <w:t xml:space="preserve"> </w:t>
      </w:r>
      <w:r>
        <w:t xml:space="preserve">“</w:t>
      </w:r>
      <w:r>
        <w:t xml:space="preserve">contract</w:t>
      </w:r>
      <w:r>
        <w:t xml:space="preserve">”</w:t>
      </w:r>
      <w:r>
        <w:t xml:space="preserve"> </w:t>
      </w:r>
      <w:r>
        <w:t xml:space="preserve">— descriptors the court collected at 823 from</w:t>
      </w:r>
      <w:r>
        <w:t xml:space="preserve"> </w:t>
      </w:r>
      <w:r>
        <w:rPr>
          <w:i/>
        </w:rPr>
        <w:t xml:space="preserve">Nigh</w:t>
      </w:r>
      <w:r>
        <w:t xml:space="preserve">,</w:t>
      </w:r>
      <w:r>
        <w:t xml:space="preserve"> </w:t>
      </w:r>
      <w:r>
        <w:rPr>
          <w:i/>
        </w:rPr>
        <w:t xml:space="preserve">Andrus v. Utah</w:t>
      </w:r>
      <w:r>
        <w:t xml:space="preserve">, and</w:t>
      </w:r>
      <w:r>
        <w:t xml:space="preserve"> </w:t>
      </w:r>
      <w:r>
        <w:rPr>
          <w:i/>
        </w:rPr>
        <w:t xml:space="preserve">Platte Valley</w:t>
      </w:r>
      <w:r>
        <w:t xml:space="preserve">; verified against the full opinion, 2026-06-10);</w:t>
      </w:r>
      <w:r>
        <w:t xml:space="preserve"> </w:t>
      </w:r>
      <w:r>
        <w:rPr>
          <w:b/>
        </w:rPr>
        <w:t xml:space="preserve">Utah (federal)</w:t>
      </w:r>
      <w:r>
        <w:t xml:space="preserve"> </w:t>
      </w:r>
      <w:r>
        <w:t xml:space="preserve">—</w:t>
      </w:r>
      <w:r>
        <w:t xml:space="preserve"> </w:t>
      </w:r>
      <w:r>
        <w:rPr>
          <w:i/>
        </w:rPr>
        <w:t xml:space="preserve">State of Utah v. Kleppe</w:t>
      </w:r>
      <w:r>
        <w:t xml:space="preserve">, 586 F.2d 756 (10th Cir. 1978)</w:t>
      </w:r>
      <w:r>
        <w:t xml:space="preserve"> </w:t>
      </w:r>
      <w:r>
        <w:t xml:space="preserve">[@kleppe-1978]</w:t>
      </w:r>
      <w:r>
        <w:t xml:space="preserve"> </w:t>
      </w:r>
      <w:r>
        <w:t xml:space="preserve">(the congressional land-grant program</w:t>
      </w:r>
      <w:r>
        <w:t xml:space="preserve"> </w:t>
      </w:r>
      <w:r>
        <w:t xml:space="preserve">“</w:t>
      </w:r>
      <w:r>
        <w:t xml:space="preserve">was bilateral in effect</w:t>
      </w:r>
      <w:r>
        <w:t xml:space="preserve">”</w:t>
      </w:r>
      <w:r>
        <w:t xml:space="preserve">) (quotation verified verbatim at 586 F.2d at 758, 2026-06-08).</w:t>
      </w:r>
    </w:p>
  </w:footnote>
  <w:footnote w:id="73">
    <w:p>
      <w:pPr>
        <w:pStyle w:val="FootnoteText"/>
      </w:pPr>
      <w:r>
        <w:rPr>
          <w:rStyle w:val="FootnoteReference"/>
        </w:rPr>
        <w:footnoteRef/>
      </w:r>
      <w:r>
        <w:t xml:space="preserve"> </w:t>
      </w:r>
      <w:r>
        <w:t xml:space="preserve">Land Ordinance of 1785</w:t>
      </w:r>
      <w:r>
        <w:t xml:space="preserve"> </w:t>
      </w:r>
      <w:r>
        <w:t xml:space="preserve">[@act-land-ordinance-1785]</w:t>
      </w:r>
      <w:r>
        <w:t xml:space="preserve">; Northwest Ordinance of 1787</w:t>
      </w:r>
      <w:r>
        <w:t xml:space="preserve"> </w:t>
      </w:r>
      <w:r>
        <w:t xml:space="preserve">[@act-nw-ordinance-1787]</w:t>
      </w:r>
      <w:r>
        <w:t xml:space="preserve">, cited as the historical compact framework in</w:t>
      </w:r>
      <w:r>
        <w:t xml:space="preserve"> </w:t>
      </w:r>
      <w:r>
        <w:rPr>
          <w:i/>
        </w:rPr>
        <w:t xml:space="preserve">Cascadia Wildlands v. Department of State Lands</w:t>
      </w:r>
      <w:r>
        <w:t xml:space="preserve">, 365 Or 750, 752 n.1 (2019)</w:t>
      </w:r>
      <w:r>
        <w:t xml:space="preserve"> </w:t>
      </w:r>
      <w:r>
        <w:t xml:space="preserve">[@cascadia-2019]</w:t>
      </w:r>
      <w:r>
        <w:t xml:space="preserve"> </w:t>
      </w:r>
      <w:r>
        <w:t xml:space="preserve">(citing</w:t>
      </w:r>
      <w:r>
        <w:t xml:space="preserve"> </w:t>
      </w:r>
      <w:r>
        <w:rPr>
          <w:i/>
        </w:rPr>
        <w:t xml:space="preserve">Andrus v. Utah</w:t>
      </w:r>
      <w:r>
        <w:t xml:space="preserve">, 446 U.S. 500 (1980)</w:t>
      </w:r>
      <w:r>
        <w:t xml:space="preserve"> </w:t>
      </w:r>
      <w:r>
        <w:t xml:space="preserve">[@andrus-1980]</w:t>
      </w:r>
      <w:r>
        <w:t xml:space="preserve">).</w:t>
      </w:r>
    </w:p>
  </w:footnote>
  <w:footnote w:id="74">
    <w:p>
      <w:pPr>
        <w:pStyle w:val="FootnoteText"/>
      </w:pPr>
      <w:r>
        <w:rPr>
          <w:rStyle w:val="FootnoteReference"/>
        </w:rPr>
        <w:footnoteRef/>
      </w:r>
      <w:r>
        <w:t xml:space="preserve"> </w:t>
      </w:r>
      <w:r>
        <w:t xml:space="preserve">The earliest Supreme Court treatment of a federal educational land grant as a trust antedates the two-section era entirely:</w:t>
      </w:r>
      <w:r>
        <w:t xml:space="preserve"> </w:t>
      </w:r>
      <w:r>
        <w:rPr>
          <w:i/>
        </w:rPr>
        <w:t xml:space="preserve">Trustees of Vincennes University v. Indiana</w:t>
      </w:r>
      <w:r>
        <w:t xml:space="preserve">, 55 U.S. (14 How.) 268, 274 (1852)</w:t>
      </w:r>
      <w:r>
        <w:t xml:space="preserve"> </w:t>
      </w:r>
      <w:r>
        <w:t xml:space="preserve">[@vincennes-1852]</w:t>
      </w:r>
      <w:r>
        <w:t xml:space="preserve"> </w:t>
      </w:r>
      <w:r>
        <w:t xml:space="preserve">(McLean, J., for the Court: title to the school lands</w:t>
      </w:r>
      <w:r>
        <w:t xml:space="preserve"> </w:t>
      </w:r>
      <w:r>
        <w:t xml:space="preserve">“</w:t>
      </w:r>
      <w:r>
        <w:t xml:space="preserve">has never been considered as vested in the State; and it has no inherent power to sell them, or appropriate them to any other purpose than for the benefit of schools</w:t>
      </w:r>
      <w:r>
        <w:t xml:space="preserve">”</w:t>
      </w:r>
      <w:r>
        <w:t xml:space="preserve">; the phrase</w:t>
      </w:r>
      <w:r>
        <w:t xml:space="preserve"> </w:t>
      </w:r>
      <w:r>
        <w:t xml:space="preserve">“</w:t>
      </w:r>
      <w:r>
        <w:t xml:space="preserve">as the trustee to administer the trust,</w:t>
      </w:r>
      <w:r>
        <w:t xml:space="preserve">”</w:t>
      </w:r>
      <w:r>
        <w:t xml:space="preserve"> </w:t>
      </w:r>
      <w:r>
        <w:t xml:space="preserve">at 279-80, is Taney, C.J., in dissent — attribution corrected against the full opinion, 2026-06-10); see also</w:t>
      </w:r>
      <w:r>
        <w:t xml:space="preserve"> </w:t>
      </w:r>
      <w:r>
        <w:rPr>
          <w:i/>
        </w:rPr>
        <w:t xml:space="preserve">Cooper v. Roberts</w:t>
      </w:r>
      <w:r>
        <w:t xml:space="preserve">, 59 U.S. (18 How.) 173 (1855)</w:t>
      </w:r>
      <w:r>
        <w:t xml:space="preserve"> </w:t>
      </w:r>
      <w:r>
        <w:t xml:space="preserve">[@cooper-1855]</w:t>
      </w:r>
      <w:r>
        <w:t xml:space="preserve"> </w:t>
      </w:r>
      <w:r>
        <w:t xml:space="preserve">(the foundational decision on the section-sixteen school grant as a compact). Accord cases for the ordinance-era origin not yet collected by state; see Architecture § C, verification wave 2.</w:t>
      </w:r>
    </w:p>
  </w:footnote>
  <w:footnote w:id="76">
    <w:p>
      <w:pPr>
        <w:pStyle w:val="FootnoteText"/>
      </w:pPr>
      <w:r>
        <w:rPr>
          <w:rStyle w:val="FootnoteReference"/>
        </w:rPr>
        <w:footnoteRef/>
      </w:r>
      <w:r>
        <w:t xml:space="preserve"> </w:t>
      </w:r>
      <w:r>
        <w:t xml:space="preserve">Act of Feb. 20, 1811, 2 Stat. 641</w:t>
      </w:r>
      <w:r>
        <w:t xml:space="preserve"> </w:t>
      </w:r>
      <w:r>
        <w:t xml:space="preserve">[@act-louisiana-1811]</w:t>
      </w:r>
      <w:r>
        <w:t xml:space="preserve">; Act of Apr. 8, 1812, 2 Stat. 701</w:t>
      </w:r>
      <w:r>
        <w:t xml:space="preserve"> </w:t>
      </w:r>
      <w:r>
        <w:t xml:space="preserve">[@act-louisiana-1812]</w:t>
      </w:r>
      <w:r>
        <w:t xml:space="preserve">.</w:t>
      </w:r>
    </w:p>
  </w:footnote>
  <w:footnote w:id="77">
    <w:p>
      <w:pPr>
        <w:pStyle w:val="FootnoteText"/>
      </w:pPr>
      <w:r>
        <w:rPr>
          <w:rStyle w:val="FootnoteReference"/>
        </w:rPr>
        <w:footnoteRef/>
      </w:r>
      <w:r>
        <w:t xml:space="preserve"> </w:t>
      </w:r>
      <w:r>
        <w:rPr>
          <w:b/>
        </w:rPr>
        <w:t xml:space="preserve">Louisiana</w:t>
      </w:r>
      <w:r>
        <w:t xml:space="preserve"> </w:t>
      </w:r>
      <w:r>
        <w:t xml:space="preserve">—</w:t>
      </w:r>
      <w:r>
        <w:t xml:space="preserve"> </w:t>
      </w:r>
      <w:r>
        <w:rPr>
          <w:i/>
        </w:rPr>
        <w:t xml:space="preserve">State ex rel. Plaquemines Parish School Board v. Plaquemines Parish Government</w:t>
      </w:r>
      <w:r>
        <w:t xml:space="preserve">, 652 So. 2d 1 (La. App. 4 Cir. 1994)</w:t>
      </w:r>
      <w:r>
        <w:t xml:space="preserve"> </w:t>
      </w:r>
      <w:r>
        <w:t xml:space="preserve">[@plaquemines-1994]</w:t>
      </w:r>
      <w:r>
        <w:t xml:space="preserve"> </w:t>
      </w:r>
      <w:r>
        <w:t xml:space="preserve">(</w:t>
      </w:r>
      <w:r>
        <w:t xml:space="preserve">“</w:t>
      </w:r>
      <w:r>
        <w:t xml:space="preserve">[T]he existence of a school trust has long been established in both Louisiana and Federal jurisprudence and it has been consistently held that the school trust lands can be alienated only where it is of benefit to school in some manner such as payment of the sale or lease price to the school fund or school board.</w:t>
      </w:r>
      <w:r>
        <w:t xml:space="preserve">”</w:t>
      </w:r>
      <w:r>
        <w:t xml:space="preserve">);</w:t>
      </w:r>
      <w:r>
        <w:t xml:space="preserve"> </w:t>
      </w:r>
      <w:r>
        <w:rPr>
          <w:i/>
        </w:rPr>
        <w:t xml:space="preserve">Ebey v. Avoyelles Parish School Board</w:t>
      </w:r>
      <w:r>
        <w:t xml:space="preserve">, 861 So. 2d 910, 2003-765 (La. App. 3 Cir. 12/17/03)</w:t>
      </w:r>
      <w:r>
        <w:t xml:space="preserve"> </w:t>
      </w:r>
      <w:r>
        <w:t xml:space="preserve">[@ebey-2003]</w:t>
      </w:r>
      <w:r>
        <w:t xml:space="preserve"> </w:t>
      </w:r>
      <w:r>
        <w:t xml:space="preserve">(</w:t>
      </w:r>
      <w:r>
        <w:t xml:space="preserve">“</w:t>
      </w:r>
      <w:r>
        <w:t xml:space="preserve">We conclude Section 16 lands are held in trust by the State and managed by school boards</w:t>
      </w:r>
      <w:r>
        <w:t xml:space="preserve"> </w:t>
      </w:r>
      <w:r>
        <w:t xml:space="preserve">‘</w:t>
      </w:r>
      <w:r>
        <w:t xml:space="preserve">in the manner of a statutory trustee</w:t>
      </w:r>
      <w:r>
        <w:t xml:space="preserve">’</w:t>
      </w:r>
      <w:r>
        <w:t xml:space="preserve"> </w:t>
      </w:r>
      <w:r>
        <w:t xml:space="preserve">for the benefit of public education.</w:t>
      </w:r>
      <w:r>
        <w:t xml:space="preserve">”</w:t>
      </w:r>
      <w:r>
        <w:t xml:space="preserve">).</w:t>
      </w:r>
    </w:p>
  </w:footnote>
  <w:footnote w:id="78">
    <w:p>
      <w:pPr>
        <w:pStyle w:val="FootnoteText"/>
      </w:pPr>
      <w:r>
        <w:rPr>
          <w:rStyle w:val="FootnoteReference"/>
        </w:rPr>
        <w:footnoteRef/>
      </w:r>
      <w:r>
        <w:t xml:space="preserve"> </w:t>
      </w:r>
      <w:r>
        <w:t xml:space="preserve">Mississippi Enabling Act of Mar. 1, 1817, 3 Stat. 348</w:t>
      </w:r>
      <w:r>
        <w:t xml:space="preserve"> </w:t>
      </w:r>
      <w:r>
        <w:t xml:space="preserve">[@act-mississippi-1817]</w:t>
      </w:r>
      <w:r>
        <w:t xml:space="preserve">; Act of Dec. 10, 1817</w:t>
      </w:r>
      <w:r>
        <w:t xml:space="preserve"> </w:t>
      </w:r>
      <w:r>
        <w:t xml:space="preserve">[@act-mississippi-admission-1817]</w:t>
      </w:r>
      <w:r>
        <w:t xml:space="preserve"> </w:t>
      </w:r>
      <w:r>
        <w:t xml:space="preserve">(admission).</w:t>
      </w:r>
    </w:p>
  </w:footnote>
  <w:footnote w:id="79">
    <w:p>
      <w:pPr>
        <w:pStyle w:val="FootnoteText"/>
      </w:pPr>
      <w:r>
        <w:rPr>
          <w:rStyle w:val="FootnoteReference"/>
        </w:rPr>
        <w:footnoteRef/>
      </w:r>
      <w:r>
        <w:t xml:space="preserve"> </w:t>
      </w:r>
      <w:r>
        <w:rPr>
          <w:b/>
        </w:rPr>
        <w:t xml:space="preserve">Mississippi</w:t>
      </w:r>
      <w:r>
        <w:t xml:space="preserve"> </w:t>
      </w:r>
      <w:r>
        <w:t xml:space="preserve">—</w:t>
      </w:r>
      <w:r>
        <w:t xml:space="preserve"> </w:t>
      </w:r>
      <w:r>
        <w:rPr>
          <w:i/>
        </w:rPr>
        <w:t xml:space="preserve">Hill v. Thompson</w:t>
      </w:r>
      <w:r>
        <w:t xml:space="preserve">, 564 So. 2d 1 (Miss. 1989)</w:t>
      </w:r>
      <w:r>
        <w:t xml:space="preserve"> </w:t>
      </w:r>
      <w:r>
        <w:t xml:space="preserve">[@hill-1989]</w:t>
      </w:r>
      <w:r>
        <w:t xml:space="preserve"> </w:t>
      </w:r>
      <w:r>
        <w:t xml:space="preserve">(ninety-nine-year commercial Sixteenth Section lease for a one-time $7.50 payment void; grossly inadequate consideration amounts to a donation of trust land prohibited by Miss. Const. art. 4, § 95);</w:t>
      </w:r>
      <w:r>
        <w:t xml:space="preserve"> </w:t>
      </w:r>
      <w:r>
        <w:rPr>
          <w:i/>
        </w:rPr>
        <w:t xml:space="preserve">Lambert v. State</w:t>
      </w:r>
      <w:r>
        <w:t xml:space="preserve">, 211 Miss. 129, 51 So. 2d 201 (1951)</w:t>
      </w:r>
      <w:r>
        <w:t xml:space="preserve"> </w:t>
      </w:r>
      <w:r>
        <w:t xml:space="preserve">[@lambert-1951]</w:t>
      </w:r>
      <w:r>
        <w:t xml:space="preserve"> </w:t>
      </w:r>
      <w:r>
        <w:t xml:space="preserve">(counter-precedent within the line: the twenty-five-year adverse-possession presumption applied against the trust to sustain an 1873 deed);</w:t>
      </w:r>
      <w:r>
        <w:t xml:space="preserve"> </w:t>
      </w:r>
      <w:r>
        <w:rPr>
          <w:i/>
        </w:rPr>
        <w:t xml:space="preserve">Clark v. Stephen D. Lee Foundation</w:t>
      </w:r>
      <w:r>
        <w:t xml:space="preserve">, 887 So. 2d 798 (Miss. 2004)</w:t>
      </w:r>
      <w:r>
        <w:t xml:space="preserve"> </w:t>
      </w:r>
      <w:r>
        <w:t xml:space="preserve">[@clark-2004]</w:t>
      </w:r>
      <w:r>
        <w:t xml:space="preserve"> </w:t>
      </w:r>
      <w:r>
        <w:t xml:space="preserve">(consideration for a Sixteenth Section lease</w:t>
      </w:r>
      <w:r>
        <w:t xml:space="preserve"> </w:t>
      </w:r>
      <w:r>
        <w:t xml:space="preserve">“</w:t>
      </w:r>
      <w:r>
        <w:t xml:space="preserve">must be deemed sufficient based on the reasonable market value of the leased land</w:t>
      </w:r>
      <w:r>
        <w:t xml:space="preserve">”</w:t>
      </w:r>
      <w:r>
        <w:t xml:space="preserve">) (quotation verified verbatim at ¶ 17, *803, against the full opinion, 2026-06-10).</w:t>
      </w:r>
    </w:p>
  </w:footnote>
  <w:footnote w:id="81">
    <w:p>
      <w:pPr>
        <w:pStyle w:val="FootnoteText"/>
      </w:pPr>
      <w:r>
        <w:rPr>
          <w:rStyle w:val="FootnoteReference"/>
        </w:rPr>
        <w:footnoteRef/>
      </w:r>
      <w:r>
        <w:t xml:space="preserve"> </w:t>
      </w:r>
      <w:r>
        <w:t xml:space="preserve">Oregon Admission Act, Act of Feb. 14, 1859, ch. 33, § 4, 11 Stat. 383</w:t>
      </w:r>
      <w:r>
        <w:t xml:space="preserve"> </w:t>
      </w:r>
      <w:r>
        <w:t xml:space="preserve">[@act-oregon-1859]</w:t>
      </w:r>
      <w:r>
        <w:t xml:space="preserve">.</w:t>
      </w:r>
    </w:p>
  </w:footnote>
  <w:footnote w:id="82">
    <w:p>
      <w:pPr>
        <w:pStyle w:val="FootnoteText"/>
      </w:pPr>
      <w:r>
        <w:rPr>
          <w:rStyle w:val="FootnoteReference"/>
        </w:rPr>
        <w:footnoteRef/>
      </w:r>
      <w:r>
        <w:t xml:space="preserve"> </w:t>
      </w:r>
      <w:r>
        <w:t xml:space="preserve">The compact clause is quoted and given operative significance in</w:t>
      </w:r>
      <w:r>
        <w:t xml:space="preserve"> </w:t>
      </w:r>
      <w:r>
        <w:rPr>
          <w:i/>
        </w:rPr>
        <w:t xml:space="preserve">Cascadia Wildlands v. Department of State Lands</w:t>
      </w:r>
      <w:r>
        <w:t xml:space="preserve">, 365 Or 750, 758 (2019)</w:t>
      </w:r>
      <w:r>
        <w:t xml:space="preserve"> </w:t>
      </w:r>
      <w:r>
        <w:t xml:space="preserve">[@cascadia-2019]</w:t>
      </w:r>
      <w:r>
        <w:t xml:space="preserve"> </w:t>
      </w:r>
      <w:r>
        <w:t xml:space="preserve">(</w:t>
      </w:r>
      <w:r>
        <w:t xml:space="preserve">“</w:t>
      </w:r>
      <w:r>
        <w:t xml:space="preserve">That Act provided that the terms under which the land was granted,</w:t>
      </w:r>
      <w:r>
        <w:t xml:space="preserve"> </w:t>
      </w:r>
      <w:r>
        <w:t xml:space="preserve">‘</w:t>
      </w:r>
      <w:r>
        <w:t xml:space="preserve">if accepted, shall be obligatory on the United States and upon the said State of Oregon.</w:t>
      </w:r>
      <w:r>
        <w:t xml:space="preserve">’</w:t>
      </w:r>
      <w:r>
        <w:t xml:space="preserve">”</w:t>
      </w:r>
      <w:r>
        <w:t xml:space="preserve">).</w:t>
      </w:r>
    </w:p>
  </w:footnote>
  <w:footnote w:id="83">
    <w:p>
      <w:pPr>
        <w:pStyle w:val="FootnoteText"/>
      </w:pPr>
      <w:r>
        <w:rPr>
          <w:rStyle w:val="FootnoteReference"/>
        </w:rPr>
        <w:footnoteRef/>
      </w:r>
      <w:r>
        <w:t xml:space="preserve"> </w:t>
      </w:r>
      <w:r>
        <w:t xml:space="preserve">Nebraska Enabling Act of Apr. 19, 1864, 13 Stat. 47</w:t>
      </w:r>
      <w:r>
        <w:t xml:space="preserve"> </w:t>
      </w:r>
      <w:r>
        <w:t xml:space="preserve">[@act-nebraska-1864]</w:t>
      </w:r>
      <w:r>
        <w:t xml:space="preserve">; see</w:t>
      </w:r>
      <w:r>
        <w:t xml:space="preserve"> </w:t>
      </w:r>
      <w:r>
        <w:rPr>
          <w:i/>
        </w:rPr>
        <w:t xml:space="preserve">State ex rel. Ebke v. Board of Educational Lands &amp; Funds</w:t>
      </w:r>
      <w:r>
        <w:t xml:space="preserve">, 154 Neb. 244, 47 N.W.2d 520 (1951)</w:t>
      </w:r>
      <w:r>
        <w:t xml:space="preserve"> </w:t>
      </w:r>
      <w:r>
        <w:t xml:space="preserve">[@ebke-1951]</w:t>
      </w:r>
      <w:r>
        <w:t xml:space="preserve"> </w:t>
      </w:r>
      <w:r>
        <w:t xml:space="preserve">(constitutional incorporation); Chapter 4, § 4.3.</w:t>
      </w:r>
    </w:p>
  </w:footnote>
  <w:footnote w:id="84">
    <w:p>
      <w:pPr>
        <w:pStyle w:val="FootnoteText"/>
      </w:pPr>
      <w:r>
        <w:rPr>
          <w:rStyle w:val="FootnoteReference"/>
        </w:rPr>
        <w:footnoteRef/>
      </w:r>
      <w:r>
        <w:t xml:space="preserve"> </w:t>
      </w:r>
      <w:r>
        <w:t xml:space="preserve">Colorado Enabling Act of Mar. 3, 1875, 18 Stat. 474</w:t>
      </w:r>
      <w:r>
        <w:t xml:space="preserve"> </w:t>
      </w:r>
      <w:r>
        <w:t xml:space="preserve">[@act-colorado-1875]</w:t>
      </w:r>
      <w:r>
        <w:t xml:space="preserve">; accepted by Colorado’s first Constitution (1876), which established the State Board of Land Commissioners as a constitutional body. See</w:t>
      </w:r>
      <w:r>
        <w:t xml:space="preserve"> </w:t>
      </w:r>
      <w:r>
        <w:rPr>
          <w:i/>
        </w:rPr>
        <w:t xml:space="preserve">Branson School District RE-82 v. Romer</w:t>
      </w:r>
      <w:r>
        <w:t xml:space="preserve">, 958 F. Supp. 1501 (D. Colo. 1997), aff’d, 161 F.3d 619 (10th Cir. 1998)</w:t>
      </w:r>
      <w:r>
        <w:t xml:space="preserve"> </w:t>
      </w:r>
      <w:r>
        <w:t xml:space="preserve">[@branson-1998]</w:t>
      </w:r>
      <w:r>
        <w:t xml:space="preserve">.</w:t>
      </w:r>
    </w:p>
  </w:footnote>
  <w:footnote w:id="85">
    <w:p>
      <w:pPr>
        <w:pStyle w:val="FootnoteText"/>
      </w:pPr>
      <w:r>
        <w:rPr>
          <w:rStyle w:val="FootnoteReference"/>
        </w:rPr>
        <w:footnoteRef/>
      </w:r>
      <w:r>
        <w:t xml:space="preserve"> </w:t>
      </w:r>
      <w:r>
        <w:t xml:space="preserve">Omnibus Enabling Act of Feb. 22, 1889, 25 Stat. 676</w:t>
      </w:r>
      <w:r>
        <w:t xml:space="preserve"> </w:t>
      </w:r>
      <w:r>
        <w:t xml:space="preserve">[@act-omnibus-1889]</w:t>
      </w:r>
      <w:r>
        <w:t xml:space="preserve">.</w:t>
      </w:r>
    </w:p>
  </w:footnote>
  <w:footnote w:id="86">
    <w:p>
      <w:pPr>
        <w:pStyle w:val="FootnoteText"/>
      </w:pPr>
      <w:r>
        <w:rPr>
          <w:rStyle w:val="FootnoteReference"/>
        </w:rPr>
        <w:footnoteRef/>
      </w:r>
      <w:r>
        <w:t xml:space="preserve"> </w:t>
      </w:r>
      <w:r>
        <w:t xml:space="preserve">Idaho Admission Act of July 3, 1890, 26 Stat. 215</w:t>
      </w:r>
      <w:r>
        <w:t xml:space="preserve"> </w:t>
      </w:r>
      <w:r>
        <w:t xml:space="preserve">[@act-idaho-1890]</w:t>
      </w:r>
      <w:r>
        <w:t xml:space="preserve">; see Idaho Const. art. IX, §§ 3, 4, 8</w:t>
      </w:r>
      <w:r>
        <w:t xml:space="preserve"> </w:t>
      </w:r>
      <w:r>
        <w:t xml:space="preserve">[@const-id-art9]</w:t>
      </w:r>
      <w:r>
        <w:t xml:space="preserve"> </w:t>
      </w:r>
      <w:r>
        <w:t xml:space="preserve">(acceptance; inviolate endowment fund;</w:t>
      </w:r>
      <w:r>
        <w:t xml:space="preserve"> </w:t>
      </w:r>
      <w:r>
        <w:t xml:space="preserve">“</w:t>
      </w:r>
      <w:r>
        <w:t xml:space="preserve">maximum long term financial return</w:t>
      </w:r>
      <w:r>
        <w:t xml:space="preserve">”</w:t>
      </w:r>
      <w:r>
        <w:t xml:space="preserve"> </w:t>
      </w:r>
      <w:r>
        <w:t xml:space="preserve">management standard).</w:t>
      </w:r>
    </w:p>
  </w:footnote>
  <w:footnote w:id="87">
    <w:p>
      <w:pPr>
        <w:pStyle w:val="FootnoteText"/>
      </w:pPr>
      <w:r>
        <w:rPr>
          <w:rStyle w:val="FootnoteReference"/>
        </w:rPr>
        <w:footnoteRef/>
      </w:r>
      <w:r>
        <w:t xml:space="preserve"> </w:t>
      </w:r>
      <w:r>
        <w:t xml:space="preserve">Oklahoma Enabling Act of June 16, 1906, 34 Stat. 267</w:t>
      </w:r>
      <w:r>
        <w:t xml:space="preserve"> </w:t>
      </w:r>
      <w:r>
        <w:t xml:space="preserve">[@act-oklahoma-1906]</w:t>
      </w:r>
      <w:r>
        <w:t xml:space="preserve">.</w:t>
      </w:r>
    </w:p>
  </w:footnote>
  <w:footnote w:id="88">
    <w:p>
      <w:pPr>
        <w:pStyle w:val="FootnoteText"/>
      </w:pPr>
      <w:r>
        <w:rPr>
          <w:rStyle w:val="FootnoteReference"/>
        </w:rPr>
        <w:footnoteRef/>
      </w:r>
      <w:r>
        <w:t xml:space="preserve"> </w:t>
      </w:r>
      <w:r>
        <w:t xml:space="preserve">Lead case:</w:t>
      </w:r>
      <w:r>
        <w:t xml:space="preserve"> </w:t>
      </w:r>
      <w:r>
        <w:rPr>
          <w:i/>
        </w:rPr>
        <w:t xml:space="preserve">Grand Prize Hydraulic Mines v. Boswell</w:t>
      </w:r>
      <w:r>
        <w:t xml:space="preserve">, 83 Or 1, 6-7 (1917)</w:t>
      </w:r>
      <w:r>
        <w:t xml:space="preserve"> </w:t>
      </w:r>
      <w:r>
        <w:t xml:space="preserve">[@grand-prize-1917]</w:t>
      </w:r>
      <w:r>
        <w:t xml:space="preserve"> </w:t>
      </w:r>
      <w:r>
        <w:t xml:space="preserve">(</w:t>
      </w:r>
      <w:r>
        <w:t xml:space="preserve">“</w:t>
      </w:r>
      <w:r>
        <w:t xml:space="preserve">[T]he school lands granted to the State of Oregon are a trust for the benefit of public education.</w:t>
      </w:r>
      <w:r>
        <w:t xml:space="preserve">”</w:t>
      </w:r>
      <w:r>
        <w:t xml:space="preserve"> </w:t>
      </w:r>
      <w:r>
        <w:t xml:space="preserve">— decided under the 1859 act, which nowhere uses the word</w:t>
      </w:r>
      <w:r>
        <w:t xml:space="preserve"> </w:t>
      </w:r>
      <w:r>
        <w:t xml:space="preserve">“</w:t>
      </w:r>
      <w:r>
        <w:t xml:space="preserve">trust</w:t>
      </w:r>
      <w:r>
        <w:t xml:space="preserve">”</w:t>
      </w:r>
      <w:r>
        <w:t xml:space="preserve">).</w:t>
      </w:r>
    </w:p>
  </w:footnote>
  <w:footnote w:id="89">
    <w:p>
      <w:pPr>
        <w:pStyle w:val="FootnoteText"/>
      </w:pPr>
      <w:r>
        <w:rPr>
          <w:rStyle w:val="FootnoteReference"/>
        </w:rPr>
        <w:footnoteRef/>
      </w:r>
      <w:r>
        <w:t xml:space="preserve"> </w:t>
      </w:r>
      <w:r>
        <w:t xml:space="preserve">Accord, collected by state:</w:t>
      </w:r>
      <w:r>
        <w:t xml:space="preserve"> </w:t>
      </w:r>
      <w:r>
        <w:rPr>
          <w:b/>
        </w:rPr>
        <w:t xml:space="preserve">Louisiana</w:t>
      </w:r>
      <w:r>
        <w:t xml:space="preserve"> </w:t>
      </w:r>
      <w:r>
        <w:t xml:space="preserve">—</w:t>
      </w:r>
      <w:r>
        <w:t xml:space="preserve"> </w:t>
      </w:r>
      <w:r>
        <w:rPr>
          <w:i/>
        </w:rPr>
        <w:t xml:space="preserve">Ebey v. Avoyelles Parish School Board</w:t>
      </w:r>
      <w:r>
        <w:t xml:space="preserve">, 861 So. 2d 910 (La. App. 3 Cir. 2003)</w:t>
      </w:r>
      <w:r>
        <w:t xml:space="preserve"> </w:t>
      </w:r>
      <w:r>
        <w:t xml:space="preserve">[@ebey-2003]</w:t>
      </w:r>
      <w:r>
        <w:t xml:space="preserve"> </w:t>
      </w:r>
      <w:r>
        <w:t xml:space="preserve">(trust character under the 1811–12 instruments);</w:t>
      </w:r>
      <w:r>
        <w:t xml:space="preserve"> </w:t>
      </w:r>
      <w:r>
        <w:rPr>
          <w:b/>
        </w:rPr>
        <w:t xml:space="preserve">Mississippi</w:t>
      </w:r>
      <w:r>
        <w:t xml:space="preserve"> </w:t>
      </w:r>
      <w:r>
        <w:t xml:space="preserve">—</w:t>
      </w:r>
      <w:r>
        <w:t xml:space="preserve"> </w:t>
      </w:r>
      <w:r>
        <w:rPr>
          <w:i/>
        </w:rPr>
        <w:t xml:space="preserve">Clark v. Stephen D. Lee Foundation</w:t>
      </w:r>
      <w:r>
        <w:t xml:space="preserve">, 887 So. 2d 798 (Miss. 2004)</w:t>
      </w:r>
      <w:r>
        <w:t xml:space="preserve"> </w:t>
      </w:r>
      <w:r>
        <w:t xml:space="preserve">[@clark-2004]</w:t>
      </w:r>
      <w:r>
        <w:t xml:space="preserve"> </w:t>
      </w:r>
      <w:r>
        <w:t xml:space="preserve">(fair-market-value floor under the 1817 instrument);</w:t>
      </w:r>
      <w:r>
        <w:t xml:space="preserve"> </w:t>
      </w:r>
      <w:r>
        <w:rPr>
          <w:b/>
        </w:rPr>
        <w:t xml:space="preserve">Nebraska</w:t>
      </w:r>
      <w:r>
        <w:t xml:space="preserve"> </w:t>
      </w:r>
      <w:r>
        <w:t xml:space="preserve">—</w:t>
      </w:r>
      <w:r>
        <w:t xml:space="preserve"> </w:t>
      </w:r>
      <w:r>
        <w:rPr>
          <w:i/>
        </w:rPr>
        <w:t xml:space="preserve">Propst v. Board of Educational Lands &amp; Funds</w:t>
      </w:r>
      <w:r>
        <w:t xml:space="preserve">, 156 Neb. 226, 55 N.W.2d 653 (1952)</w:t>
      </w:r>
      <w:r>
        <w:t xml:space="preserve"> </w:t>
      </w:r>
      <w:r>
        <w:t xml:space="preserve">[@propst-1952]</w:t>
      </w:r>
      <w:r>
        <w:t xml:space="preserve"> </w:t>
      </w:r>
      <w:r>
        <w:t xml:space="preserve">(title vested</w:t>
      </w:r>
      <w:r>
        <w:t xml:space="preserve"> </w:t>
      </w:r>
      <w:r>
        <w:t xml:space="preserve">“</w:t>
      </w:r>
      <w:r>
        <w:t xml:space="preserve">upon an express trust for the</w:t>
      </w:r>
      <w:r>
        <w:t xml:space="preserve"> </w:t>
      </w:r>
      <w:r>
        <w:t xml:space="preserve">‘</w:t>
      </w:r>
      <w:r>
        <w:t xml:space="preserve">support of common schools</w:t>
      </w:r>
      <w:r>
        <w:t xml:space="preserve">’</w:t>
      </w:r>
      <w:r>
        <w:t xml:space="preserve">”</w:t>
      </w:r>
      <w:r>
        <w:t xml:space="preserve"> </w:t>
      </w:r>
      <w:r>
        <w:t xml:space="preserve">under the 1864 act);</w:t>
      </w:r>
      <w:r>
        <w:t xml:space="preserve"> </w:t>
      </w:r>
      <w:r>
        <w:rPr>
          <w:b/>
        </w:rPr>
        <w:t xml:space="preserve">Oregon</w:t>
      </w:r>
      <w:r>
        <w:t xml:space="preserve"> </w:t>
      </w:r>
      <w:r>
        <w:t xml:space="preserve">—</w:t>
      </w:r>
      <w:r>
        <w:t xml:space="preserve"> </w:t>
      </w:r>
      <w:r>
        <w:rPr>
          <w:i/>
        </w:rPr>
        <w:t xml:space="preserve">State Land Board v. Lee</w:t>
      </w:r>
      <w:r>
        <w:t xml:space="preserve">, 84 Or 431, 441-42 (1917)</w:t>
      </w:r>
      <w:r>
        <w:t xml:space="preserve"> </w:t>
      </w:r>
      <w:r>
        <w:t xml:space="preserve">[@lee-1917]</w:t>
      </w:r>
      <w:r>
        <w:t xml:space="preserve"> </w:t>
      </w:r>
      <w:r>
        <w:t xml:space="preserve">(</w:t>
      </w:r>
      <w:r>
        <w:t xml:space="preserve">“</w:t>
      </w:r>
      <w:r>
        <w:t xml:space="preserve">[T]he state is not a mere dry trustee, but it holds the funds in trust for the common schools of the state, and hence in trust for a public purpose.</w:t>
      </w:r>
      <w:r>
        <w:t xml:space="preserve">”</w:t>
      </w:r>
      <w:r>
        <w:t xml:space="preserve">).</w:t>
      </w:r>
    </w:p>
  </w:footnote>
  <w:footnote w:id="91">
    <w:p>
      <w:pPr>
        <w:pStyle w:val="FootnoteText"/>
      </w:pPr>
      <w:r>
        <w:rPr>
          <w:rStyle w:val="FootnoteReference"/>
        </w:rPr>
        <w:footnoteRef/>
      </w:r>
      <w:r>
        <w:t xml:space="preserve"> </w:t>
      </w:r>
      <w:r>
        <w:t xml:space="preserve">Utah Enabling Act of July 16, 1894, 28 Stat. 107</w:t>
      </w:r>
      <w:r>
        <w:t xml:space="preserve"> </w:t>
      </w:r>
      <w:r>
        <w:t xml:space="preserve">[@act-utah-1894]</w:t>
      </w:r>
      <w:r>
        <w:t xml:space="preserve">.</w:t>
      </w:r>
    </w:p>
  </w:footnote>
  <w:footnote w:id="92">
    <w:p>
      <w:pPr>
        <w:pStyle w:val="FootnoteText"/>
      </w:pPr>
      <w:r>
        <w:rPr>
          <w:rStyle w:val="FootnoteReference"/>
        </w:rPr>
        <w:footnoteRef/>
      </w:r>
      <w:r>
        <w:t xml:space="preserve"> </w:t>
      </w:r>
      <w:r>
        <w:t xml:space="preserve">New Mexico–Arizona Enabling Act of June 20, 1910, § 10, 36 Stat. 557</w:t>
      </w:r>
      <w:r>
        <w:t xml:space="preserve"> </w:t>
      </w:r>
      <w:r>
        <w:t xml:space="preserve">[@act-nm-az-1910]</w:t>
      </w:r>
      <w:r>
        <w:t xml:space="preserve">.</w:t>
      </w:r>
    </w:p>
  </w:footnote>
  <w:footnote w:id="93">
    <w:p>
      <w:pPr>
        <w:pStyle w:val="FootnoteText"/>
      </w:pPr>
      <w:r>
        <w:rPr>
          <w:rStyle w:val="FootnoteReference"/>
        </w:rPr>
        <w:footnoteRef/>
      </w:r>
      <w:r>
        <w:t xml:space="preserve"> </w:t>
      </w:r>
      <w:r>
        <w:t xml:space="preserve">The 1910 act’s terms enforced:</w:t>
      </w:r>
      <w:r>
        <w:t xml:space="preserve"> </w:t>
      </w:r>
      <w:r>
        <w:rPr>
          <w:b/>
        </w:rPr>
        <w:t xml:space="preserve">Federal (New Mexico)</w:t>
      </w:r>
      <w:r>
        <w:t xml:space="preserve"> </w:t>
      </w:r>
      <w:r>
        <w:t xml:space="preserve">—</w:t>
      </w:r>
      <w:r>
        <w:t xml:space="preserve"> </w:t>
      </w:r>
      <w:r>
        <w:rPr>
          <w:i/>
        </w:rPr>
        <w:t xml:space="preserve">Ervien v. United States</w:t>
      </w:r>
      <w:r>
        <w:t xml:space="preserve">, 251 U.S. 41 (1919)</w:t>
      </w:r>
      <w:r>
        <w:t xml:space="preserve"> </w:t>
      </w:r>
      <w:r>
        <w:t xml:space="preserve">[@ervien-1919]</w:t>
      </w:r>
      <w:r>
        <w:t xml:space="preserve"> </w:t>
      </w:r>
      <w:r>
        <w:t xml:space="preserve">(diversion of trust proceeds to promotional purposes a breach of trust enforceable by the United States);</w:t>
      </w:r>
      <w:r>
        <w:t xml:space="preserve"> </w:t>
      </w:r>
      <w:r>
        <w:rPr>
          <w:b/>
        </w:rPr>
        <w:t xml:space="preserve">Federal (Arizona)</w:t>
      </w:r>
      <w:r>
        <w:t xml:space="preserve"> </w:t>
      </w:r>
      <w:r>
        <w:t xml:space="preserve">—</w:t>
      </w:r>
      <w:r>
        <w:t xml:space="preserve"> </w:t>
      </w:r>
      <w:r>
        <w:rPr>
          <w:i/>
        </w:rPr>
        <w:t xml:space="preserve">Lassen v. Arizona ex rel. Arizona Highway Department</w:t>
      </w:r>
      <w:r>
        <w:t xml:space="preserve">, 385 U.S. 458 (1967)</w:t>
      </w:r>
      <w:r>
        <w:t xml:space="preserve"> </w:t>
      </w:r>
      <w:r>
        <w:t xml:space="preserve">[@lassen-1967]</w:t>
      </w:r>
      <w:r>
        <w:t xml:space="preserve"> </w:t>
      </w:r>
      <w:r>
        <w:t xml:space="preserve">(full appraised value owed on intra-governmental taking);</w:t>
      </w:r>
      <w:r>
        <w:t xml:space="preserve"> </w:t>
      </w:r>
      <w:r>
        <w:rPr>
          <w:i/>
        </w:rPr>
        <w:t xml:space="preserve">ASARCO Inc. v. Kadish</w:t>
      </w:r>
      <w:r>
        <w:t xml:space="preserve">, 490 U.S. 605, 626 (1989)</w:t>
      </w:r>
      <w:r>
        <w:t xml:space="preserve"> </w:t>
      </w:r>
      <w:r>
        <w:t xml:space="preserve">[@asarco-1989]</w:t>
      </w:r>
      <w:r>
        <w:t xml:space="preserve"> </w:t>
      </w:r>
      <w:r>
        <w:t xml:space="preserve">(state mineral-leasing statute void for nonconformity with § 28 of the act);</w:t>
      </w:r>
      <w:r>
        <w:t xml:space="preserve"> </w:t>
      </w:r>
      <w:r>
        <w:rPr>
          <w:b/>
        </w:rPr>
        <w:t xml:space="preserve">Arizona</w:t>
      </w:r>
      <w:r>
        <w:t xml:space="preserve"> </w:t>
      </w:r>
      <w:r>
        <w:t xml:space="preserve">—</w:t>
      </w:r>
      <w:r>
        <w:t xml:space="preserve"> </w:t>
      </w:r>
      <w:r>
        <w:rPr>
          <w:i/>
        </w:rPr>
        <w:t xml:space="preserve">Deer Valley Unified School District No. 97 v. Superior Court</w:t>
      </w:r>
      <w:r>
        <w:t xml:space="preserve">, 157 Ariz. 537, 760 P.2d 537 (1988)</w:t>
      </w:r>
      <w:r>
        <w:t xml:space="preserve"> </w:t>
      </w:r>
      <w:r>
        <w:t xml:space="preserve">[@deer-valley-1988]</w:t>
      </w:r>
      <w:r>
        <w:t xml:space="preserve"> </w:t>
      </w:r>
      <w:r>
        <w:t xml:space="preserve">(condemnation of school trust land by state actors barred; the no-condemnation result rests on the public-auction requirements of § 28 of the Enabling Act and Ariz. Const. art. 10);</w:t>
      </w:r>
      <w:r>
        <w:t xml:space="preserve"> </w:t>
      </w:r>
      <w:r>
        <w:rPr>
          <w:b/>
        </w:rPr>
        <w:t xml:space="preserve">New Mexico</w:t>
      </w:r>
      <w:r>
        <w:t xml:space="preserve"> </w:t>
      </w:r>
      <w:r>
        <w:t xml:space="preserve">—</w:t>
      </w:r>
      <w:r>
        <w:t xml:space="preserve"> </w:t>
      </w:r>
      <w:r>
        <w:rPr>
          <w:i/>
        </w:rPr>
        <w:t xml:space="preserve">State ex rel. King v. Lyons</w:t>
      </w:r>
      <w:r>
        <w:t xml:space="preserve">, 2011-NMSC-004, 248 P.3d 878</w:t>
      </w:r>
      <w:r>
        <w:t xml:space="preserve"> </w:t>
      </w:r>
      <w:r>
        <w:t xml:space="preserve">[@lyons-2011]</w:t>
      </w:r>
      <w:r>
        <w:t xml:space="preserve"> </w:t>
      </w:r>
      <w:r>
        <w:t xml:space="preserve">(land exchanges void where structured to bypass public-auction and highest-best-bidder requirements).</w:t>
      </w:r>
    </w:p>
  </w:footnote>
  <w:footnote w:id="95">
    <w:p>
      <w:pPr>
        <w:pStyle w:val="FootnoteText"/>
      </w:pPr>
      <w:r>
        <w:rPr>
          <w:rStyle w:val="FootnoteReference"/>
        </w:rPr>
        <w:footnoteRef/>
      </w:r>
      <w:r>
        <w:t xml:space="preserve"> </w:t>
      </w:r>
      <w:r>
        <w:t xml:space="preserve">Alaska Statehood Act of July 7, 1958, Pub. L. 85-508, 72 Stat. 339</w:t>
      </w:r>
      <w:r>
        <w:t xml:space="preserve"> </w:t>
      </w:r>
      <w:r>
        <w:t xml:space="preserve">[@act-alaska-1958]</w:t>
      </w:r>
      <w:r>
        <w:t xml:space="preserve">.</w:t>
      </w:r>
    </w:p>
  </w:footnote>
  <w:footnote w:id="96">
    <w:p>
      <w:pPr>
        <w:pStyle w:val="FootnoteText"/>
      </w:pPr>
      <w:r>
        <w:rPr>
          <w:rStyle w:val="FootnoteReference"/>
        </w:rPr>
        <w:footnoteRef/>
      </w:r>
      <w:r>
        <w:t xml:space="preserve"> </w:t>
      </w:r>
      <w:r>
        <w:rPr>
          <w:b/>
        </w:rPr>
        <w:t xml:space="preserve">Alaska</w:t>
      </w:r>
      <w:r>
        <w:t xml:space="preserve"> </w:t>
      </w:r>
      <w:r>
        <w:t xml:space="preserve">—</w:t>
      </w:r>
      <w:r>
        <w:t xml:space="preserve"> </w:t>
      </w:r>
      <w:r>
        <w:rPr>
          <w:i/>
        </w:rPr>
        <w:t xml:space="preserve">State v. University of Alaska</w:t>
      </w:r>
      <w:r>
        <w:t xml:space="preserve">, 624 P.2d 807, 813 (Alaska 1981)</w:t>
      </w:r>
      <w:r>
        <w:t xml:space="preserve"> </w:t>
      </w:r>
      <w:r>
        <w:t xml:space="preserve">[@university-of-alaska-1981]</w:t>
      </w:r>
      <w:r>
        <w:t xml:space="preserve"> </w:t>
      </w:r>
      <w:r>
        <w:t xml:space="preserve">(inclusion of university trust land in a state park without compensation held</w:t>
      </w:r>
      <w:r>
        <w:t xml:space="preserve"> </w:t>
      </w:r>
      <w:r>
        <w:t xml:space="preserve">“</w:t>
      </w:r>
      <w:r>
        <w:t xml:space="preserve">a breach of a federal trust</w:t>
      </w:r>
      <w:r>
        <w:t xml:space="preserve">”</w:t>
      </w:r>
      <w:r>
        <w:t xml:space="preserve"> </w:t>
      </w:r>
      <w:r>
        <w:t xml:space="preserve">— the introductory holding; at 813 the court applies</w:t>
      </w:r>
      <w:r>
        <w:t xml:space="preserve"> </w:t>
      </w:r>
      <w:r>
        <w:rPr>
          <w:i/>
        </w:rPr>
        <w:t xml:space="preserve">Lassen</w:t>
      </w:r>
      <w:r>
        <w:t xml:space="preserve">’s rule that</w:t>
      </w:r>
      <w:r>
        <w:t xml:space="preserve"> </w:t>
      </w:r>
      <w:r>
        <w:t xml:space="preserve">“</w:t>
      </w:r>
      <w:r>
        <w:t xml:space="preserve">the grants provide the most substantial support possible to the beneficiaries and that</w:t>
      </w:r>
      <w:r>
        <w:t xml:space="preserve"> </w:t>
      </w:r>
      <w:r>
        <w:rPr>
          <w:i/>
        </w:rPr>
        <w:t xml:space="preserve">only</w:t>
      </w:r>
      <w:r>
        <w:t xml:space="preserve"> </w:t>
      </w:r>
      <w:r>
        <w:t xml:space="preserve">those beneficiaries profit from the trust,</w:t>
      </w:r>
      <w:r>
        <w:t xml:space="preserve">”</w:t>
      </w:r>
      <w:r>
        <w:t xml:space="preserve"> </w:t>
      </w:r>
      <w:r>
        <w:t xml:space="preserve">quoting 385 U.S. at 467 — quotations verified against the full opinion, 2026-06-10);</w:t>
      </w:r>
      <w:r>
        <w:t xml:space="preserve"> </w:t>
      </w:r>
      <w:r>
        <w:rPr>
          <w:i/>
        </w:rPr>
        <w:t xml:space="preserve">State v. Weiss</w:t>
      </w:r>
      <w:r>
        <w:t xml:space="preserve">, 706 P.2d 681, 683 (Alaska 1985)</w:t>
      </w:r>
      <w:r>
        <w:t xml:space="preserve"> </w:t>
      </w:r>
      <w:r>
        <w:t xml:space="preserve">[@weiss-1985]</w:t>
      </w:r>
      <w:r>
        <w:t xml:space="preserve"> </w:t>
      </w:r>
      <w:r>
        <w:t xml:space="preserve">(state may not extinguish the mental health trust by absorbing its function into general government:</w:t>
      </w:r>
      <w:r>
        <w:t xml:space="preserve"> </w:t>
      </w:r>
      <w:r>
        <w:t xml:space="preserve">“</w:t>
      </w:r>
      <w:r>
        <w:t xml:space="preserve">The fact that the state has provided mental health care in the past and will most likely do so in the future is no justification for termination of the trust.</w:t>
      </w:r>
      <w:r>
        <w:t xml:space="preserve">”</w:t>
      </w:r>
      <w:r>
        <w:t xml:space="preserve">) (quotation verified verbatim at</w:t>
      </w:r>
      <w:r>
        <w:t xml:space="preserve"> </w:t>
      </w:r>
      <w:r>
        <w:rPr>
          <w:i/>
        </w:rPr>
        <w:t xml:space="preserve">683 against the full opinion, 2026-06-10; a mental-health lands trust case bridging to school-lands principles via its fn.3, citing</w:t>
      </w:r>
      <w:r>
        <w:rPr>
          <w:i/>
        </w:rPr>
        <w:t xml:space="preserve"> </w:t>
      </w:r>
      <w:r>
        <w:t xml:space="preserve">Lassen* and</w:t>
      </w:r>
      <w:r>
        <w:t xml:space="preserve"> </w:t>
      </w:r>
      <w:r>
        <w:rPr>
          <w:i/>
        </w:rPr>
        <w:t xml:space="preserve">University of Alaska</w:t>
      </w:r>
      <w:r>
        <w:t xml:space="preserve">).</w:t>
      </w:r>
    </w:p>
  </w:footnote>
  <w:footnote w:id="98">
    <w:p>
      <w:pPr>
        <w:pStyle w:val="FootnoteText"/>
      </w:pPr>
      <w:r>
        <w:rPr>
          <w:rStyle w:val="FootnoteReference"/>
        </w:rPr>
        <w:footnoteRef/>
      </w:r>
      <w:r>
        <w:t xml:space="preserve"> </w:t>
      </w:r>
      <w:r>
        <w:rPr>
          <w:i/>
        </w:rPr>
        <w:t xml:space="preserve">Cooper v. Roberts</w:t>
      </w:r>
      <w:r>
        <w:t xml:space="preserve">, 59 U.S. (18 How.) 173 (1855)</w:t>
      </w:r>
      <w:r>
        <w:t xml:space="preserve"> </w:t>
      </w:r>
      <w:r>
        <w:t xml:space="preserve">[@cooper-1855]</w:t>
      </w:r>
      <w:r>
        <w:t xml:space="preserve">.</w:t>
      </w:r>
    </w:p>
  </w:footnote>
  <w:footnote w:id="99">
    <w:p>
      <w:pPr>
        <w:pStyle w:val="FootnoteText"/>
      </w:pPr>
      <w:r>
        <w:rPr>
          <w:rStyle w:val="FootnoteReference"/>
        </w:rPr>
        <w:footnoteRef/>
      </w:r>
      <w:r>
        <w:t xml:space="preserve"> </w:t>
      </w:r>
      <w:r>
        <w:t xml:space="preserve">Accord, collected by state:</w:t>
      </w:r>
      <w:r>
        <w:t xml:space="preserve"> </w:t>
      </w:r>
      <w:r>
        <w:rPr>
          <w:b/>
        </w:rPr>
        <w:t xml:space="preserve">Nebraska</w:t>
      </w:r>
      <w:r>
        <w:t xml:space="preserve"> </w:t>
      </w:r>
      <w:r>
        <w:t xml:space="preserve">—</w:t>
      </w:r>
      <w:r>
        <w:t xml:space="preserve"> </w:t>
      </w:r>
      <w:r>
        <w:rPr>
          <w:i/>
        </w:rPr>
        <w:t xml:space="preserve">State v. Platte Valley Public Power &amp; Irrigation District</w:t>
      </w:r>
      <w:r>
        <w:t xml:space="preserve">, 147 Neb. 289, 23 N.W.2d 300 (1946)</w:t>
      </w:r>
      <w:r>
        <w:t xml:space="preserve"> </w:t>
      </w:r>
      <w:r>
        <w:t xml:space="preserve">[@platte-valley-1946]</w:t>
      </w:r>
      <w:r>
        <w:t xml:space="preserve"> </w:t>
      </w:r>
      <w:r>
        <w:t xml:space="preserve">(a</w:t>
      </w:r>
      <w:r>
        <w:t xml:space="preserve"> </w:t>
      </w:r>
      <w:r>
        <w:t xml:space="preserve">“</w:t>
      </w:r>
      <w:r>
        <w:t xml:space="preserve">contractual and constitutional obligation</w:t>
      </w:r>
      <w:r>
        <w:t xml:space="preserve">”</w:t>
      </w:r>
      <w:r>
        <w:t xml:space="preserve">) (quotation verified verbatim at 147 Neb. at 296, 2026-06-08);</w:t>
      </w:r>
      <w:r>
        <w:t xml:space="preserve"> </w:t>
      </w:r>
      <w:r>
        <w:rPr>
          <w:b/>
        </w:rPr>
        <w:t xml:space="preserve">Oklahoma</w:t>
      </w:r>
      <w:r>
        <w:t xml:space="preserve"> </w:t>
      </w:r>
      <w:r>
        <w:t xml:space="preserve">—</w:t>
      </w:r>
      <w:r>
        <w:t xml:space="preserve"> </w:t>
      </w:r>
      <w:r>
        <w:rPr>
          <w:i/>
        </w:rPr>
        <w:t xml:space="preserve">Oklahoma Education Ass’n, Inc. v. Nigh</w:t>
      </w:r>
      <w:r>
        <w:t xml:space="preserve">, 642 P.2d 230 (Okla. 1982)</w:t>
      </w:r>
      <w:r>
        <w:t xml:space="preserve"> </w:t>
      </w:r>
      <w:r>
        <w:t xml:space="preserve">[@nigh-1982]</w:t>
      </w:r>
      <w:r>
        <w:t xml:space="preserve"> </w:t>
      </w:r>
      <w:r>
        <w:t xml:space="preserve">(a perpetual covenant binding successive legislatures);</w:t>
      </w:r>
      <w:r>
        <w:t xml:space="preserve"> </w:t>
      </w:r>
      <w:r>
        <w:rPr>
          <w:b/>
        </w:rPr>
        <w:t xml:space="preserve">South Dakota</w:t>
      </w:r>
      <w:r>
        <w:t xml:space="preserve"> </w:t>
      </w:r>
      <w:r>
        <w:t xml:space="preserve">—</w:t>
      </w:r>
      <w:r>
        <w:t xml:space="preserve"> </w:t>
      </w:r>
      <w:r>
        <w:rPr>
          <w:i/>
        </w:rPr>
        <w:t xml:space="preserve">Kanaly v. State ex rel. Janklow</w:t>
      </w:r>
      <w:r>
        <w:t xml:space="preserve">, 368 N.W.2d 819, 823 (S.D. 1985)</w:t>
      </w:r>
      <w:r>
        <w:t xml:space="preserve"> </w:t>
      </w:r>
      <w:r>
        <w:t xml:space="preserve">[@kanaly-1985]</w:t>
      </w:r>
      <w:r>
        <w:t xml:space="preserve"> </w:t>
      </w:r>
      <w:r>
        <w:t xml:space="preserve">(823 pin verified against the full opinion, 2026-06-10);</w:t>
      </w:r>
      <w:r>
        <w:t xml:space="preserve"> </w:t>
      </w:r>
      <w:r>
        <w:rPr>
          <w:b/>
        </w:rPr>
        <w:t xml:space="preserve">New Mexico</w:t>
      </w:r>
      <w:r>
        <w:t xml:space="preserve"> </w:t>
      </w:r>
      <w:r>
        <w:t xml:space="preserve">— see the congressional-consent requirement attending New Mexico’s 2022 constitutional amendment adding a distribution destination</w:t>
      </w:r>
      <w:r>
        <w:t xml:space="preserve"> </w:t>
      </w:r>
      <w:r>
        <w:t xml:space="preserve">[@const-nm-art12]</w:t>
      </w:r>
      <w:r>
        <w:t xml:space="preserve"> </w:t>
      </w:r>
      <w:r>
        <w:t xml:space="preserve">(consent required precisely because the compact is bilateral);</w:t>
      </w:r>
      <w:r>
        <w:t xml:space="preserve"> </w:t>
      </w:r>
      <w:r>
        <w:rPr>
          <w:b/>
        </w:rPr>
        <w:t xml:space="preserve">Oregon</w:t>
      </w:r>
      <w:r>
        <w:t xml:space="preserve"> </w:t>
      </w:r>
      <w:r>
        <w:t xml:space="preserve">—</w:t>
      </w:r>
      <w:r>
        <w:t xml:space="preserve"> </w:t>
      </w:r>
      <w:r>
        <w:rPr>
          <w:i/>
        </w:rPr>
        <w:t xml:space="preserve">Cascadia Wildlands v. Department of State Lands</w:t>
      </w:r>
      <w:r>
        <w:t xml:space="preserve">, 365 Or 750, 758 (2019)</w:t>
      </w:r>
      <w:r>
        <w:t xml:space="preserve"> </w:t>
      </w:r>
      <w:r>
        <w:t xml:space="preserve">[@cascadia-2019]</w:t>
      </w:r>
      <w:r>
        <w:t xml:space="preserve"> </w:t>
      </w:r>
      <w:r>
        <w:t xml:space="preserve">(quoting the obligatory clause).</w:t>
      </w:r>
    </w:p>
  </w:footnote>
  <w:footnote w:id="100">
    <w:p>
      <w:pPr>
        <w:pStyle w:val="FootnoteText"/>
      </w:pPr>
      <w:r>
        <w:rPr>
          <w:rStyle w:val="FootnoteReference"/>
        </w:rPr>
        <w:footnoteRef/>
      </w:r>
      <w:r>
        <w:t xml:space="preserve"> </w:t>
      </w:r>
      <w:r>
        <w:rPr>
          <w:i/>
        </w:rPr>
        <w:t xml:space="preserve">State of Utah v. Kleppe</w:t>
      </w:r>
      <w:r>
        <w:t xml:space="preserve">, 586 F.2d 756, 758 (10th Cir. 1978)</w:t>
      </w:r>
      <w:r>
        <w:t xml:space="preserve"> </w:t>
      </w:r>
      <w:r>
        <w:t xml:space="preserve">[@kleppe-1978]</w:t>
      </w:r>
      <w:r>
        <w:t xml:space="preserve"> </w:t>
      </w:r>
      <w:r>
        <w:t xml:space="preserve">(both quotations verified verbatim against the full opinion at 758, 2026-06-08),</w:t>
      </w:r>
      <w:r>
        <w:t xml:space="preserve"> </w:t>
      </w:r>
      <w:r>
        <w:rPr>
          <w:i/>
        </w:rPr>
        <w:t xml:space="preserve">rev’d on other grounds sub nom. Andrus v. Utah</w:t>
      </w:r>
      <w:r>
        <w:t xml:space="preserve">, 446 U.S. 500 (1980)</w:t>
      </w:r>
      <w:r>
        <w:t xml:space="preserve"> </w:t>
      </w:r>
      <w:r>
        <w:t xml:space="preserve">[@andrus-1980]</w:t>
      </w:r>
      <w:r>
        <w:t xml:space="preserve"> </w:t>
      </w:r>
      <w:r>
        <w:t xml:space="preserve">(the reversal went to indemnity-selection discretion under the Taylor Grazing Act, not to the trust-character articulation, which survives as the Tenth Circuit’s persuasive framing; the majority and Justice Powell’s dissent carry the compact framing).</w:t>
      </w:r>
    </w:p>
  </w:footnote>
  <w:footnote w:id="101">
    <w:p>
      <w:pPr>
        <w:pStyle w:val="FootnoteText"/>
      </w:pPr>
      <w:r>
        <w:rPr>
          <w:rStyle w:val="FootnoteReference"/>
        </w:rPr>
        <w:footnoteRef/>
      </w:r>
      <w:r>
        <w:t xml:space="preserve"> </w:t>
      </w:r>
      <w:r>
        <w:t xml:space="preserve">Accord, collected by state:</w:t>
      </w:r>
      <w:r>
        <w:t xml:space="preserve"> </w:t>
      </w:r>
      <w:r>
        <w:rPr>
          <w:b/>
        </w:rPr>
        <w:t xml:space="preserve">Utah (federal)</w:t>
      </w:r>
      <w:r>
        <w:t xml:space="preserve"> </w:t>
      </w:r>
      <w:r>
        <w:t xml:space="preserve">—</w:t>
      </w:r>
      <w:r>
        <w:t xml:space="preserve"> </w:t>
      </w:r>
      <w:r>
        <w:rPr>
          <w:i/>
        </w:rPr>
        <w:t xml:space="preserve">State of Utah v. Andrus</w:t>
      </w:r>
      <w:r>
        <w:t xml:space="preserve">, 486 F. Supp. 995 (D. Utah 1979)</w:t>
      </w:r>
      <w:r>
        <w:t xml:space="preserve"> </w:t>
      </w:r>
      <w:r>
        <w:t xml:space="preserve">[@andrus-1979]</w:t>
      </w:r>
      <w:r>
        <w:t xml:space="preserve"> </w:t>
      </w:r>
      <w:r>
        <w:t xml:space="preserve">(</w:t>
      </w:r>
      <w:r>
        <w:t xml:space="preserve">“</w:t>
      </w:r>
      <w:r>
        <w:t xml:space="preserve">a bilateral compact</w:t>
      </w:r>
      <w:r>
        <w:t xml:space="preserve">”</w:t>
      </w:r>
      <w:r>
        <w:t xml:space="preserve"> </w:t>
      </w:r>
      <w:r>
        <w:t xml:space="preserve">between the United States and Utah, not a unilateral gift);</w:t>
      </w:r>
      <w:r>
        <w:t xml:space="preserve"> </w:t>
      </w:r>
      <w:r>
        <w:rPr>
          <w:i/>
        </w:rPr>
        <w:t xml:space="preserve">United States v. Cotter Corp.</w:t>
      </w:r>
      <w:r>
        <w:t xml:space="preserve">, Nos. C 79-0037, C 79-0307 (D. Utah Oct. 1, 1979)</w:t>
      </w:r>
      <w:r>
        <w:t xml:space="preserve"> </w:t>
      </w:r>
      <w:r>
        <w:t xml:space="preserve">[@cotter-1979]</w:t>
      </w:r>
      <w:r>
        <w:t xml:space="preserve"> </w:t>
      </w:r>
      <w:r>
        <w:t xml:space="preserve">(same; special school-land legislation prevails over later general legislation);</w:t>
      </w:r>
      <w:r>
        <w:t xml:space="preserve"> </w:t>
      </w:r>
      <w:r>
        <w:rPr>
          <w:b/>
        </w:rPr>
        <w:t xml:space="preserve">Colorado (federal)</w:t>
      </w:r>
      <w:r>
        <w:t xml:space="preserve"> </w:t>
      </w:r>
      <w:r>
        <w:t xml:space="preserve">—</w:t>
      </w:r>
      <w:r>
        <w:t xml:space="preserve"> </w:t>
      </w:r>
      <w:r>
        <w:rPr>
          <w:i/>
        </w:rPr>
        <w:t xml:space="preserve">Branson School District RE-82 v. Romer</w:t>
      </w:r>
      <w:r>
        <w:t xml:space="preserve">, 161 F.3d 619 (10th Cir. 1998)</w:t>
      </w:r>
      <w:r>
        <w:t xml:space="preserve"> </w:t>
      </w:r>
      <w:r>
        <w:t xml:space="preserve">[@branson-1998]</w:t>
      </w:r>
      <w:r>
        <w:t xml:space="preserve"> </w:t>
      </w:r>
      <w:r>
        <w:t xml:space="preserve">(the compact an enforceable trust, not aspirational policy).</w:t>
      </w:r>
    </w:p>
  </w:footnote>
  <w:footnote w:id="102">
    <w:p>
      <w:pPr>
        <w:pStyle w:val="FootnoteText"/>
      </w:pPr>
      <w:r>
        <w:rPr>
          <w:rStyle w:val="FootnoteReference"/>
        </w:rPr>
        <w:footnoteRef/>
      </w:r>
      <w:r>
        <w:t xml:space="preserve"> </w:t>
      </w:r>
      <w:r>
        <w:rPr>
          <w:i/>
        </w:rPr>
        <w:t xml:space="preserve">State of Utah v. Andrus</w:t>
      </w:r>
      <w:r>
        <w:t xml:space="preserve">, 486 F. Supp. 995 (D. Utah 1979)</w:t>
      </w:r>
      <w:r>
        <w:t xml:space="preserve"> </w:t>
      </w:r>
      <w:r>
        <w:t xml:space="preserve">[@andrus-1979]</w:t>
      </w:r>
      <w:r>
        <w:t xml:space="preserve">. Accord cases not yet collected by state; see Architecture § C, verification wave 2.</w:t>
      </w:r>
    </w:p>
  </w:footnote>
  <w:footnote w:id="104">
    <w:p>
      <w:pPr>
        <w:pStyle w:val="FootnoteText"/>
      </w:pPr>
      <w:r>
        <w:rPr>
          <w:rStyle w:val="FootnoteReference"/>
        </w:rPr>
        <w:footnoteRef/>
      </w:r>
      <w:r>
        <w:t xml:space="preserve"> </w:t>
      </w:r>
      <w:r>
        <w:t xml:space="preserve">43 U.S.C. § 851 et seq.</w:t>
      </w:r>
      <w:r>
        <w:t xml:space="preserve"> </w:t>
      </w:r>
      <w:r>
        <w:t xml:space="preserve">[@usc-43-851]</w:t>
      </w:r>
      <w:r>
        <w:t xml:space="preserve">; see</w:t>
      </w:r>
      <w:r>
        <w:t xml:space="preserve"> </w:t>
      </w:r>
      <w:r>
        <w:rPr>
          <w:i/>
        </w:rPr>
        <w:t xml:space="preserve">State of Oregon ex rel. Division of State Lands v. Bureau of Land Management</w:t>
      </w:r>
      <w:r>
        <w:t xml:space="preserve">, 876 F.2d 1419 (9th Cir. 1989)</w:t>
      </w:r>
      <w:r>
        <w:t xml:space="preserve"> </w:t>
      </w:r>
      <w:r>
        <w:t xml:space="preserve">[@dsl-blm-1989]</w:t>
      </w:r>
      <w:r>
        <w:t xml:space="preserve"> </w:t>
      </w:r>
      <w:r>
        <w:t xml:space="preserve">(history of the lieu-lands selection process).</w:t>
      </w:r>
    </w:p>
  </w:footnote>
  <w:footnote w:id="105">
    <w:p>
      <w:pPr>
        <w:pStyle w:val="FootnoteText"/>
      </w:pPr>
      <w:r>
        <w:rPr>
          <w:rStyle w:val="FootnoteReference"/>
        </w:rPr>
        <w:footnoteRef/>
      </w:r>
      <w:r>
        <w:t xml:space="preserve"> </w:t>
      </w:r>
      <w:r>
        <w:rPr>
          <w:i/>
        </w:rPr>
        <w:t xml:space="preserve">Andrus v. Utah</w:t>
      </w:r>
      <w:r>
        <w:t xml:space="preserve">, 446 U.S. 500 (1980)</w:t>
      </w:r>
      <w:r>
        <w:t xml:space="preserve"> </w:t>
      </w:r>
      <w:r>
        <w:t xml:space="preserve">[@andrus-1980]</w:t>
      </w:r>
      <w:r>
        <w:t xml:space="preserve">.</w:t>
      </w:r>
    </w:p>
  </w:footnote>
  <w:footnote w:id="106">
    <w:p>
      <w:pPr>
        <w:pStyle w:val="FootnoteText"/>
      </w:pPr>
      <w:r>
        <w:rPr>
          <w:rStyle w:val="FootnoteReference"/>
        </w:rPr>
        <w:footnoteRef/>
      </w:r>
      <w:r>
        <w:t xml:space="preserve"> </w:t>
      </w:r>
      <w:r>
        <w:rPr>
          <w:i/>
        </w:rPr>
        <w:t xml:space="preserve">Alamo Land &amp; Cattle Co. v. Arizona</w:t>
      </w:r>
      <w:r>
        <w:t xml:space="preserve">, 424 U.S. 295 (1976)</w:t>
      </w:r>
      <w:r>
        <w:t xml:space="preserve"> </w:t>
      </w:r>
      <w:r>
        <w:t xml:space="preserve">[@alamo-1976]</w:t>
      </w:r>
      <w:r>
        <w:t xml:space="preserve">.</w:t>
      </w:r>
    </w:p>
  </w:footnote>
  <w:footnote w:id="107">
    <w:p>
      <w:pPr>
        <w:pStyle w:val="FootnoteText"/>
      </w:pPr>
      <w:r>
        <w:rPr>
          <w:rStyle w:val="FootnoteReference"/>
        </w:rPr>
        <w:footnoteRef/>
      </w:r>
      <w:r>
        <w:t xml:space="preserve"> </w:t>
      </w:r>
      <w:r>
        <w:t xml:space="preserve">Accord, by instrument and state:</w:t>
      </w:r>
      <w:r>
        <w:t xml:space="preserve"> </w:t>
      </w:r>
      <w:r>
        <w:rPr>
          <w:b/>
        </w:rPr>
        <w:t xml:space="preserve">New Mexico / Arizona</w:t>
      </w:r>
      <w:r>
        <w:t xml:space="preserve"> </w:t>
      </w:r>
      <w:r>
        <w:t xml:space="preserve">— New Mexico–Arizona Enabling Act § 10, 36 Stat. 557 (1910)</w:t>
      </w:r>
      <w:r>
        <w:t xml:space="preserve"> </w:t>
      </w:r>
      <w:r>
        <w:t xml:space="preserve">[@act-nm-az-1910]</w:t>
      </w:r>
      <w:r>
        <w:t xml:space="preserve"> </w:t>
      </w:r>
      <w:r>
        <w:t xml:space="preserve">(</w:t>
      </w:r>
      <w:r>
        <w:t xml:space="preserve">“</w:t>
      </w:r>
      <w:r>
        <w:t xml:space="preserve">the natural products and money proceeds of any of said lands shall be subject to the same trusts as the lands producing the same</w:t>
      </w:r>
      <w:r>
        <w:t xml:space="preserve">”</w:t>
      </w:r>
      <w:r>
        <w:t xml:space="preserve">);</w:t>
      </w:r>
      <w:r>
        <w:t xml:space="preserve"> </w:t>
      </w:r>
      <w:r>
        <w:rPr>
          <w:b/>
        </w:rPr>
        <w:t xml:space="preserve">Utah</w:t>
      </w:r>
      <w:r>
        <w:t xml:space="preserve"> </w:t>
      </w:r>
      <w:r>
        <w:t xml:space="preserve">—</w:t>
      </w:r>
      <w:r>
        <w:t xml:space="preserve"> </w:t>
      </w:r>
      <w:r>
        <w:rPr>
          <w:i/>
        </w:rPr>
        <w:t xml:space="preserve">National Parks &amp; Conservation Association v. Board of State Lands</w:t>
      </w:r>
      <w:r>
        <w:t xml:space="preserve">, 869 P.2d 909, 920 (Utah 1993)</w:t>
      </w:r>
      <w:r>
        <w:t xml:space="preserve"> </w:t>
      </w:r>
      <w:r>
        <w:t xml:space="preserve">[@npca-1993]</w:t>
      </w:r>
      <w:r>
        <w:t xml:space="preserve"> </w:t>
      </w:r>
      <w:r>
        <w:t xml:space="preserve">(</w:t>
      </w:r>
      <w:r>
        <w:t xml:space="preserve">“</w:t>
      </w:r>
      <w:r>
        <w:t xml:space="preserve">the school land trust is not only imposed on the disposition of proceeds from school trust lands, but also on the use of the land itself</w:t>
      </w:r>
      <w:r>
        <w:t xml:space="preserve">”</w:t>
      </w:r>
      <w:r>
        <w:t xml:space="preserve">).</w:t>
      </w:r>
    </w:p>
  </w:footnote>
  <w:footnote w:id="108">
    <w:p>
      <w:pPr>
        <w:pStyle w:val="FootnoteText"/>
      </w:pPr>
      <w:r>
        <w:rPr>
          <w:rStyle w:val="FootnoteReference"/>
        </w:rPr>
        <w:footnoteRef/>
      </w:r>
      <w:r>
        <w:t xml:space="preserve"> </w:t>
      </w:r>
      <w:r>
        <w:rPr>
          <w:i/>
        </w:rPr>
        <w:t xml:space="preserve">Jensen v. Dinehart</w:t>
      </w:r>
      <w:r>
        <w:t xml:space="preserve">, 645 P.2d 32 (Utah 1982)</w:t>
      </w:r>
      <w:r>
        <w:t xml:space="preserve"> </w:t>
      </w:r>
      <w:r>
        <w:t xml:space="preserve">[@jensen-1982]</w:t>
      </w:r>
      <w:r>
        <w:t xml:space="preserve"> </w:t>
      </w:r>
      <w:r>
        <w:t xml:space="preserve">(Hall, C.J.; the majority holds school-section mineral proceeds</w:t>
      </w:r>
      <w:r>
        <w:t xml:space="preserve"> </w:t>
      </w:r>
      <w:r>
        <w:t xml:space="preserve">“</w:t>
      </w:r>
      <w:r>
        <w:t xml:space="preserve">are properly placed in the Uniform School Fund</w:t>
      </w:r>
      <w:r>
        <w:t xml:space="preserve">”</w:t>
      </w:r>
      <w:r>
        <w:t xml:space="preserve"> </w:t>
      </w:r>
      <w:r>
        <w:t xml:space="preserve">— the currently expendable fund — at</w:t>
      </w:r>
      <w:r>
        <w:t xml:space="preserve"> </w:t>
      </w:r>
      <w:r>
        <w:rPr>
          <w:i/>
        </w:rPr>
        <w:t xml:space="preserve">35, reversing the contrary declaratory judgment; Oaks, J., concurring in part and dissenting in part, found no</w:t>
      </w:r>
      <w:r>
        <w:rPr>
          <w:i/>
        </w:rPr>
        <w:t xml:space="preserve"> </w:t>
      </w:r>
      <w:r>
        <w:rPr>
          <w:i/>
        </w:rPr>
        <w:t xml:space="preserve">“</w:t>
      </w:r>
      <w:r>
        <w:rPr>
          <w:i/>
        </w:rPr>
        <w:t xml:space="preserve">intent to remove or modify the trust restriction Congress had imposed on sections granted under the Enabling Act,</w:t>
      </w:r>
      <w:r>
        <w:rPr>
          <w:i/>
        </w:rPr>
        <w:t xml:space="preserve">”</w:t>
      </w:r>
      <w:r>
        <w:rPr>
          <w:i/>
        </w:rPr>
        <w:t xml:space="preserve"> </w:t>
      </w:r>
      <w:r>
        <w:rPr>
          <w:i/>
        </w:rPr>
        <w:t xml:space="preserve">at</w:t>
      </w:r>
      <w:r>
        <w:rPr>
          <w:i/>
        </w:rPr>
        <w:t xml:space="preserve"> </w:t>
      </w:r>
      <w:r>
        <w:t xml:space="preserve">37 — the trust-protective position, which did not command a majority; characterization corrected against the full opinion, 2026-06-10);</w:t>
      </w:r>
      <w:r>
        <w:t xml:space="preserve"> </w:t>
      </w:r>
      <w:r>
        <w:rPr>
          <w:i/>
        </w:rPr>
        <w:t xml:space="preserve">United States v. Cotter Corp.</w:t>
      </w:r>
      <w:r>
        <w:t xml:space="preserve">, Nos. C 79-0037, C 79-0307 (D. Utah Oct. 1, 1979)</w:t>
      </w:r>
      <w:r>
        <w:t xml:space="preserve"> </w:t>
      </w:r>
      <w:r>
        <w:t xml:space="preserve">[@cotter-1979]</w:t>
      </w:r>
      <w:r>
        <w:t xml:space="preserve"> </w:t>
      </w:r>
      <w:r>
        <w:t xml:space="preserve">(special school-land legislation prevails over later general legislation).</w:t>
      </w:r>
    </w:p>
  </w:footnote>
  <w:footnote w:id="111">
    <w:p>
      <w:pPr>
        <w:pStyle w:val="FootnoteText"/>
      </w:pPr>
      <w:r>
        <w:rPr>
          <w:rStyle w:val="FootnoteReference"/>
        </w:rPr>
        <w:footnoteRef/>
      </w:r>
      <w:r>
        <w:t xml:space="preserve"> </w:t>
      </w:r>
      <w:r>
        <w:rPr>
          <w:i/>
        </w:rPr>
        <w:t xml:space="preserve">Cooper v. Roberts</w:t>
      </w:r>
      <w:r>
        <w:t xml:space="preserve">, 59 U.S. (18 How.) 173 (1855)</w:t>
      </w:r>
      <w:r>
        <w:t xml:space="preserve"> </w:t>
      </w:r>
      <w:r>
        <w:t xml:space="preserve">[@cooper-1855]</w:t>
      </w:r>
      <w:r>
        <w:t xml:space="preserve">.</w:t>
      </w:r>
    </w:p>
  </w:footnote>
  <w:footnote w:id="112">
    <w:p>
      <w:pPr>
        <w:pStyle w:val="FootnoteText"/>
      </w:pPr>
      <w:r>
        <w:rPr>
          <w:rStyle w:val="FootnoteReference"/>
        </w:rPr>
        <w:footnoteRef/>
      </w:r>
      <w:r>
        <w:t xml:space="preserve"> </w:t>
      </w:r>
      <w:r>
        <w:t xml:space="preserve">Acceptance instruments, collected by state:</w:t>
      </w:r>
      <w:r>
        <w:t xml:space="preserve"> </w:t>
      </w:r>
      <w:r>
        <w:rPr>
          <w:b/>
        </w:rPr>
        <w:t xml:space="preserve">Oregon</w:t>
      </w:r>
      <w:r>
        <w:t xml:space="preserve"> </w:t>
      </w:r>
      <w:r>
        <w:t xml:space="preserve">— Acceptance by Oregon of the propositions offered by Congress in the Admission Act, Act of Feb. 14, 1859, ch. 33, § 4, 11 Stat. 383</w:t>
      </w:r>
      <w:r>
        <w:t xml:space="preserve"> </w:t>
      </w:r>
      <w:r>
        <w:t xml:space="preserve">[@act-oregon-1859]</w:t>
      </w:r>
      <w:r>
        <w:t xml:space="preserve"> </w:t>
      </w:r>
      <w:r>
        <w:t xml:space="preserve">(the compact clause: the propositions,</w:t>
      </w:r>
      <w:r>
        <w:t xml:space="preserve"> </w:t>
      </w:r>
      <w:r>
        <w:t xml:space="preserve">“</w:t>
      </w:r>
      <w:r>
        <w:t xml:space="preserve">if accepted, shall be obligatory on the United States and upon the said State of Oregon</w:t>
      </w:r>
      <w:r>
        <w:t xml:space="preserve">”</w:t>
      </w:r>
      <w:r>
        <w:t xml:space="preserve">; the acceptance instrument is held with the Act);</w:t>
      </w:r>
      <w:r>
        <w:t xml:space="preserve"> </w:t>
      </w:r>
      <w:r>
        <w:rPr>
          <w:b/>
        </w:rPr>
        <w:t xml:space="preserve">Colorado</w:t>
      </w:r>
      <w:r>
        <w:t xml:space="preserve"> </w:t>
      </w:r>
      <w:r>
        <w:t xml:space="preserve">— first Constitution (1876), accepting the Enabling Act of Mar. 3, 1875, 18 Stat. 474</w:t>
      </w:r>
      <w:r>
        <w:t xml:space="preserve"> </w:t>
      </w:r>
      <w:r>
        <w:t xml:space="preserve">[@act-colorado-1875]</w:t>
      </w:r>
      <w:r>
        <w:t xml:space="preserve">;</w:t>
      </w:r>
      <w:r>
        <w:t xml:space="preserve"> </w:t>
      </w:r>
      <w:r>
        <w:rPr>
          <w:b/>
        </w:rPr>
        <w:t xml:space="preserve">Montana / South Dakota</w:t>
      </w:r>
      <w:r>
        <w:t xml:space="preserve"> </w:t>
      </w:r>
      <w:r>
        <w:t xml:space="preserve">— first constitutions accepting the Omnibus Enabling Act of Feb. 22, 1889, 25 Stat. 676</w:t>
      </w:r>
      <w:r>
        <w:t xml:space="preserve"> </w:t>
      </w:r>
      <w:r>
        <w:t xml:space="preserve">[@act-omnibus-1889]</w:t>
      </w:r>
      <w:r>
        <w:t xml:space="preserve">, and incorporating the trust obligations into organic law;</w:t>
      </w:r>
      <w:r>
        <w:t xml:space="preserve"> </w:t>
      </w:r>
      <w:r>
        <w:rPr>
          <w:b/>
        </w:rPr>
        <w:t xml:space="preserve">Idaho</w:t>
      </w:r>
      <w:r>
        <w:t xml:space="preserve"> </w:t>
      </w:r>
      <w:r>
        <w:t xml:space="preserve">— Idaho Const. art. IX, § 3</w:t>
      </w:r>
      <w:r>
        <w:t xml:space="preserve"> </w:t>
      </w:r>
      <w:r>
        <w:t xml:space="preserve">[@const-id-art9]</w:t>
      </w:r>
      <w:r>
        <w:t xml:space="preserve"> </w:t>
      </w:r>
      <w:r>
        <w:t xml:space="preserve">(express acceptance of the grants of the Admission Act of July 3, 1890, 26 Stat. 215</w:t>
      </w:r>
      <w:r>
        <w:t xml:space="preserve"> </w:t>
      </w:r>
      <w:r>
        <w:t xml:space="preserve">[@act-idaho-1890]</w:t>
      </w:r>
      <w:r>
        <w:t xml:space="preserve">, dedicating the income to the institutions named in the Act);</w:t>
      </w:r>
      <w:r>
        <w:t xml:space="preserve"> </w:t>
      </w:r>
      <w:r>
        <w:rPr>
          <w:b/>
        </w:rPr>
        <w:t xml:space="preserve">New Mexico</w:t>
      </w:r>
      <w:r>
        <w:t xml:space="preserve"> </w:t>
      </w:r>
      <w:r>
        <w:t xml:space="preserve">— Constitution of 1911, accepting the terms of the Act of June 20, 1910, 36 Stat. 557</w:t>
      </w:r>
      <w:r>
        <w:t xml:space="preserve"> </w:t>
      </w:r>
      <w:r>
        <w:t xml:space="preserve">[@act-nm-az-1910]</w:t>
      </w:r>
      <w:r>
        <w:t xml:space="preserve"> </w:t>
      </w:r>
      <w:r>
        <w:t xml:space="preserve">by compact;</w:t>
      </w:r>
      <w:r>
        <w:t xml:space="preserve"> </w:t>
      </w:r>
      <w:r>
        <w:rPr>
          <w:b/>
        </w:rPr>
        <w:t xml:space="preserve">Alaska</w:t>
      </w:r>
      <w:r>
        <w:t xml:space="preserve"> </w:t>
      </w:r>
      <w:r>
        <w:t xml:space="preserve">— constitutional ordinance, required by the Alaska Statehood Act of July 7, 1958, Pub. L. 85-508, 72 Stat. 339</w:t>
      </w:r>
      <w:r>
        <w:t xml:space="preserve"> </w:t>
      </w:r>
      <w:r>
        <w:t xml:space="preserve">[@act-alaska-1958]</w:t>
      </w:r>
      <w:r>
        <w:t xml:space="preserve">, disclaiming right and title to unappropriated public lands and accepting the grants as a compact with the United States.</w:t>
      </w:r>
    </w:p>
  </w:footnote>
  <w:footnote w:id="114">
    <w:p>
      <w:pPr>
        <w:pStyle w:val="FootnoteText"/>
      </w:pPr>
      <w:r>
        <w:rPr>
          <w:rStyle w:val="FootnoteReference"/>
        </w:rPr>
        <w:footnoteRef/>
      </w:r>
      <w:r>
        <w:t xml:space="preserve"> </w:t>
      </w:r>
      <w:r>
        <w:rPr>
          <w:i/>
        </w:rPr>
        <w:t xml:space="preserve">State v. Platte Valley Public Power &amp; Irrigation District</w:t>
      </w:r>
      <w:r>
        <w:t xml:space="preserve">, 147 Neb. 289, 23 N.W.2d 300 (1946)</w:t>
      </w:r>
      <w:r>
        <w:t xml:space="preserve"> </w:t>
      </w:r>
      <w:r>
        <w:t xml:space="preserve">[@platte-valley-1946]</w:t>
      </w:r>
      <w:r>
        <w:t xml:space="preserve"> </w:t>
      </w:r>
      <w:r>
        <w:t xml:space="preserve">(</w:t>
      </w:r>
      <w:r>
        <w:t xml:space="preserve">“</w:t>
      </w:r>
      <w:r>
        <w:t xml:space="preserve">the school lands of this state are held in trust by the state under a contractual and constitutional obligation to refrain from disposition or alienation of the use of this property, except as allowed by the Enabling Act and the Constitution</w:t>
      </w:r>
      <w:r>
        <w:t xml:space="preserve">”</w:t>
      </w:r>
      <w:r>
        <w:t xml:space="preserve">).</w:t>
      </w:r>
    </w:p>
  </w:footnote>
  <w:footnote w:id="115">
    <w:p>
      <w:pPr>
        <w:pStyle w:val="FootnoteText"/>
      </w:pPr>
      <w:r>
        <w:rPr>
          <w:rStyle w:val="FootnoteReference"/>
        </w:rPr>
        <w:footnoteRef/>
      </w:r>
      <w:r>
        <w:t xml:space="preserve"> </w:t>
      </w:r>
      <w:r>
        <w:t xml:space="preserve">Accord, collected by state:</w:t>
      </w:r>
      <w:r>
        <w:t xml:space="preserve"> </w:t>
      </w:r>
      <w:r>
        <w:rPr>
          <w:b/>
        </w:rPr>
        <w:t xml:space="preserve">South Dakota</w:t>
      </w:r>
      <w:r>
        <w:t xml:space="preserve"> </w:t>
      </w:r>
      <w:r>
        <w:t xml:space="preserve">—</w:t>
      </w:r>
      <w:r>
        <w:t xml:space="preserve"> </w:t>
      </w:r>
      <w:r>
        <w:rPr>
          <w:i/>
        </w:rPr>
        <w:t xml:space="preserve">Kanaly v. State ex rel. Janklow</w:t>
      </w:r>
      <w:r>
        <w:t xml:space="preserve">, 368 N.W.2d 819, 823 (S.D. 1985)</w:t>
      </w:r>
      <w:r>
        <w:t xml:space="preserve"> </w:t>
      </w:r>
      <w:r>
        <w:t xml:space="preserve">[@kanaly-1985]</w:t>
      </w:r>
      <w:r>
        <w:t xml:space="preserve"> </w:t>
      </w:r>
      <w:r>
        <w:t xml:space="preserve">(the grant an</w:t>
      </w:r>
      <w:r>
        <w:t xml:space="preserve"> </w:t>
      </w:r>
      <w:r>
        <w:t xml:space="preserve">“</w:t>
      </w:r>
      <w:r>
        <w:t xml:space="preserve">irrevocable compact,</w:t>
      </w:r>
      <w:r>
        <w:t xml:space="preserve">”</w:t>
      </w:r>
      <w:r>
        <w:t xml:space="preserve"> </w:t>
      </w:r>
      <w:r>
        <w:t xml:space="preserve">a</w:t>
      </w:r>
      <w:r>
        <w:t xml:space="preserve"> </w:t>
      </w:r>
      <w:r>
        <w:t xml:space="preserve">“</w:t>
      </w:r>
      <w:r>
        <w:t xml:space="preserve">solemn agreement,</w:t>
      </w:r>
      <w:r>
        <w:t xml:space="preserve">”</w:t>
      </w:r>
      <w:r>
        <w:t xml:space="preserve"> </w:t>
      </w:r>
      <w:r>
        <w:t xml:space="preserve">and a</w:t>
      </w:r>
      <w:r>
        <w:t xml:space="preserve"> </w:t>
      </w:r>
      <w:r>
        <w:t xml:space="preserve">“</w:t>
      </w:r>
      <w:r>
        <w:t xml:space="preserve">contract</w:t>
      </w:r>
      <w:r>
        <w:t xml:space="preserve">”</w:t>
      </w:r>
      <w:r>
        <w:t xml:space="preserve">);</w:t>
      </w:r>
      <w:r>
        <w:t xml:space="preserve"> </w:t>
      </w:r>
      <w:r>
        <w:rPr>
          <w:b/>
        </w:rPr>
        <w:t xml:space="preserve">Oklahoma</w:t>
      </w:r>
      <w:r>
        <w:t xml:space="preserve"> </w:t>
      </w:r>
      <w:r>
        <w:t xml:space="preserve">—</w:t>
      </w:r>
      <w:r>
        <w:t xml:space="preserve"> </w:t>
      </w:r>
      <w:r>
        <w:rPr>
          <w:i/>
        </w:rPr>
        <w:t xml:space="preserve">Oklahoma Education Ass’n, Inc. v. Nigh</w:t>
      </w:r>
      <w:r>
        <w:t xml:space="preserve">, 642 P.2d 230 (Okla. 1982)</w:t>
      </w:r>
      <w:r>
        <w:t xml:space="preserve"> </w:t>
      </w:r>
      <w:r>
        <w:t xml:space="preserve">[@nigh-1982]</w:t>
      </w:r>
      <w:r>
        <w:t xml:space="preserve"> </w:t>
      </w:r>
      <w:r>
        <w:t xml:space="preserve">(a perpetual covenant binding successive legislatures);</w:t>
      </w:r>
      <w:r>
        <w:t xml:space="preserve"> </w:t>
      </w:r>
      <w:r>
        <w:rPr>
          <w:b/>
        </w:rPr>
        <w:t xml:space="preserve">Utah (federal)</w:t>
      </w:r>
      <w:r>
        <w:t xml:space="preserve"> </w:t>
      </w:r>
      <w:r>
        <w:t xml:space="preserve">—</w:t>
      </w:r>
      <w:r>
        <w:t xml:space="preserve"> </w:t>
      </w:r>
      <w:r>
        <w:rPr>
          <w:i/>
        </w:rPr>
        <w:t xml:space="preserve">State of Utah v. Kleppe</w:t>
      </w:r>
      <w:r>
        <w:t xml:space="preserve">, 586 F.2d 756 (10th Cir. 1978)</w:t>
      </w:r>
      <w:r>
        <w:t xml:space="preserve"> </w:t>
      </w:r>
      <w:r>
        <w:t xml:space="preserve">[@kleppe-1978]</w:t>
      </w:r>
      <w:r>
        <w:t xml:space="preserve"> </w:t>
      </w:r>
      <w:r>
        <w:t xml:space="preserve">(the program</w:t>
      </w:r>
      <w:r>
        <w:t xml:space="preserve"> </w:t>
      </w:r>
      <w:r>
        <w:t xml:space="preserve">“</w:t>
      </w:r>
      <w:r>
        <w:t xml:space="preserve">bilateral in effect</w:t>
      </w:r>
      <w:r>
        <w:t xml:space="preserve">”</w:t>
      </w:r>
      <w:r>
        <w:t xml:space="preserve">);</w:t>
      </w:r>
      <w:r>
        <w:t xml:space="preserve"> </w:t>
      </w:r>
      <w:r>
        <w:rPr>
          <w:b/>
        </w:rPr>
        <w:t xml:space="preserve">Oregon</w:t>
      </w:r>
      <w:r>
        <w:t xml:space="preserve"> </w:t>
      </w:r>
      <w:r>
        <w:t xml:space="preserve">—</w:t>
      </w:r>
      <w:r>
        <w:t xml:space="preserve"> </w:t>
      </w:r>
      <w:r>
        <w:rPr>
          <w:i/>
        </w:rPr>
        <w:t xml:space="preserve">Cascadia Wildlands v. Department of State Lands</w:t>
      </w:r>
      <w:r>
        <w:t xml:space="preserve">, 365 Or 750, 758 (2019)</w:t>
      </w:r>
      <w:r>
        <w:t xml:space="preserve"> </w:t>
      </w:r>
      <w:r>
        <w:t xml:space="preserve">[@cascadia-2019]</w:t>
      </w:r>
      <w:r>
        <w:t xml:space="preserve"> </w:t>
      </w:r>
      <w:r>
        <w:t xml:space="preserve">(quoting the obligatory clause and giving it operative significance).</w:t>
      </w:r>
    </w:p>
  </w:footnote>
  <w:footnote w:id="117">
    <w:p>
      <w:pPr>
        <w:pStyle w:val="FootnoteText"/>
      </w:pPr>
      <w:r>
        <w:rPr>
          <w:rStyle w:val="FootnoteReference"/>
        </w:rPr>
        <w:footnoteRef/>
      </w:r>
      <w:r>
        <w:t xml:space="preserve"> </w:t>
      </w:r>
      <w:r>
        <w:t xml:space="preserve">Mont. Const. art. X, § 3</w:t>
      </w:r>
      <w:r>
        <w:t xml:space="preserve"> </w:t>
      </w:r>
      <w:r>
        <w:t xml:space="preserve">[@const-mt-art10]</w:t>
      </w:r>
      <w:r>
        <w:t xml:space="preserve"> </w:t>
      </w:r>
      <w:r>
        <w:t xml:space="preserve">(the fund shall</w:t>
      </w:r>
      <w:r>
        <w:t xml:space="preserve"> </w:t>
      </w:r>
      <w:r>
        <w:t xml:space="preserve">“</w:t>
      </w:r>
      <w:r>
        <w:t xml:space="preserve">forever remain inviolate, guaranteed by the state against loss or diversion</w:t>
      </w:r>
      <w:r>
        <w:t xml:space="preserve">”</w:t>
      </w:r>
      <w:r>
        <w:t xml:space="preserve">).</w:t>
      </w:r>
    </w:p>
  </w:footnote>
  <w:footnote w:id="118">
    <w:p>
      <w:pPr>
        <w:pStyle w:val="FootnoteText"/>
      </w:pPr>
      <w:r>
        <w:rPr>
          <w:rStyle w:val="FootnoteReference"/>
        </w:rPr>
        <w:footnoteRef/>
      </w:r>
      <w:r>
        <w:t xml:space="preserve"> </w:t>
      </w:r>
      <w:r>
        <w:t xml:space="preserve">Permanent-fund and inviolability clauses, collected by state:</w:t>
      </w:r>
      <w:r>
        <w:t xml:space="preserve"> </w:t>
      </w:r>
      <w:r>
        <w:rPr>
          <w:b/>
        </w:rPr>
        <w:t xml:space="preserve">Idaho</w:t>
      </w:r>
      <w:r>
        <w:t xml:space="preserve"> </w:t>
      </w:r>
      <w:r>
        <w:t xml:space="preserve">— Idaho Const. art. IX, § 4</w:t>
      </w:r>
      <w:r>
        <w:t xml:space="preserve"> </w:t>
      </w:r>
      <w:r>
        <w:t xml:space="preserve">[@const-id-art9]</w:t>
      </w:r>
      <w:r>
        <w:t xml:space="preserve"> </w:t>
      </w:r>
      <w:r>
        <w:t xml:space="preserve">(inviolate endowment fund; income only distributable);</w:t>
      </w:r>
      <w:r>
        <w:t xml:space="preserve"> </w:t>
      </w:r>
      <w:r>
        <w:rPr>
          <w:b/>
        </w:rPr>
        <w:t xml:space="preserve">Nebraska</w:t>
      </w:r>
      <w:r>
        <w:t xml:space="preserve"> </w:t>
      </w:r>
      <w:r>
        <w:t xml:space="preserve">— Neb. Const. art. VII, § 9</w:t>
      </w:r>
      <w:r>
        <w:t xml:space="preserve"> </w:t>
      </w:r>
      <w:r>
        <w:t xml:space="preserve">[@const-ne-art7]</w:t>
      </w:r>
      <w:r>
        <w:t xml:space="preserve"> </w:t>
      </w:r>
      <w:r>
        <w:t xml:space="preserve">(perpetual school fund; renumbering across compilations noted in the source files);</w:t>
      </w:r>
      <w:r>
        <w:t xml:space="preserve"> </w:t>
      </w:r>
      <w:r>
        <w:rPr>
          <w:b/>
        </w:rPr>
        <w:t xml:space="preserve">New Mexico</w:t>
      </w:r>
      <w:r>
        <w:t xml:space="preserve"> </w:t>
      </w:r>
      <w:r>
        <w:t xml:space="preserve">— N.M. Const. art. XII</w:t>
      </w:r>
      <w:r>
        <w:t xml:space="preserve"> </w:t>
      </w:r>
      <w:r>
        <w:t xml:space="preserve">[@const-nm-art12]</w:t>
      </w:r>
      <w:r>
        <w:t xml:space="preserve"> </w:t>
      </w:r>
      <w:r>
        <w:t xml:space="preserve">(Land Grant Permanent Fund);</w:t>
      </w:r>
      <w:r>
        <w:t xml:space="preserve"> </w:t>
      </w:r>
      <w:r>
        <w:rPr>
          <w:b/>
        </w:rPr>
        <w:t xml:space="preserve">Oregon</w:t>
      </w:r>
      <w:r>
        <w:t xml:space="preserve"> </w:t>
      </w:r>
      <w:r>
        <w:t xml:space="preserve">— Or. Const. art. VIII, § 2</w:t>
      </w:r>
      <w:r>
        <w:t xml:space="preserve"> </w:t>
      </w:r>
      <w:r>
        <w:t xml:space="preserve">[@const-or-art8]</w:t>
      </w:r>
      <w:r>
        <w:t xml:space="preserve"> </w:t>
      </w:r>
      <w:r>
        <w:t xml:space="preserve">(Common School Fund) [VERIFY exact inviolability wording];</w:t>
      </w:r>
      <w:r>
        <w:t xml:space="preserve"> </w:t>
      </w:r>
      <w:r>
        <w:rPr>
          <w:b/>
        </w:rPr>
        <w:t xml:space="preserve">Alaska</w:t>
      </w:r>
      <w:r>
        <w:t xml:space="preserve"> </w:t>
      </w:r>
      <w:r>
        <w:t xml:space="preserve">— Alaska Const. art. IX, § 15</w:t>
      </w:r>
      <w:r>
        <w:t xml:space="preserve"> </w:t>
      </w:r>
      <w:r>
        <w:t xml:space="preserve">[@const-ak-art9]</w:t>
      </w:r>
      <w:r>
        <w:t xml:space="preserve"> </w:t>
      </w:r>
      <w:r>
        <w:t xml:space="preserve">(Permanent Fund; see text for the structural caveat);</w:t>
      </w:r>
      <w:r>
        <w:t xml:space="preserve"> </w:t>
      </w:r>
      <w:r>
        <w:rPr>
          <w:b/>
        </w:rPr>
        <w:t xml:space="preserve">Colorado</w:t>
      </w:r>
      <w:r>
        <w:t xml:space="preserve"> </w:t>
      </w:r>
      <w:r>
        <w:t xml:space="preserve">— Enabling Act of Mar. 3, 1875, 18 Stat. 474</w:t>
      </w:r>
      <w:r>
        <w:t xml:space="preserve"> </w:t>
      </w:r>
      <w:r>
        <w:t xml:space="preserve">[@act-colorado-1875]</w:t>
      </w:r>
      <w:r>
        <w:t xml:space="preserve"> </w:t>
      </w:r>
      <w:r>
        <w:t xml:space="preserve">(proceeds held in a permanent fund and subject to inviolability, accepted by the 1876 Constitution).</w:t>
      </w:r>
    </w:p>
  </w:footnote>
  <w:footnote w:id="119">
    <w:p>
      <w:pPr>
        <w:pStyle w:val="FootnoteText"/>
      </w:pPr>
      <w:r>
        <w:rPr>
          <w:rStyle w:val="FootnoteReference"/>
        </w:rPr>
        <w:footnoteRef/>
      </w:r>
      <w:r>
        <w:t xml:space="preserve"> </w:t>
      </w:r>
      <w:r>
        <w:rPr>
          <w:i/>
        </w:rPr>
        <w:t xml:space="preserve">Oklahoma Education Ass’n, Inc. v. Nigh</w:t>
      </w:r>
      <w:r>
        <w:t xml:space="preserve">, 642 P.2d 230 (Okla. 1982)</w:t>
      </w:r>
      <w:r>
        <w:t xml:space="preserve"> </w:t>
      </w:r>
      <w:r>
        <w:t xml:space="preserve">[@nigh-1982]</w:t>
      </w:r>
      <w:r>
        <w:t xml:space="preserve"> </w:t>
      </w:r>
      <w:r>
        <w:t xml:space="preserve">[642 P.2d at 236; L0-verified 2026-06-09 against the full opinion, CourtListener id 1187033].</w:t>
      </w:r>
    </w:p>
  </w:footnote>
  <w:footnote w:id="120">
    <w:p>
      <w:pPr>
        <w:pStyle w:val="FootnoteText"/>
      </w:pPr>
      <w:r>
        <w:rPr>
          <w:rStyle w:val="FootnoteReference"/>
        </w:rPr>
        <w:footnoteRef/>
      </w:r>
      <w:r>
        <w:t xml:space="preserve"> </w:t>
      </w:r>
      <w:r>
        <w:rPr>
          <w:i/>
        </w:rPr>
        <w:t xml:space="preserve">State ex rel. Ebke v. Board of Educational Lands &amp; Funds</w:t>
      </w:r>
      <w:r>
        <w:t xml:space="preserve">, 154 Neb. 244, 47 N.W.2d 520 (1951)</w:t>
      </w:r>
      <w:r>
        <w:t xml:space="preserve"> </w:t>
      </w:r>
      <w:r>
        <w:t xml:space="preserve">[@ebke-1951]</w:t>
      </w:r>
      <w:r>
        <w:t xml:space="preserve">; the accord collection for the incorporation rule is maintained at § 4.3 and is not duplicated here.</w:t>
      </w:r>
    </w:p>
  </w:footnote>
  <w:footnote w:id="121">
    <w:p>
      <w:pPr>
        <w:pStyle w:val="FootnoteText"/>
      </w:pPr>
      <w:r>
        <w:rPr>
          <w:rStyle w:val="FootnoteReference"/>
        </w:rPr>
        <w:footnoteRef/>
      </w:r>
      <w:r>
        <w:t xml:space="preserve"> </w:t>
      </w:r>
      <w:r>
        <w:t xml:space="preserve">Alaska Const. art. IX, § 15</w:t>
      </w:r>
      <w:r>
        <w:t xml:space="preserve"> </w:t>
      </w:r>
      <w:r>
        <w:t xml:space="preserve">[@const-ak-art9]</w:t>
      </w:r>
      <w:r>
        <w:t xml:space="preserve">; Alaska Statehood Act of July 7, 1958, Pub. L. 85-508, 72 Stat. 339</w:t>
      </w:r>
      <w:r>
        <w:t xml:space="preserve"> </w:t>
      </w:r>
      <w:r>
        <w:t xml:space="preserve">[@act-alaska-1958]</w:t>
      </w:r>
      <w:r>
        <w:t xml:space="preserve">. Where the 1958 act created discrete trusts, the Alaska Supreme Court has enforced them emphatically; see § 2.6 and Chapter 4.</w:t>
      </w:r>
    </w:p>
  </w:footnote>
  <w:footnote w:id="122">
    <w:p>
      <w:pPr>
        <w:pStyle w:val="FootnoteText"/>
      </w:pPr>
      <w:r>
        <w:rPr>
          <w:rStyle w:val="FootnoteReference"/>
        </w:rPr>
        <w:footnoteRef/>
      </w:r>
      <w:r>
        <w:t xml:space="preserve"> </w:t>
      </w:r>
      <w:r>
        <w:rPr>
          <w:i/>
        </w:rPr>
        <w:t xml:space="preserve">Johnson v. Department of Revenue</w:t>
      </w:r>
      <w:r>
        <w:t xml:space="preserve">, 292 Or 373 (1982)</w:t>
      </w:r>
      <w:r>
        <w:t xml:space="preserve"> </w:t>
      </w:r>
      <w:r>
        <w:t xml:space="preserve">[@johnson-1982]</w:t>
      </w:r>
      <w:r>
        <w:t xml:space="preserve"> </w:t>
      </w:r>
      <w:r>
        <w:t xml:space="preserve">(</w:t>
      </w:r>
      <w:r>
        <w:t xml:space="preserve">“</w:t>
      </w:r>
      <w:r>
        <w:t xml:space="preserve">sections 2 and 5 [of the Constitution] would not necessarily restrict the use of funds deriving from state lands other than those listed in section 2,</w:t>
      </w:r>
      <w:r>
        <w:t xml:space="preserve">”</w:t>
      </w:r>
      <w:r>
        <w:t xml:space="preserve"> </w:t>
      </w:r>
      <w:r>
        <w:t xml:space="preserve">as quoted in</w:t>
      </w:r>
      <w:r>
        <w:t xml:space="preserve"> </w:t>
      </w:r>
      <w:r>
        <w:rPr>
          <w:i/>
        </w:rPr>
        <w:t xml:space="preserve">Cascadia Wildlands v. Department of State Lands</w:t>
      </w:r>
      <w:r>
        <w:t xml:space="preserve">, 365 Or 750 (2019)</w:t>
      </w:r>
      <w:r>
        <w:t xml:space="preserve"> </w:t>
      </w:r>
      <w:r>
        <w:t xml:space="preserve">[@cascadia-2019]</w:t>
      </w:r>
      <w:r>
        <w:t xml:space="preserve">).</w:t>
      </w:r>
    </w:p>
  </w:footnote>
  <w:footnote w:id="123">
    <w:p>
      <w:pPr>
        <w:pStyle w:val="FootnoteText"/>
      </w:pPr>
      <w:r>
        <w:rPr>
          <w:rStyle w:val="FootnoteReference"/>
        </w:rPr>
        <w:footnoteRef/>
      </w:r>
      <w:r>
        <w:t xml:space="preserve"> </w:t>
      </w:r>
      <w:r>
        <w:t xml:space="preserve">46 Op Atty Gen 208 (Op. 8201) (Or. 1989)</w:t>
      </w:r>
      <w:r>
        <w:t xml:space="preserve"> </w:t>
      </w:r>
      <w:r>
        <w:t xml:space="preserve">[@ag-or-8201-1989]</w:t>
      </w:r>
      <w:r>
        <w:t xml:space="preserve"> </w:t>
      </w:r>
      <w:r>
        <w:t xml:space="preserve">(two-tier management: constitutional Common School Fund assets require a net-financial-benefit finding; equal-footing lands receive</w:t>
      </w:r>
      <w:r>
        <w:t xml:space="preserve"> </w:t>
      </w:r>
      <w:r>
        <w:t xml:space="preserve">“</w:t>
      </w:r>
      <w:r>
        <w:t xml:space="preserve">wide latitude</w:t>
      </w:r>
      <w:r>
        <w:t xml:space="preserve">”</w:t>
      </w:r>
      <w:r>
        <w:t xml:space="preserve">); see also OP 8281 (Or. 2005)</w:t>
      </w:r>
      <w:r>
        <w:t xml:space="preserve"> </w:t>
      </w:r>
      <w:r>
        <w:t xml:space="preserve">[@ag-or-8281-2005]</w:t>
      </w:r>
      <w:r>
        <w:t xml:space="preserve"> </w:t>
      </w:r>
      <w:r>
        <w:t xml:space="preserve">(state ownership of waterways; the equal-footing versus Admission-Act distinction). Accord authorities from other states not yet collected; see Architecture § C, verification wave 2.</w:t>
      </w:r>
    </w:p>
  </w:footnote>
  <w:footnote w:id="125">
    <w:p>
      <w:pPr>
        <w:pStyle w:val="FootnoteText"/>
      </w:pPr>
      <w:r>
        <w:rPr>
          <w:rStyle w:val="FootnoteReference"/>
        </w:rPr>
        <w:footnoteRef/>
      </w:r>
      <w:r>
        <w:t xml:space="preserve"> </w:t>
      </w:r>
      <w:r>
        <w:t xml:space="preserve">Idaho Const. art. IX, § 8</w:t>
      </w:r>
      <w:r>
        <w:t xml:space="preserve"> </w:t>
      </w:r>
      <w:r>
        <w:t xml:space="preserve">[@const-id-art9]</w:t>
      </w:r>
      <w:r>
        <w:t xml:space="preserve">;</w:t>
      </w:r>
      <w:r>
        <w:t xml:space="preserve"> </w:t>
      </w:r>
      <w:r>
        <w:rPr>
          <w:i/>
        </w:rPr>
        <w:t xml:space="preserve">Idaho Watersheds Project v. State Board of Land Commissioners (IWP II)</w:t>
      </w:r>
      <w:r>
        <w:t xml:space="preserve">, 133 Idaho 64, 982 P.2d 367 (1999)</w:t>
      </w:r>
      <w:r>
        <w:t xml:space="preserve"> </w:t>
      </w:r>
      <w:r>
        <w:t xml:space="preserve">[@idaho-watersheds-ii-1999]</w:t>
      </w:r>
      <w:r>
        <w:t xml:space="preserve"> </w:t>
      </w:r>
      <w:r>
        <w:t xml:space="preserve">(the Idaho Code § 58-310B invalidation described in text; the companion original proceeding,</w:t>
      </w:r>
      <w:r>
        <w:t xml:space="preserve"> </w:t>
      </w:r>
      <w:r>
        <w:rPr>
          <w:i/>
        </w:rPr>
        <w:t xml:space="preserve">Idaho Watersheds Project v. State Board of Land Commissioners</w:t>
      </w:r>
      <w:r>
        <w:t xml:space="preserve">, 133 Idaho 55, 982 P.2d 358 (1999)</w:t>
      </w:r>
      <w:r>
        <w:t xml:space="preserve"> </w:t>
      </w:r>
      <w:r>
        <w:t xml:space="preserve">[@idaho-watersheds-1999]</w:t>
      </w:r>
      <w:r>
        <w:t xml:space="preserve">, is the H.J.R. 6 single-subject writ matter).</w:t>
      </w:r>
    </w:p>
  </w:footnote>
  <w:footnote w:id="126">
    <w:p>
      <w:pPr>
        <w:pStyle w:val="FootnoteText"/>
      </w:pPr>
      <w:r>
        <w:rPr>
          <w:rStyle w:val="FootnoteReference"/>
        </w:rPr>
        <w:footnoteRef/>
      </w:r>
      <w:r>
        <w:t xml:space="preserve"> </w:t>
      </w:r>
      <w:r>
        <w:t xml:space="preserve">Management-mandate constructions, collected by state:</w:t>
      </w:r>
      <w:r>
        <w:t xml:space="preserve"> </w:t>
      </w:r>
      <w:r>
        <w:rPr>
          <w:b/>
        </w:rPr>
        <w:t xml:space="preserve">Idaho</w:t>
      </w:r>
      <w:r>
        <w:t xml:space="preserve"> </w:t>
      </w:r>
      <w:r>
        <w:t xml:space="preserve">—</w:t>
      </w:r>
      <w:r>
        <w:t xml:space="preserve"> </w:t>
      </w:r>
      <w:r>
        <w:rPr>
          <w:i/>
        </w:rPr>
        <w:t xml:space="preserve">Idaho Watersheds Project (IWP II)</w:t>
      </w:r>
      <w:r>
        <w:t xml:space="preserve">, 133 Idaho 64 (1999)</w:t>
      </w:r>
      <w:r>
        <w:t xml:space="preserve"> </w:t>
      </w:r>
      <w:r>
        <w:t xml:space="preserve">[@idaho-watersheds-ii-1999]</w:t>
      </w:r>
      <w:r>
        <w:t xml:space="preserve"> </w:t>
      </w:r>
      <w:r>
        <w:t xml:space="preserve">(Idaho Code § 58-310B invalid for directing the trustee toward non-beneficiary interests);</w:t>
      </w:r>
      <w:r>
        <w:t xml:space="preserve"> </w:t>
      </w:r>
      <w:r>
        <w:rPr>
          <w:b/>
        </w:rPr>
        <w:t xml:space="preserve">Oklahoma</w:t>
      </w:r>
      <w:r>
        <w:t xml:space="preserve"> </w:t>
      </w:r>
      <w:r>
        <w:t xml:space="preserve">—</w:t>
      </w:r>
      <w:r>
        <w:t xml:space="preserve"> </w:t>
      </w:r>
      <w:r>
        <w:rPr>
          <w:i/>
        </w:rPr>
        <w:t xml:space="preserve">Nigh</w:t>
      </w:r>
      <w:r>
        <w:t xml:space="preserve">, 642 P.2d 230 (Okla. 1982)</w:t>
      </w:r>
      <w:r>
        <w:t xml:space="preserve"> </w:t>
      </w:r>
      <w:r>
        <w:t xml:space="preserve">[@nigh-1982]</w:t>
      </w:r>
      <w:r>
        <w:t xml:space="preserve"> </w:t>
      </w:r>
      <w:r>
        <w:t xml:space="preserve">(maximum-benefit standard; no act of the legislature can diminish the trustee duty);</w:t>
      </w:r>
      <w:r>
        <w:t xml:space="preserve"> </w:t>
      </w:r>
      <w:r>
        <w:rPr>
          <w:b/>
        </w:rPr>
        <w:t xml:space="preserve">Oregon</w:t>
      </w:r>
      <w:r>
        <w:t xml:space="preserve"> </w:t>
      </w:r>
      <w:r>
        <w:t xml:space="preserve">—</w:t>
      </w:r>
      <w:r>
        <w:t xml:space="preserve"> </w:t>
      </w:r>
      <w:r>
        <w:rPr>
          <w:i/>
        </w:rPr>
        <w:t xml:space="preserve">Johnson</w:t>
      </w:r>
      <w:r>
        <w:t xml:space="preserve">, 292 Or 373, 382 (1982)</w:t>
      </w:r>
      <w:r>
        <w:t xml:space="preserve"> </w:t>
      </w:r>
      <w:r>
        <w:t xml:space="preserve">[@johnson-1982]</w:t>
      </w:r>
      <w:r>
        <w:t xml:space="preserve"> </w:t>
      </w:r>
      <w:r>
        <w:t xml:space="preserve">and</w:t>
      </w:r>
      <w:r>
        <w:t xml:space="preserve"> </w:t>
      </w:r>
      <w:r>
        <w:rPr>
          <w:i/>
        </w:rPr>
        <w:t xml:space="preserve">Cascadia Wildlands</w:t>
      </w:r>
      <w:r>
        <w:t xml:space="preserve">, 365 Or 750, 766 (2019)</w:t>
      </w:r>
      <w:r>
        <w:t xml:space="preserve"> </w:t>
      </w:r>
      <w:r>
        <w:t xml:space="preserve">[@cascadia-2019]</w:t>
      </w:r>
      <w:r>
        <w:t xml:space="preserve">, discussed in text;</w:t>
      </w:r>
      <w:r>
        <w:t xml:space="preserve"> </w:t>
      </w:r>
      <w:r>
        <w:rPr>
          <w:b/>
        </w:rPr>
        <w:t xml:space="preserve">Washington</w:t>
      </w:r>
      <w:r>
        <w:t xml:space="preserve"> </w:t>
      </w:r>
      <w:r>
        <w:t xml:space="preserve">—</w:t>
      </w:r>
      <w:r>
        <w:t xml:space="preserve"> </w:t>
      </w:r>
      <w:r>
        <w:rPr>
          <w:i/>
        </w:rPr>
        <w:t xml:space="preserve">County of Skamania v. State</w:t>
      </w:r>
      <w:r>
        <w:t xml:space="preserve">, 102 Wn.2d 127, 685 P.2d 576 (1984)</w:t>
      </w:r>
      <w:r>
        <w:t xml:space="preserve"> </w:t>
      </w:r>
      <w:r>
        <w:t xml:space="preserve">[@skamania-1984]</w:t>
      </w:r>
      <w:r>
        <w:t xml:space="preserve"> </w:t>
      </w:r>
      <w:r>
        <w:t xml:space="preserve">(full value on transfer of trust assets; the goal may not be sacrificed to other objectives</w:t>
      </w:r>
      <w:r>
        <w:t xml:space="preserve"> </w:t>
      </w:r>
      <w:r>
        <w:t xml:space="preserve">“</w:t>
      </w:r>
      <w:r>
        <w:t xml:space="preserve">no matter how laudable</w:t>
      </w:r>
      <w:r>
        <w:t xml:space="preserve">”</w:t>
      </w:r>
      <w:r>
        <w:t xml:space="preserve">).</w:t>
      </w:r>
    </w:p>
  </w:footnote>
  <w:footnote w:id="127">
    <w:p>
      <w:pPr>
        <w:pStyle w:val="FootnoteText"/>
      </w:pPr>
      <w:r>
        <w:rPr>
          <w:rStyle w:val="FootnoteReference"/>
        </w:rPr>
        <w:footnoteRef/>
      </w:r>
      <w:r>
        <w:t xml:space="preserve"> </w:t>
      </w:r>
      <w:r>
        <w:t xml:space="preserve">Or. Const. art. VIII, § 5(2)</w:t>
      </w:r>
      <w:r>
        <w:t xml:space="preserve"> </w:t>
      </w:r>
      <w:r>
        <w:t xml:space="preserve">[@const-or-art8]</w:t>
      </w:r>
      <w:r>
        <w:t xml:space="preserve">, quoted as carried in</w:t>
      </w:r>
      <w:r>
        <w:t xml:space="preserve"> </w:t>
      </w:r>
      <w:r>
        <w:rPr>
          <w:i/>
        </w:rPr>
        <w:t xml:space="preserve">Cascadia Wildlands</w:t>
      </w:r>
      <w:r>
        <w:t xml:space="preserve">, 365 Or 750, 766 (2019)</w:t>
      </w:r>
      <w:r>
        <w:t xml:space="preserve"> </w:t>
      </w:r>
      <w:r>
        <w:t xml:space="preserve">[@cascadia-2019]</w:t>
      </w:r>
      <w:r>
        <w:t xml:space="preserve">.</w:t>
      </w:r>
    </w:p>
  </w:footnote>
  <w:footnote w:id="128">
    <w:p>
      <w:pPr>
        <w:pStyle w:val="FootnoteText"/>
      </w:pPr>
      <w:r>
        <w:rPr>
          <w:rStyle w:val="FootnoteReference"/>
        </w:rPr>
        <w:footnoteRef/>
      </w:r>
      <w:r>
        <w:t xml:space="preserve"> </w:t>
      </w:r>
      <w:r>
        <w:rPr>
          <w:i/>
        </w:rPr>
        <w:t xml:space="preserve">Johnson v. Department of Revenue</w:t>
      </w:r>
      <w:r>
        <w:t xml:space="preserve">, 292 Or 373, 382 (1982)</w:t>
      </w:r>
      <w:r>
        <w:t xml:space="preserve"> </w:t>
      </w:r>
      <w:r>
        <w:t xml:space="preserve">[@johnson-1982]</w:t>
      </w:r>
      <w:r>
        <w:t xml:space="preserve">.</w:t>
      </w:r>
    </w:p>
  </w:footnote>
  <w:footnote w:id="129">
    <w:p>
      <w:pPr>
        <w:pStyle w:val="FootnoteText"/>
      </w:pPr>
      <w:r>
        <w:rPr>
          <w:rStyle w:val="FootnoteReference"/>
        </w:rPr>
        <w:footnoteRef/>
      </w:r>
      <w:r>
        <w:t xml:space="preserve"> </w:t>
      </w:r>
      <w:r>
        <w:rPr>
          <w:i/>
        </w:rPr>
        <w:t xml:space="preserve">Cascadia Wildlands v. Department of State Lands</w:t>
      </w:r>
      <w:r>
        <w:t xml:space="preserve">, 365 Or 750, 766-67 (2019)</w:t>
      </w:r>
      <w:r>
        <w:t xml:space="preserve"> </w:t>
      </w:r>
      <w:r>
        <w:t xml:space="preserve">[@cascadia-2019]</w:t>
      </w:r>
      <w:r>
        <w:t xml:space="preserve">.</w:t>
      </w:r>
    </w:p>
  </w:footnote>
  <w:footnote w:id="130">
    <w:p>
      <w:pPr>
        <w:pStyle w:val="FootnoteText"/>
      </w:pPr>
      <w:r>
        <w:rPr>
          <w:rStyle w:val="FootnoteReference"/>
        </w:rPr>
        <w:footnoteRef/>
      </w:r>
      <w:r>
        <w:t xml:space="preserve"> </w:t>
      </w:r>
      <w:r>
        <w:t xml:space="preserve">43 Op Atty Gen 140 (Op. 8135) (Or. 1983)</w:t>
      </w:r>
      <w:r>
        <w:t xml:space="preserve"> </w:t>
      </w:r>
      <w:r>
        <w:t xml:space="preserve">[@ag-or-8135-1983]</w:t>
      </w:r>
      <w:r>
        <w:t xml:space="preserve">; accord 46 Op Atty Gen 468 (Op. 8223) (Or. July 24, 1992)</w:t>
      </w:r>
      <w:r>
        <w:t xml:space="preserve"> </w:t>
      </w:r>
      <w:r>
        <w:t xml:space="preserve">[@ag-or-8223-1992]</w:t>
      </w:r>
      <w:r>
        <w:t xml:space="preserve"> </w:t>
      </w:r>
      <w:r>
        <w:t xml:space="preserve">(Crookham, A.G.) (</w:t>
      </w:r>
      <w:r>
        <w:t xml:space="preserve">“</w:t>
      </w:r>
      <w:r>
        <w:t xml:space="preserve">The important point is that the obligations are binding. They cannot be disregarded.</w:t>
      </w:r>
      <w:r>
        <w:t xml:space="preserve">”</w:t>
      </w:r>
      <w:r>
        <w:t xml:space="preserve">) (signatory and quotation confirmed against the L0 PDF, which is signed CHARLES S. CROOKHAM, Attorney General). Parallel attorney-general canons in the other trust states have not yet been surveyed; the twenty-state AG-opinion sweep is Register G-7.</w:t>
      </w:r>
    </w:p>
  </w:footnote>
  <w:footnote w:id="132">
    <w:p>
      <w:pPr>
        <w:pStyle w:val="FootnoteText"/>
      </w:pPr>
      <w:r>
        <w:rPr>
          <w:rStyle w:val="FootnoteReference"/>
        </w:rPr>
        <w:footnoteRef/>
      </w:r>
      <w:r>
        <w:t xml:space="preserve"> </w:t>
      </w:r>
      <w:r>
        <w:t xml:space="preserve">Or. Const. art. VIII, § 5</w:t>
      </w:r>
      <w:r>
        <w:t xml:space="preserve"> </w:t>
      </w:r>
      <w:r>
        <w:t xml:space="preserve">[@const-or-art8]</w:t>
      </w:r>
      <w:r>
        <w:t xml:space="preserve">, as construed in</w:t>
      </w:r>
      <w:r>
        <w:t xml:space="preserve"> </w:t>
      </w:r>
      <w:r>
        <w:rPr>
          <w:i/>
        </w:rPr>
        <w:t xml:space="preserve">Johnson v. Department of Revenue</w:t>
      </w:r>
      <w:r>
        <w:t xml:space="preserve">, 292 Or 373, 382 (1982)</w:t>
      </w:r>
      <w:r>
        <w:t xml:space="preserve"> </w:t>
      </w:r>
      <w:r>
        <w:t xml:space="preserve">[@johnson-1982]</w:t>
      </w:r>
      <w:r>
        <w:t xml:space="preserve"> </w:t>
      </w:r>
      <w:r>
        <w:t xml:space="preserve">(quoted in</w:t>
      </w:r>
      <w:r>
        <w:t xml:space="preserve"> </w:t>
      </w:r>
      <w:r>
        <w:rPr>
          <w:i/>
        </w:rPr>
        <w:t xml:space="preserve">Cascadia Wildlands</w:t>
      </w:r>
      <w:r>
        <w:t xml:space="preserve">, 365 Or 750 (2019)</w:t>
      </w:r>
      <w:r>
        <w:t xml:space="preserve"> </w:t>
      </w:r>
      <w:r>
        <w:t xml:space="preserve">[@cascadia-2019]</w:t>
      </w:r>
      <w:r>
        <w:t xml:space="preserve">);</w:t>
      </w:r>
      <w:r>
        <w:t xml:space="preserve"> </w:t>
      </w:r>
      <w:r>
        <w:rPr>
          <w:i/>
        </w:rPr>
        <w:t xml:space="preserve">Robertson v. State Land Board</w:t>
      </w:r>
      <w:r>
        <w:t xml:space="preserve">, 42 Or 183 (1902)</w:t>
      </w:r>
      <w:r>
        <w:t xml:space="preserve"> </w:t>
      </w:r>
      <w:r>
        <w:t xml:space="preserve">[@robertson-geer-1902]</w:t>
      </w:r>
      <w:r>
        <w:t xml:space="preserve"> </w:t>
      </w:r>
      <w:r>
        <w:t xml:space="preserve">(the Board’s historical holding and management of the lands; caption corrected 2026-06-07 against the held primary — earlier files carried</w:t>
      </w:r>
      <w:r>
        <w:t xml:space="preserve"> </w:t>
      </w:r>
      <w:r>
        <w:t xml:space="preserve">“</w:t>
      </w:r>
      <w:r>
        <w:t xml:space="preserve">Robertson v. Geer</w:t>
      </w:r>
      <w:r>
        <w:t xml:space="preserve">”</w:t>
      </w:r>
      <w:r>
        <w:t xml:space="preserve">).</w:t>
      </w:r>
    </w:p>
  </w:footnote>
  <w:footnote w:id="133">
    <w:p>
      <w:pPr>
        <w:pStyle w:val="FootnoteText"/>
      </w:pPr>
      <w:r>
        <w:rPr>
          <w:rStyle w:val="FootnoteReference"/>
        </w:rPr>
        <w:footnoteRef/>
      </w:r>
      <w:r>
        <w:t xml:space="preserve"> </w:t>
      </w:r>
      <w:r>
        <w:t xml:space="preserve">Administering bodies, collected by state:</w:t>
      </w:r>
      <w:r>
        <w:t xml:space="preserve"> </w:t>
      </w:r>
      <w:r>
        <w:rPr>
          <w:b/>
        </w:rPr>
        <w:t xml:space="preserve">Colorado</w:t>
      </w:r>
      <w:r>
        <w:t xml:space="preserve"> </w:t>
      </w:r>
      <w:r>
        <w:t xml:space="preserve">— State Board of Land Commissioners, established as a constitutional body by the 1876 Constitution; see</w:t>
      </w:r>
      <w:r>
        <w:t xml:space="preserve"> </w:t>
      </w:r>
      <w:r>
        <w:rPr>
          <w:i/>
        </w:rPr>
        <w:t xml:space="preserve">Branson School District RE-82 v. Romer</w:t>
      </w:r>
      <w:r>
        <w:t xml:space="preserve">, 958 F. Supp. 1501 (D. Colo. 1997), aff’d, 161 F.3d 619 (10th Cir. 1998)</w:t>
      </w:r>
      <w:r>
        <w:t xml:space="preserve"> </w:t>
      </w:r>
      <w:r>
        <w:t xml:space="preserve">[@branson-1998]</w:t>
      </w:r>
      <w:r>
        <w:t xml:space="preserve">;</w:t>
      </w:r>
      <w:r>
        <w:t xml:space="preserve"> </w:t>
      </w:r>
      <w:r>
        <w:rPr>
          <w:b/>
        </w:rPr>
        <w:t xml:space="preserve">Montana</w:t>
      </w:r>
      <w:r>
        <w:t xml:space="preserve"> </w:t>
      </w:r>
      <w:r>
        <w:t xml:space="preserve">— State Board of Land Commissioners, with the Department of Natural Resources and Conservation as administrative arm;</w:t>
      </w:r>
      <w:r>
        <w:t xml:space="preserve"> </w:t>
      </w:r>
      <w:r>
        <w:rPr>
          <w:b/>
        </w:rPr>
        <w:t xml:space="preserve">Nebraska</w:t>
      </w:r>
      <w:r>
        <w:t xml:space="preserve"> </w:t>
      </w:r>
      <w:r>
        <w:t xml:space="preserve">— Board of Educational Lands and Funds (historical; subsequent administrative arrangements noted in the source files as shifted [VERIFY current arrangement]);</w:t>
      </w:r>
      <w:r>
        <w:t xml:space="preserve"> </w:t>
      </w:r>
      <w:r>
        <w:rPr>
          <w:b/>
        </w:rPr>
        <w:t xml:space="preserve">New Mexico</w:t>
      </w:r>
      <w:r>
        <w:t xml:space="preserve"> </w:t>
      </w:r>
      <w:r>
        <w:t xml:space="preserve">— Commissioner of Public Lands, N.M. Const. art. XIII, § 1</w:t>
      </w:r>
      <w:r>
        <w:t xml:space="preserve"> </w:t>
      </w:r>
      <w:r>
        <w:t xml:space="preserve">[@const-nm-art13]</w:t>
      </w:r>
      <w:r>
        <w:t xml:space="preserve">;</w:t>
      </w:r>
      <w:r>
        <w:t xml:space="preserve"> </w:t>
      </w:r>
      <w:r>
        <w:rPr>
          <w:b/>
        </w:rPr>
        <w:t xml:space="preserve">South Dakota</w:t>
      </w:r>
      <w:r>
        <w:t xml:space="preserve"> </w:t>
      </w:r>
      <w:r>
        <w:t xml:space="preserve">— elected Commissioner of School and Public Lands, heading the Office of School and Public Lands;</w:t>
      </w:r>
      <w:r>
        <w:t xml:space="preserve"> </w:t>
      </w:r>
      <w:r>
        <w:rPr>
          <w:b/>
        </w:rPr>
        <w:t xml:space="preserve">Utah</w:t>
      </w:r>
      <w:r>
        <w:t xml:space="preserve"> </w:t>
      </w:r>
      <w:r>
        <w:t xml:space="preserve">— SITLA / SITFO (statutory single-purpose design; Chapter 19);</w:t>
      </w:r>
      <w:r>
        <w:t xml:space="preserve"> </w:t>
      </w:r>
      <w:r>
        <w:rPr>
          <w:b/>
        </w:rPr>
        <w:t xml:space="preserve">Oklahoma</w:t>
      </w:r>
      <w:r>
        <w:t xml:space="preserve"> </w:t>
      </w:r>
      <w:r>
        <w:t xml:space="preserve">— Commissioners of the Land Office.</w:t>
      </w:r>
    </w:p>
  </w:footnote>
  <w:footnote w:id="134">
    <w:p>
      <w:pPr>
        <w:pStyle w:val="FootnoteText"/>
      </w:pPr>
      <w:r>
        <w:rPr>
          <w:rStyle w:val="FootnoteReference"/>
        </w:rPr>
        <w:footnoteRef/>
      </w:r>
      <w:r>
        <w:t xml:space="preserve"> </w:t>
      </w:r>
      <w:r>
        <w:t xml:space="preserve">N.M. Const. art. XIII, § 1</w:t>
      </w:r>
      <w:r>
        <w:t xml:space="preserve"> </w:t>
      </w:r>
      <w:r>
        <w:t xml:space="preserve">[@const-nm-art13]</w:t>
      </w:r>
      <w:r>
        <w:t xml:space="preserve">; N.M. Const. art. XII</w:t>
      </w:r>
      <w:r>
        <w:t xml:space="preserve"> </w:t>
      </w:r>
      <w:r>
        <w:t xml:space="preserve">[@const-nm-art12]</w:t>
      </w:r>
      <w:r>
        <w:t xml:space="preserve">.</w:t>
      </w:r>
    </w:p>
  </w:footnote>
  <w:footnote w:id="135">
    <w:p>
      <w:pPr>
        <w:pStyle w:val="FootnoteText"/>
      </w:pPr>
      <w:r>
        <w:rPr>
          <w:rStyle w:val="FootnoteReference"/>
        </w:rPr>
        <w:footnoteRef/>
      </w:r>
      <w:r>
        <w:t xml:space="preserve"> </w:t>
      </w:r>
      <w:r>
        <w:t xml:space="preserve">See Chapter 19 (structural reform), including the direct-sale statute adopted within the reformed Utah system, Utah Code § 53C-4-104</w:t>
      </w:r>
      <w:r>
        <w:t xml:space="preserve"> </w:t>
      </w:r>
      <w:r>
        <w:t xml:space="preserve">[@act-utah-hb262-2024]</w:t>
      </w:r>
      <w:r>
        <w:t xml:space="preserve"> </w:t>
      </w:r>
      <w:r>
        <w:t xml:space="preserve">(Chapter 10).</w:t>
      </w:r>
    </w:p>
  </w:footnote>
  <w:footnote w:id="136">
    <w:p>
      <w:pPr>
        <w:pStyle w:val="FootnoteText"/>
      </w:pPr>
      <w:r>
        <w:rPr>
          <w:rStyle w:val="FootnoteReference"/>
        </w:rPr>
        <w:footnoteRef/>
      </w:r>
      <w:r>
        <w:t xml:space="preserve"> </w:t>
      </w:r>
      <w:r>
        <w:rPr>
          <w:b/>
        </w:rPr>
        <w:t xml:space="preserve">Louisiana</w:t>
      </w:r>
      <w:r>
        <w:t xml:space="preserve"> </w:t>
      </w:r>
      <w:r>
        <w:t xml:space="preserve">—</w:t>
      </w:r>
      <w:r>
        <w:t xml:space="preserve"> </w:t>
      </w:r>
      <w:r>
        <w:rPr>
          <w:i/>
        </w:rPr>
        <w:t xml:space="preserve">Ebey v. Avoyelles Parish School Board</w:t>
      </w:r>
      <w:r>
        <w:t xml:space="preserve">, 861 So. 2d 910, 2003-765 (La. App. 3 Cir. 12/17/03)</w:t>
      </w:r>
      <w:r>
        <w:t xml:space="preserve"> </w:t>
      </w:r>
      <w:r>
        <w:t xml:space="preserve">[@ebey-2003]</w:t>
      </w:r>
      <w:r>
        <w:t xml:space="preserve"> </w:t>
      </w:r>
      <w:r>
        <w:t xml:space="preserve">(school boards act</w:t>
      </w:r>
      <w:r>
        <w:t xml:space="preserve"> </w:t>
      </w:r>
      <w:r>
        <w:t xml:space="preserve">“</w:t>
      </w:r>
      <w:r>
        <w:t xml:space="preserve">in the manner of a statutory trustee</w:t>
      </w:r>
      <w:r>
        <w:t xml:space="preserve">”</w:t>
      </w:r>
      <w:r>
        <w:t xml:space="preserve">);</w:t>
      </w:r>
      <w:r>
        <w:t xml:space="preserve"> </w:t>
      </w:r>
      <w:r>
        <w:rPr>
          <w:b/>
        </w:rPr>
        <w:t xml:space="preserve">Mississippi</w:t>
      </w:r>
      <w:r>
        <w:t xml:space="preserve"> </w:t>
      </w:r>
      <w:r>
        <w:t xml:space="preserve">—</w:t>
      </w:r>
      <w:r>
        <w:t xml:space="preserve"> </w:t>
      </w:r>
      <w:r>
        <w:rPr>
          <w:i/>
        </w:rPr>
        <w:t xml:space="preserve">Clark v. Stephen D. Lee Foundation</w:t>
      </w:r>
      <w:r>
        <w:t xml:space="preserve">, 887 So. 2d 798 (Miss. 2004)</w:t>
      </w:r>
      <w:r>
        <w:t xml:space="preserve"> </w:t>
      </w:r>
      <w:r>
        <w:t xml:space="preserve">[@clark-2004]</w:t>
      </w:r>
      <w:r>
        <w:t xml:space="preserve"> </w:t>
      </w:r>
      <w:r>
        <w:t xml:space="preserve">(district-administered Sixteenth Section leasing benchmarked to market value).</w:t>
      </w:r>
    </w:p>
  </w:footnote>
  <w:footnote w:id="137">
    <w:p>
      <w:pPr>
        <w:pStyle w:val="FootnoteText"/>
      </w:pPr>
      <w:r>
        <w:rPr>
          <w:rStyle w:val="FootnoteReference"/>
        </w:rPr>
        <w:footnoteRef/>
      </w:r>
      <w:r>
        <w:t xml:space="preserve"> </w:t>
      </w:r>
      <w:r>
        <w:t xml:space="preserve">42 Op Atty Gen 260 (Op. 8097) (Or. 1982)</w:t>
      </w:r>
      <w:r>
        <w:t xml:space="preserve"> </w:t>
      </w:r>
      <w:r>
        <w:t xml:space="preserve">[@ag-or-8097-1982]</w:t>
      </w:r>
      <w:r>
        <w:t xml:space="preserve">;</w:t>
      </w:r>
      <w:r>
        <w:t xml:space="preserve"> </w:t>
      </w:r>
      <w:r>
        <w:rPr>
          <w:i/>
        </w:rPr>
        <w:t xml:space="preserve">State v. Warner Valley Stock Co.</w:t>
      </w:r>
      <w:r>
        <w:t xml:space="preserve">, 56 Or 283 (1910)</w:t>
      </w:r>
      <w:r>
        <w:t xml:space="preserve"> </w:t>
      </w:r>
      <w:r>
        <w:t xml:space="preserve">[@warner-valley-1910]</w:t>
      </w:r>
      <w:r>
        <w:t xml:space="preserve"> </w:t>
      </w:r>
      <w:r>
        <w:t xml:space="preserve">(deeds issued in violation of statutory procedure void; swamp-lands context, carried via the recitation in</w:t>
      </w:r>
      <w:r>
        <w:t xml:space="preserve"> </w:t>
      </w:r>
      <w:r>
        <w:rPr>
          <w:i/>
        </w:rPr>
        <w:t xml:space="preserve">Cascadia Wildlands</w:t>
      </w:r>
      <w:r>
        <w:t xml:space="preserve"> </w:t>
      </w:r>
      <w:r>
        <w:t xml:space="preserve">[@cascadia-2019]</w:t>
      </w:r>
      <w:r>
        <w:t xml:space="preserve">).</w:t>
      </w:r>
    </w:p>
  </w:footnote>
  <w:footnote w:id="139">
    <w:p>
      <w:pPr>
        <w:pStyle w:val="FootnoteText"/>
      </w:pPr>
      <w:r>
        <w:rPr>
          <w:rStyle w:val="FootnoteReference"/>
        </w:rPr>
        <w:footnoteRef/>
      </w:r>
      <w:r>
        <w:t xml:space="preserve"> </w:t>
      </w:r>
      <w:r>
        <w:rPr>
          <w:i/>
        </w:rPr>
        <w:t xml:space="preserve">Cascadia Wildlands v. Department of State Lands</w:t>
      </w:r>
      <w:r>
        <w:t xml:space="preserve">, 365 Or 750, 763-64 (2019)</w:t>
      </w:r>
      <w:r>
        <w:t xml:space="preserve"> </w:t>
      </w:r>
      <w:r>
        <w:t xml:space="preserve">[@cascadia-2019]</w:t>
      </w:r>
      <w:r>
        <w:t xml:space="preserve"> </w:t>
      </w:r>
      <w:r>
        <w:t xml:space="preserve">(quoting and discussing</w:t>
      </w:r>
      <w:r>
        <w:t xml:space="preserve"> </w:t>
      </w:r>
      <w:r>
        <w:rPr>
          <w:i/>
        </w:rPr>
        <w:t xml:space="preserve">Johnson v. Department of Revenue</w:t>
      </w:r>
      <w:r>
        <w:t xml:space="preserve">, 292 Or 373, 382 (1982)</w:t>
      </w:r>
      <w:r>
        <w:t xml:space="preserve"> </w:t>
      </w:r>
      <w:r>
        <w:t xml:space="preserve">[@johnson-1982]</w:t>
      </w:r>
      <w:r>
        <w:t xml:space="preserve">).</w:t>
      </w:r>
    </w:p>
  </w:footnote>
  <w:footnote w:id="140">
    <w:p>
      <w:pPr>
        <w:pStyle w:val="FootnoteText"/>
      </w:pPr>
      <w:r>
        <w:rPr>
          <w:rStyle w:val="FootnoteReference"/>
        </w:rPr>
        <w:footnoteRef/>
      </w:r>
      <w:r>
        <w:t xml:space="preserve"> </w:t>
      </w:r>
      <w:r>
        <w:rPr>
          <w:i/>
        </w:rPr>
        <w:t xml:space="preserve">Cascadia Wildlands</w:t>
      </w:r>
      <w:r>
        <w:t xml:space="preserve">, 365 Or at 766-67</w:t>
      </w:r>
      <w:r>
        <w:t xml:space="preserve"> </w:t>
      </w:r>
      <w:r>
        <w:t xml:space="preserve">[@cascadia-2019]</w:t>
      </w:r>
      <w:r>
        <w:t xml:space="preserve"> </w:t>
      </w:r>
      <w:r>
        <w:t xml:space="preserve">(legislative determinations about the best use of common school lands made</w:t>
      </w:r>
      <w:r>
        <w:t xml:space="preserve"> </w:t>
      </w:r>
      <w:r>
        <w:t xml:space="preserve">“</w:t>
      </w:r>
      <w:r>
        <w:t xml:space="preserve">in keeping with the state’s trust obligation</w:t>
      </w:r>
      <w:r>
        <w:t xml:space="preserve">”</w:t>
      </w:r>
      <w:r>
        <w:t xml:space="preserve">). Party positions per the public filings in</w:t>
      </w:r>
      <w:r>
        <w:t xml:space="preserve"> </w:t>
      </w:r>
      <w:r>
        <w:rPr>
          <w:i/>
        </w:rPr>
        <w:t xml:space="preserve">Siuslaw School District 97J v. State of Oregon</w:t>
      </w:r>
      <w:r>
        <w:t xml:space="preserve">, Coos County Circuit Court No. 24CV38372: Defendants’ Motion for Summary Judgment (May 13, 2026); Plaintiffs’ Response and Cross-Motion for Partial Summary Judgment (May 29, 2026).</w:t>
      </w:r>
    </w:p>
  </w:footnote>
  <w:footnote w:id="141">
    <w:p>
      <w:pPr>
        <w:pStyle w:val="FootnoteText"/>
      </w:pPr>
      <w:r>
        <w:rPr>
          <w:rStyle w:val="FootnoteReference"/>
        </w:rPr>
        <w:footnoteRef/>
      </w:r>
      <w:r>
        <w:t xml:space="preserve"> </w:t>
      </w:r>
      <w:r>
        <w:rPr>
          <w:i/>
        </w:rPr>
        <w:t xml:space="preserve">Branson School District RE-82 v. Romer</w:t>
      </w:r>
      <w:r>
        <w:t xml:space="preserve">, 958 F. Supp. 1501 (D. Colo. 1997), aff’d, 161 F.3d 619 (10th Cir. 1998)</w:t>
      </w:r>
      <w:r>
        <w:t xml:space="preserve"> </w:t>
      </w:r>
      <w:r>
        <w:t xml:space="preserve">[@branson-1998]</w:t>
      </w:r>
      <w:r>
        <w:t xml:space="preserve">; Colorado Amendment 16 (1996)</w:t>
      </w:r>
      <w:r>
        <w:t xml:space="preserve"> </w:t>
      </w:r>
      <w:r>
        <w:t xml:space="preserve">[@const-co-amend16]</w:t>
      </w:r>
      <w:r>
        <w:t xml:space="preserve">.</w:t>
      </w:r>
    </w:p>
  </w:footnote>
  <w:footnote w:id="142">
    <w:p>
      <w:pPr>
        <w:pStyle w:val="FootnoteText"/>
      </w:pPr>
      <w:r>
        <w:rPr>
          <w:rStyle w:val="FootnoteReference"/>
        </w:rPr>
        <w:footnoteRef/>
      </w:r>
      <w:r>
        <w:t xml:space="preserve"> </w:t>
      </w:r>
      <w:r>
        <w:t xml:space="preserve">N.M. Const. art. XII</w:t>
      </w:r>
      <w:r>
        <w:t xml:space="preserve"> </w:t>
      </w:r>
      <w:r>
        <w:t xml:space="preserve">[@const-nm-art12]</w:t>
      </w:r>
      <w:r>
        <w:t xml:space="preserve">, as amended November 2022; the consent requirement is carried in the project’s New Mexico dossier [VERIFY the form of congressional consent — statute, joint resolution, and citation — before publication].</w:t>
      </w:r>
    </w:p>
  </w:footnote>
  <w:footnote w:id="144">
    <w:p>
      <w:pPr>
        <w:pStyle w:val="FootnoteText"/>
      </w:pPr>
      <w:r>
        <w:rPr>
          <w:rStyle w:val="FootnoteReference"/>
        </w:rPr>
        <w:footnoteRef/>
      </w:r>
      <w:r>
        <w:t xml:space="preserve"> </w:t>
      </w:r>
      <w:r>
        <w:t xml:space="preserve">§ 3.2 and the authorities collected there.</w:t>
      </w:r>
    </w:p>
  </w:footnote>
  <w:footnote w:id="145">
    <w:p>
      <w:pPr>
        <w:pStyle w:val="FootnoteText"/>
      </w:pPr>
      <w:r>
        <w:rPr>
          <w:rStyle w:val="FootnoteReference"/>
        </w:rPr>
        <w:footnoteRef/>
      </w:r>
      <w:r>
        <w:t xml:space="preserve"> </w:t>
      </w:r>
      <w:r>
        <w:t xml:space="preserve">§ 3.3; the master incorporation collection is at § 4.3.</w:t>
      </w:r>
    </w:p>
  </w:footnote>
  <w:footnote w:id="146">
    <w:p>
      <w:pPr>
        <w:pStyle w:val="FootnoteText"/>
      </w:pPr>
      <w:r>
        <w:rPr>
          <w:rStyle w:val="FootnoteReference"/>
        </w:rPr>
        <w:footnoteRef/>
      </w:r>
      <w:r>
        <w:t xml:space="preserve"> </w:t>
      </w:r>
      <w:r>
        <w:t xml:space="preserve">§ 3.4 and the authorities collected there.</w:t>
      </w:r>
    </w:p>
  </w:footnote>
  <w:footnote w:id="147">
    <w:p>
      <w:pPr>
        <w:pStyle w:val="FootnoteText"/>
      </w:pPr>
      <w:r>
        <w:rPr>
          <w:rStyle w:val="FootnoteReference"/>
        </w:rPr>
        <w:footnoteRef/>
      </w:r>
      <w:r>
        <w:t xml:space="preserve"> </w:t>
      </w:r>
      <w:r>
        <w:t xml:space="preserve">§§ 3.5-3.6 and the authorities collected there.</w:t>
      </w:r>
    </w:p>
  </w:footnote>
  <w:footnote w:id="150">
    <w:p>
      <w:pPr>
        <w:pStyle w:val="FootnoteText"/>
      </w:pPr>
      <w:r>
        <w:rPr>
          <w:rStyle w:val="FootnoteReference"/>
        </w:rPr>
        <w:footnoteRef/>
      </w:r>
      <w:r>
        <w:t xml:space="preserve"> </w:t>
      </w:r>
      <w:r>
        <w:rPr>
          <w:i/>
        </w:rPr>
        <w:t xml:space="preserve">County of Skamania v. State</w:t>
      </w:r>
      <w:r>
        <w:t xml:space="preserve">, 102 Wn.2d 127, 132, 685 P.2d 576 (1984)</w:t>
      </w:r>
      <w:r>
        <w:t xml:space="preserve"> </w:t>
      </w:r>
      <w:r>
        <w:t xml:space="preserve">[@skamania-1984]</w:t>
      </w:r>
      <w:r>
        <w:t xml:space="preserve"> </w:t>
      </w:r>
      <w:r>
        <w:t xml:space="preserve">(</w:t>
      </w:r>
      <w:r>
        <w:t xml:space="preserve">“</w:t>
      </w:r>
      <w:r>
        <w:t xml:space="preserve">Every court that has considered the issue has concluded that these are real enforceable trusts</w:t>
      </w:r>
      <w:r>
        <w:t xml:space="preserve">”</w:t>
      </w:r>
      <w:r>
        <w:t xml:space="preserve"> </w:t>
      </w:r>
      <w:r>
        <w:t xml:space="preserve">that</w:t>
      </w:r>
      <w:r>
        <w:t xml:space="preserve"> </w:t>
      </w:r>
      <w:r>
        <w:t xml:space="preserve">“</w:t>
      </w:r>
      <w:r>
        <w:t xml:space="preserve">impose upon the State the same fiduciary duties applicable to private trustees</w:t>
      </w:r>
      <w:r>
        <w:t xml:space="preserve">”</w:t>
      </w:r>
      <w:r>
        <w:t xml:space="preserve">).</w:t>
      </w:r>
    </w:p>
  </w:footnote>
  <w:footnote w:id="151">
    <w:p>
      <w:pPr>
        <w:pStyle w:val="FootnoteText"/>
      </w:pPr>
      <w:r>
        <w:rPr>
          <w:rStyle w:val="FootnoteReference"/>
        </w:rPr>
        <w:footnoteRef/>
      </w:r>
      <w:r>
        <w:t xml:space="preserve"> </w:t>
      </w:r>
      <w:r>
        <w:t xml:space="preserve">Accord, collected by state:</w:t>
      </w:r>
      <w:r>
        <w:t xml:space="preserve"> </w:t>
      </w:r>
      <w:r>
        <w:rPr>
          <w:b/>
        </w:rPr>
        <w:t xml:space="preserve">Washington</w:t>
      </w:r>
      <w:r>
        <w:t xml:space="preserve"> </w:t>
      </w:r>
      <w:r>
        <w:t xml:space="preserve">—</w:t>
      </w:r>
      <w:r>
        <w:t xml:space="preserve"> </w:t>
      </w:r>
      <w:r>
        <w:rPr>
          <w:i/>
        </w:rPr>
        <w:t xml:space="preserve">Conservation Northwest v. Commissioner of Public Lands</w:t>
      </w:r>
      <w:r>
        <w:t xml:space="preserve">, 200 Wn.2d 8 (Wash. 2022)</w:t>
      </w:r>
      <w:r>
        <w:t xml:space="preserve"> </w:t>
      </w:r>
      <w:r>
        <w:t xml:space="preserve">[@conservation-nw-2022]</w:t>
      </w:r>
      <w:r>
        <w:t xml:space="preserve"> </w:t>
      </w:r>
      <w:r>
        <w:t xml:space="preserve">(unanimous reaffirmation, quoting</w:t>
      </w:r>
      <w:r>
        <w:t xml:space="preserve"> </w:t>
      </w:r>
      <w:r>
        <w:rPr>
          <w:i/>
        </w:rPr>
        <w:t xml:space="preserve">Skamania</w:t>
      </w:r>
      <w:r>
        <w:t xml:space="preserve">:</w:t>
      </w:r>
      <w:r>
        <w:t xml:space="preserve"> </w:t>
      </w:r>
      <w:r>
        <w:t xml:space="preserve">“</w:t>
      </w:r>
      <w:r>
        <w:t xml:space="preserve">Every court that has considered the issue has concluded that [the federal land grants under the Enabling Act] are real, enforceable trusts that impose upon the State the same fiduciary duties applicable to private trustees.</w:t>
      </w:r>
      <w:r>
        <w:t xml:space="preserve">”</w:t>
      </w:r>
      <w:r>
        <w:t xml:space="preserve">);</w:t>
      </w:r>
      <w:r>
        <w:t xml:space="preserve"> </w:t>
      </w:r>
      <w:r>
        <w:rPr>
          <w:b/>
        </w:rPr>
        <w:t xml:space="preserve">South Dakota</w:t>
      </w:r>
      <w:r>
        <w:t xml:space="preserve"> </w:t>
      </w:r>
      <w:r>
        <w:t xml:space="preserve">—</w:t>
      </w:r>
      <w:r>
        <w:t xml:space="preserve"> </w:t>
      </w:r>
      <w:r>
        <w:rPr>
          <w:i/>
        </w:rPr>
        <w:t xml:space="preserve">Kanaly v. State ex rel. Janklow</w:t>
      </w:r>
      <w:r>
        <w:t xml:space="preserve">, 368 N.W.2d 819, 823 (S.D. 1985)</w:t>
      </w:r>
      <w:r>
        <w:t xml:space="preserve"> </w:t>
      </w:r>
      <w:r>
        <w:t xml:space="preserve">[@kanaly-1985]</w:t>
      </w:r>
      <w:r>
        <w:t xml:space="preserve"> </w:t>
      </w:r>
      <w:r>
        <w:t xml:space="preserve">(</w:t>
      </w:r>
      <w:r>
        <w:t xml:space="preserve">“</w:t>
      </w:r>
      <w:r>
        <w:t xml:space="preserve">That these provisions create a special, permanent and perpetual trust … and that the state is the trustee is beyond question.</w:t>
      </w:r>
      <w:r>
        <w:t xml:space="preserve">”</w:t>
      </w:r>
      <w:r>
        <w:t xml:space="preserve">);</w:t>
      </w:r>
      <w:r>
        <w:t xml:space="preserve"> </w:t>
      </w:r>
      <w:r>
        <w:rPr>
          <w:b/>
        </w:rPr>
        <w:t xml:space="preserve">Colorado (federal)</w:t>
      </w:r>
      <w:r>
        <w:t xml:space="preserve"> </w:t>
      </w:r>
      <w:r>
        <w:t xml:space="preserve">—</w:t>
      </w:r>
      <w:r>
        <w:t xml:space="preserve"> </w:t>
      </w:r>
      <w:r>
        <w:rPr>
          <w:i/>
        </w:rPr>
        <w:t xml:space="preserve">Branson School District RE-82 v. Romer</w:t>
      </w:r>
      <w:r>
        <w:t xml:space="preserve">, 161 F.3d 619 (10th Cir. 1998)</w:t>
      </w:r>
      <w:r>
        <w:t xml:space="preserve"> </w:t>
      </w:r>
      <w:r>
        <w:t xml:space="preserve">[@branson-1998]</w:t>
      </w:r>
      <w:r>
        <w:t xml:space="preserve"> </w:t>
      </w:r>
      <w:r>
        <w:t xml:space="preserve">(the compact an enforceable trust, not aspirational policy; the Restatement of Trusts applies to state trustees);</w:t>
      </w:r>
      <w:r>
        <w:t xml:space="preserve"> </w:t>
      </w:r>
      <w:r>
        <w:rPr>
          <w:b/>
        </w:rPr>
        <w:t xml:space="preserve">Nebraska</w:t>
      </w:r>
      <w:r>
        <w:t xml:space="preserve"> </w:t>
      </w:r>
      <w:r>
        <w:t xml:space="preserve">—</w:t>
      </w:r>
      <w:r>
        <w:t xml:space="preserve"> </w:t>
      </w:r>
      <w:r>
        <w:rPr>
          <w:i/>
        </w:rPr>
        <w:t xml:space="preserve">Propst v. Board of Educational Lands &amp; Funds</w:t>
      </w:r>
      <w:r>
        <w:t xml:space="preserve">, 156 Neb. 226, 55 N.W.2d 653 (1952)</w:t>
      </w:r>
      <w:r>
        <w:t xml:space="preserve"> </w:t>
      </w:r>
      <w:r>
        <w:t xml:space="preserve">[@propst-1952]</w:t>
      </w:r>
      <w:r>
        <w:t xml:space="preserve"> </w:t>
      </w:r>
      <w:r>
        <w:t xml:space="preserve">(lands held</w:t>
      </w:r>
      <w:r>
        <w:t xml:space="preserve"> </w:t>
      </w:r>
      <w:r>
        <w:t xml:space="preserve">“</w:t>
      </w:r>
      <w:r>
        <w:t xml:space="preserve">upon an express trust</w:t>
      </w:r>
      <w:r>
        <w:t xml:space="preserve">”</w:t>
      </w:r>
      <w:r>
        <w:t xml:space="preserve">);</w:t>
      </w:r>
      <w:r>
        <w:t xml:space="preserve"> </w:t>
      </w:r>
      <w:r>
        <w:rPr>
          <w:b/>
        </w:rPr>
        <w:t xml:space="preserve">Alaska</w:t>
      </w:r>
      <w:r>
        <w:t xml:space="preserve"> </w:t>
      </w:r>
      <w:r>
        <w:t xml:space="preserve">—</w:t>
      </w:r>
      <w:r>
        <w:t xml:space="preserve"> </w:t>
      </w:r>
      <w:r>
        <w:rPr>
          <w:i/>
        </w:rPr>
        <w:t xml:space="preserve">State v. University of Alaska</w:t>
      </w:r>
      <w:r>
        <w:t xml:space="preserve">, 624 P.2d 807 (Alaska 1981)</w:t>
      </w:r>
      <w:r>
        <w:t xml:space="preserve"> </w:t>
      </w:r>
      <w:r>
        <w:t xml:space="preserve">[@university-of-alaska-1981]</w:t>
      </w:r>
      <w:r>
        <w:t xml:space="preserve"> </w:t>
      </w:r>
      <w:r>
        <w:t xml:space="preserve">(uncompensated inclusion of university trust land in a state park a breach of trust).</w:t>
      </w:r>
    </w:p>
  </w:footnote>
  <w:footnote w:id="153">
    <w:p>
      <w:pPr>
        <w:pStyle w:val="FootnoteText"/>
      </w:pPr>
      <w:r>
        <w:rPr>
          <w:rStyle w:val="FootnoteReference"/>
        </w:rPr>
        <w:footnoteRef/>
      </w:r>
      <w:r>
        <w:t xml:space="preserve"> </w:t>
      </w:r>
      <w:r>
        <w:rPr>
          <w:i/>
        </w:rPr>
        <w:t xml:space="preserve">Trustees of Vincennes University v. Indiana</w:t>
      </w:r>
      <w:r>
        <w:t xml:space="preserve">, 55 U.S. (14 How.) 268, 274 (1852)</w:t>
      </w:r>
      <w:r>
        <w:t xml:space="preserve"> </w:t>
      </w:r>
      <w:r>
        <w:t xml:space="preserve">[@vincennes-1852]</w:t>
      </w:r>
      <w:r>
        <w:t xml:space="preserve"> </w:t>
      </w:r>
      <w:r>
        <w:t xml:space="preserve">(majority passage at 274; the Taney dissent’s</w:t>
      </w:r>
      <w:r>
        <w:t xml:space="preserve"> </w:t>
      </w:r>
      <w:r>
        <w:t xml:space="preserve">“</w:t>
      </w:r>
      <w:r>
        <w:t xml:space="preserve">as the trustee to administer the trust</w:t>
      </w:r>
      <w:r>
        <w:t xml:space="preserve">”</w:t>
      </w:r>
      <w:r>
        <w:t xml:space="preserve"> </w:t>
      </w:r>
      <w:r>
        <w:t xml:space="preserve">at 279-80 — attribution verified against the full opinion, 2026-06-10).</w:t>
      </w:r>
    </w:p>
  </w:footnote>
  <w:footnote w:id="154">
    <w:p>
      <w:pPr>
        <w:pStyle w:val="FootnoteText"/>
      </w:pPr>
      <w:r>
        <w:rPr>
          <w:rStyle w:val="FootnoteReference"/>
        </w:rPr>
        <w:footnoteRef/>
      </w:r>
      <w:r>
        <w:t xml:space="preserve"> </w:t>
      </w:r>
      <w:r>
        <w:rPr>
          <w:i/>
        </w:rPr>
        <w:t xml:space="preserve">Cooper v. Roberts</w:t>
      </w:r>
      <w:r>
        <w:t xml:space="preserve">, 59 U.S. (18 How.) 173 (1855)</w:t>
      </w:r>
      <w:r>
        <w:t xml:space="preserve"> </w:t>
      </w:r>
      <w:r>
        <w:t xml:space="preserve">[@cooper-1855]</w:t>
      </w:r>
      <w:r>
        <w:t xml:space="preserve">.</w:t>
      </w:r>
    </w:p>
  </w:footnote>
  <w:footnote w:id="155">
    <w:p>
      <w:pPr>
        <w:pStyle w:val="FootnoteText"/>
      </w:pPr>
      <w:r>
        <w:rPr>
          <w:rStyle w:val="FootnoteReference"/>
        </w:rPr>
        <w:footnoteRef/>
      </w:r>
      <w:r>
        <w:t xml:space="preserve"> </w:t>
      </w:r>
      <w:r>
        <w:rPr>
          <w:i/>
        </w:rPr>
        <w:t xml:space="preserve">Ervien v. United States</w:t>
      </w:r>
      <w:r>
        <w:t xml:space="preserve">, 251 U.S. 41, 47 (1919)</w:t>
      </w:r>
      <w:r>
        <w:t xml:space="preserve"> </w:t>
      </w:r>
      <w:r>
        <w:t xml:space="preserve">[@ervien-1919]</w:t>
      </w:r>
      <w:r>
        <w:t xml:space="preserve">.</w:t>
      </w:r>
    </w:p>
  </w:footnote>
  <w:footnote w:id="156">
    <w:p>
      <w:pPr>
        <w:pStyle w:val="FootnoteText"/>
      </w:pPr>
      <w:r>
        <w:rPr>
          <w:rStyle w:val="FootnoteReference"/>
        </w:rPr>
        <w:footnoteRef/>
      </w:r>
      <w:r>
        <w:t xml:space="preserve"> </w:t>
      </w:r>
      <w:r>
        <w:rPr>
          <w:i/>
        </w:rPr>
        <w:t xml:space="preserve">Lassen v. Arizona ex rel. Arizona Highway Department</w:t>
      </w:r>
      <w:r>
        <w:t xml:space="preserve">, 385 U.S. 458, 466-67, 469 (1967)</w:t>
      </w:r>
      <w:r>
        <w:t xml:space="preserve"> </w:t>
      </w:r>
      <w:r>
        <w:t xml:space="preserve">[@lassen-1967]</w:t>
      </w:r>
      <w:r>
        <w:t xml:space="preserve"> </w:t>
      </w:r>
      <w:r>
        <w:t xml:space="preserve">(quoting, for the exclusivity rule,</w:t>
      </w:r>
      <w:r>
        <w:t xml:space="preserve"> </w:t>
      </w:r>
      <w:r>
        <w:rPr>
          <w:i/>
        </w:rPr>
        <w:t xml:space="preserve">Ervien</w:t>
      </w:r>
      <w:r>
        <w:t xml:space="preserve">, 251 U.S. at 47</w:t>
      </w:r>
      <w:r>
        <w:t xml:space="preserve"> </w:t>
      </w:r>
      <w:r>
        <w:t xml:space="preserve">[@ervien-1919]</w:t>
      </w:r>
      <w:r>
        <w:t xml:space="preserve">, and, for the</w:t>
      </w:r>
      <w:r>
        <w:t xml:space="preserve"> </w:t>
      </w:r>
      <w:r>
        <w:t xml:space="preserve">“</w:t>
      </w:r>
      <w:r>
        <w:t xml:space="preserve">[w]ords more clearly designed</w:t>
      </w:r>
      <w:r>
        <w:t xml:space="preserve">”</w:t>
      </w:r>
      <w:r>
        <w:t xml:space="preserve"> </w:t>
      </w:r>
      <w:r>
        <w:t xml:space="preserve">assessment, the court of appeals’ decision in the same litigation,</w:t>
      </w:r>
      <w:r>
        <w:t xml:space="preserve"> </w:t>
      </w:r>
      <w:r>
        <w:rPr>
          <w:i/>
        </w:rPr>
        <w:t xml:space="preserve">United States v. Ervien</w:t>
      </w:r>
      <w:r>
        <w:t xml:space="preserve">, 246 F. 277, 279, as cited in</w:t>
      </w:r>
      <w:r>
        <w:t xml:space="preserve"> </w:t>
      </w:r>
      <w:r>
        <w:rPr>
          <w:i/>
        </w:rPr>
        <w:t xml:space="preserve">Lassen</w:t>
      </w:r>
      <w:r>
        <w:t xml:space="preserve">).</w:t>
      </w:r>
    </w:p>
  </w:footnote>
  <w:footnote w:id="157">
    <w:p>
      <w:pPr>
        <w:pStyle w:val="FootnoteText"/>
      </w:pPr>
      <w:r>
        <w:rPr>
          <w:rStyle w:val="FootnoteReference"/>
        </w:rPr>
        <w:footnoteRef/>
      </w:r>
      <w:r>
        <w:t xml:space="preserve"> </w:t>
      </w:r>
      <w:r>
        <w:rPr>
          <w:i/>
        </w:rPr>
        <w:t xml:space="preserve">Andrus v. Utah</w:t>
      </w:r>
      <w:r>
        <w:t xml:space="preserve">, 446 U.S. 500 (1980)</w:t>
      </w:r>
      <w:r>
        <w:t xml:space="preserve"> </w:t>
      </w:r>
      <w:r>
        <w:t xml:space="preserve">[@andrus-1980]</w:t>
      </w:r>
      <w:r>
        <w:t xml:space="preserve"> </w:t>
      </w:r>
      <w:r>
        <w:t xml:space="preserve">(Stevens, J., for the Court; Powell, J., dissenting, joined by Burger, C.J., and Blackmun and Rehnquist, JJ.). The Powell formulation entered Oregon doctrine through</w:t>
      </w:r>
      <w:r>
        <w:t xml:space="preserve"> </w:t>
      </w:r>
      <w:r>
        <w:rPr>
          <w:i/>
        </w:rPr>
        <w:t xml:space="preserve">Cascadia Wildlands v. Department of State Lands</w:t>
      </w:r>
      <w:r>
        <w:t xml:space="preserve">, 365 Or 750, 752 n.1 (2019)</w:t>
      </w:r>
      <w:r>
        <w:t xml:space="preserve"> </w:t>
      </w:r>
      <w:r>
        <w:t xml:space="preserve">[@cascadia-2019]</w:t>
      </w:r>
      <w:r>
        <w:t xml:space="preserve">.</w:t>
      </w:r>
    </w:p>
  </w:footnote>
  <w:footnote w:id="158">
    <w:p>
      <w:pPr>
        <w:pStyle w:val="FootnoteText"/>
      </w:pPr>
      <w:r>
        <w:rPr>
          <w:rStyle w:val="FootnoteReference"/>
        </w:rPr>
        <w:footnoteRef/>
      </w:r>
      <w:r>
        <w:t xml:space="preserve"> </w:t>
      </w:r>
      <w:r>
        <w:rPr>
          <w:i/>
        </w:rPr>
        <w:t xml:space="preserve">ASARCO Inc. v. Kadish</w:t>
      </w:r>
      <w:r>
        <w:t xml:space="preserve">, 490 U.S. 605, 626 (1989)</w:t>
      </w:r>
      <w:r>
        <w:t xml:space="preserve"> </w:t>
      </w:r>
      <w:r>
        <w:t xml:space="preserve">[@asarco-1989]</w:t>
      </w:r>
      <w:r>
        <w:t xml:space="preserve">.</w:t>
      </w:r>
    </w:p>
  </w:footnote>
  <w:footnote w:id="159">
    <w:p>
      <w:pPr>
        <w:pStyle w:val="FootnoteText"/>
      </w:pPr>
      <w:r>
        <w:rPr>
          <w:rStyle w:val="FootnoteReference"/>
        </w:rPr>
        <w:footnoteRef/>
      </w:r>
      <w:r>
        <w:t xml:space="preserve"> </w:t>
      </w:r>
      <w:r>
        <w:rPr>
          <w:i/>
        </w:rPr>
        <w:t xml:space="preserve">Alamo Land &amp; Cattle Co. v. Arizona</w:t>
      </w:r>
      <w:r>
        <w:t xml:space="preserve">, 424 U.S. 295 (1976)</w:t>
      </w:r>
      <w:r>
        <w:t xml:space="preserve"> </w:t>
      </w:r>
      <w:r>
        <w:t xml:space="preserve">[@alamo-1976]</w:t>
      </w:r>
      <w:r>
        <w:t xml:space="preserve">. The federal line collected by state of origin:</w:t>
      </w:r>
      <w:r>
        <w:t xml:space="preserve"> </w:t>
      </w:r>
      <w:r>
        <w:rPr>
          <w:b/>
        </w:rPr>
        <w:t xml:space="preserve">Indiana</w:t>
      </w:r>
      <w:r>
        <w:t xml:space="preserve"> </w:t>
      </w:r>
      <w:r>
        <w:t xml:space="preserve">—</w:t>
      </w:r>
      <w:r>
        <w:t xml:space="preserve"> </w:t>
      </w:r>
      <w:r>
        <w:rPr>
          <w:i/>
        </w:rPr>
        <w:t xml:space="preserve">Vincennes</w:t>
      </w:r>
      <w:r>
        <w:t xml:space="preserve"> </w:t>
      </w:r>
      <w:r>
        <w:t xml:space="preserve">(1852)</w:t>
      </w:r>
      <w:r>
        <w:t xml:space="preserve"> </w:t>
      </w:r>
      <w:r>
        <w:t xml:space="preserve">[@vincennes-1852]</w:t>
      </w:r>
      <w:r>
        <w:t xml:space="preserve">;</w:t>
      </w:r>
      <w:r>
        <w:t xml:space="preserve"> </w:t>
      </w:r>
      <w:r>
        <w:rPr>
          <w:b/>
        </w:rPr>
        <w:t xml:space="preserve">New Mexico</w:t>
      </w:r>
      <w:r>
        <w:t xml:space="preserve"> </w:t>
      </w:r>
      <w:r>
        <w:t xml:space="preserve">—</w:t>
      </w:r>
      <w:r>
        <w:t xml:space="preserve"> </w:t>
      </w:r>
      <w:r>
        <w:rPr>
          <w:i/>
        </w:rPr>
        <w:t xml:space="preserve">Ervien</w:t>
      </w:r>
      <w:r>
        <w:t xml:space="preserve"> </w:t>
      </w:r>
      <w:r>
        <w:t xml:space="preserve">(1919)</w:t>
      </w:r>
      <w:r>
        <w:t xml:space="preserve"> </w:t>
      </w:r>
      <w:r>
        <w:t xml:space="preserve">[@ervien-1919]</w:t>
      </w:r>
      <w:r>
        <w:t xml:space="preserve">;</w:t>
      </w:r>
      <w:r>
        <w:t xml:space="preserve"> </w:t>
      </w:r>
      <w:r>
        <w:rPr>
          <w:b/>
        </w:rPr>
        <w:t xml:space="preserve">Arizona</w:t>
      </w:r>
      <w:r>
        <w:t xml:space="preserve"> </w:t>
      </w:r>
      <w:r>
        <w:t xml:space="preserve">—</w:t>
      </w:r>
      <w:r>
        <w:t xml:space="preserve"> </w:t>
      </w:r>
      <w:r>
        <w:rPr>
          <w:i/>
        </w:rPr>
        <w:t xml:space="preserve">Lassen</w:t>
      </w:r>
      <w:r>
        <w:t xml:space="preserve"> </w:t>
      </w:r>
      <w:r>
        <w:t xml:space="preserve">(1967)</w:t>
      </w:r>
      <w:r>
        <w:t xml:space="preserve"> </w:t>
      </w:r>
      <w:r>
        <w:t xml:space="preserve">[@lassen-1967]</w:t>
      </w:r>
      <w:r>
        <w:t xml:space="preserve">,</w:t>
      </w:r>
      <w:r>
        <w:t xml:space="preserve"> </w:t>
      </w:r>
      <w:r>
        <w:rPr>
          <w:i/>
        </w:rPr>
        <w:t xml:space="preserve">Alamo</w:t>
      </w:r>
      <w:r>
        <w:t xml:space="preserve"> </w:t>
      </w:r>
      <w:r>
        <w:t xml:space="preserve">(1976)</w:t>
      </w:r>
      <w:r>
        <w:t xml:space="preserve"> </w:t>
      </w:r>
      <w:r>
        <w:t xml:space="preserve">[@alamo-1976]</w:t>
      </w:r>
      <w:r>
        <w:t xml:space="preserve">,</w:t>
      </w:r>
      <w:r>
        <w:t xml:space="preserve"> </w:t>
      </w:r>
      <w:r>
        <w:rPr>
          <w:i/>
        </w:rPr>
        <w:t xml:space="preserve">ASARCO v. Kadish</w:t>
      </w:r>
      <w:r>
        <w:t xml:space="preserve"> </w:t>
      </w:r>
      <w:r>
        <w:t xml:space="preserve">(1989)</w:t>
      </w:r>
      <w:r>
        <w:t xml:space="preserve"> </w:t>
      </w:r>
      <w:r>
        <w:t xml:space="preserve">[@asarco-1989]</w:t>
      </w:r>
      <w:r>
        <w:t xml:space="preserve">;</w:t>
      </w:r>
      <w:r>
        <w:t xml:space="preserve"> </w:t>
      </w:r>
      <w:r>
        <w:rPr>
          <w:b/>
        </w:rPr>
        <w:t xml:space="preserve">Utah</w:t>
      </w:r>
      <w:r>
        <w:t xml:space="preserve"> </w:t>
      </w:r>
      <w:r>
        <w:t xml:space="preserve">—</w:t>
      </w:r>
      <w:r>
        <w:t xml:space="preserve"> </w:t>
      </w:r>
      <w:r>
        <w:rPr>
          <w:i/>
        </w:rPr>
        <w:t xml:space="preserve">Andrus</w:t>
      </w:r>
      <w:r>
        <w:t xml:space="preserve"> </w:t>
      </w:r>
      <w:r>
        <w:t xml:space="preserve">(1980)</w:t>
      </w:r>
      <w:r>
        <w:t xml:space="preserve"> </w:t>
      </w:r>
      <w:r>
        <w:t xml:space="preserve">[@andrus-1980]</w:t>
      </w:r>
      <w:r>
        <w:t xml:space="preserve">; and in the courts of appeals,</w:t>
      </w:r>
      <w:r>
        <w:t xml:space="preserve"> </w:t>
      </w:r>
      <w:r>
        <w:rPr>
          <w:b/>
        </w:rPr>
        <w:t xml:space="preserve">Utah</w:t>
      </w:r>
      <w:r>
        <w:t xml:space="preserve"> </w:t>
      </w:r>
      <w:r>
        <w:t xml:space="preserve">—</w:t>
      </w:r>
      <w:r>
        <w:t xml:space="preserve"> </w:t>
      </w:r>
      <w:r>
        <w:rPr>
          <w:i/>
        </w:rPr>
        <w:t xml:space="preserve">State of Utah v. Kleppe</w:t>
      </w:r>
      <w:r>
        <w:t xml:space="preserve">, 586 F.2d 756 (10th Cir. 1978)</w:t>
      </w:r>
      <w:r>
        <w:t xml:space="preserve"> </w:t>
      </w:r>
      <w:r>
        <w:t xml:space="preserve">[@kleppe-1978]</w:t>
      </w:r>
      <w:r>
        <w:t xml:space="preserve"> </w:t>
      </w:r>
      <w:r>
        <w:t xml:space="preserve">(the grant program bilateral in effect, creating a binding permanent trust which would generate financial aid to support the public school systems);</w:t>
      </w:r>
      <w:r>
        <w:t xml:space="preserve"> </w:t>
      </w:r>
      <w:r>
        <w:rPr>
          <w:b/>
        </w:rPr>
        <w:t xml:space="preserve">Colorado</w:t>
      </w:r>
      <w:r>
        <w:t xml:space="preserve"> </w:t>
      </w:r>
      <w:r>
        <w:t xml:space="preserve">—</w:t>
      </w:r>
      <w:r>
        <w:t xml:space="preserve"> </w:t>
      </w:r>
      <w:r>
        <w:rPr>
          <w:i/>
        </w:rPr>
        <w:t xml:space="preserve">Branson School District RE-82 v. Romer</w:t>
      </w:r>
      <w:r>
        <w:t xml:space="preserve">, 161 F.3d 619 (10th Cir. 1998)</w:t>
      </w:r>
      <w:r>
        <w:t xml:space="preserve"> </w:t>
      </w:r>
      <w:r>
        <w:t xml:space="preserve">[@branson-1998]</w:t>
      </w:r>
      <w:r>
        <w:t xml:space="preserve">.</w:t>
      </w:r>
    </w:p>
  </w:footnote>
  <w:footnote w:id="161">
    <w:p>
      <w:pPr>
        <w:pStyle w:val="FootnoteText"/>
      </w:pPr>
      <w:r>
        <w:rPr>
          <w:rStyle w:val="FootnoteReference"/>
        </w:rPr>
        <w:footnoteRef/>
      </w:r>
      <w:r>
        <w:t xml:space="preserve"> </w:t>
      </w:r>
      <w:r>
        <w:rPr>
          <w:i/>
        </w:rPr>
        <w:t xml:space="preserve">State v. Platte Valley Public Power &amp; Irrigation District</w:t>
      </w:r>
      <w:r>
        <w:t xml:space="preserve">, 147 Neb. 289, 23 N.W.2d 300 (1946)</w:t>
      </w:r>
      <w:r>
        <w:t xml:space="preserve"> </w:t>
      </w:r>
      <w:r>
        <w:t xml:space="preserve">[@platte-valley-1946]</w:t>
      </w:r>
      <w:r>
        <w:t xml:space="preserve"> </w:t>
      </w:r>
      <w:r>
        <w:t xml:space="preserve">(both § 4.3 quotations verified verbatim against the full opinion in L0, at 147 Neb. at 296).</w:t>
      </w:r>
    </w:p>
  </w:footnote>
  <w:footnote w:id="162">
    <w:p>
      <w:pPr>
        <w:pStyle w:val="FootnoteText"/>
      </w:pPr>
      <w:r>
        <w:rPr>
          <w:rStyle w:val="FootnoteReference"/>
        </w:rPr>
        <w:footnoteRef/>
      </w:r>
      <w:r>
        <w:t xml:space="preserve"> </w:t>
      </w:r>
      <w:r>
        <w:rPr>
          <w:i/>
        </w:rPr>
        <w:t xml:space="preserve">State ex rel. Ebke v. Board of Educational Lands &amp; Funds</w:t>
      </w:r>
      <w:r>
        <w:t xml:space="preserve">, 154 Neb. 244, 47 N.W.2d 520 (1951)</w:t>
      </w:r>
      <w:r>
        <w:t xml:space="preserve"> </w:t>
      </w:r>
      <w:r>
        <w:t xml:space="preserve">[@ebke-1951]</w:t>
      </w:r>
      <w:r>
        <w:t xml:space="preserve">.</w:t>
      </w:r>
    </w:p>
  </w:footnote>
  <w:footnote w:id="163">
    <w:p>
      <w:pPr>
        <w:pStyle w:val="FootnoteText"/>
      </w:pPr>
      <w:r>
        <w:rPr>
          <w:rStyle w:val="FootnoteReference"/>
        </w:rPr>
        <w:footnoteRef/>
      </w:r>
      <w:r>
        <w:t xml:space="preserve"> </w:t>
      </w:r>
      <w:r>
        <w:rPr>
          <w:i/>
        </w:rPr>
        <w:t xml:space="preserve">Propst v. Board of Educational Lands &amp; Funds</w:t>
      </w:r>
      <w:r>
        <w:t xml:space="preserve">, 156 Neb. 226, 55 N.W.2d 653 (1952)</w:t>
      </w:r>
      <w:r>
        <w:t xml:space="preserve"> </w:t>
      </w:r>
      <w:r>
        <w:t xml:space="preserve">[@propst-1952]</w:t>
      </w:r>
      <w:r>
        <w:t xml:space="preserve">.</w:t>
      </w:r>
    </w:p>
  </w:footnote>
  <w:footnote w:id="164">
    <w:p>
      <w:pPr>
        <w:pStyle w:val="FootnoteText"/>
      </w:pPr>
      <w:r>
        <w:rPr>
          <w:rStyle w:val="FootnoteReference"/>
        </w:rPr>
        <w:footnoteRef/>
      </w:r>
      <w:r>
        <w:t xml:space="preserve"> </w:t>
      </w:r>
      <w:r>
        <w:t xml:space="preserve">The incorporation rule, collected by state:</w:t>
      </w:r>
      <w:r>
        <w:t xml:space="preserve"> </w:t>
      </w:r>
      <w:r>
        <w:rPr>
          <w:b/>
        </w:rPr>
        <w:t xml:space="preserve">Oklahoma</w:t>
      </w:r>
      <w:r>
        <w:t xml:space="preserve"> </w:t>
      </w:r>
      <w:r>
        <w:t xml:space="preserve">—</w:t>
      </w:r>
      <w:r>
        <w:t xml:space="preserve"> </w:t>
      </w:r>
      <w:r>
        <w:rPr>
          <w:i/>
        </w:rPr>
        <w:t xml:space="preserve">Oklahoma Education Ass’n, Inc. v. Nigh</w:t>
      </w:r>
      <w:r>
        <w:t xml:space="preserve">, 642 P.2d 230 (Okla. 1982)</w:t>
      </w:r>
      <w:r>
        <w:t xml:space="preserve"> </w:t>
      </w:r>
      <w:r>
        <w:t xml:space="preserve">[@nigh-1982]</w:t>
      </w:r>
      <w:r>
        <w:t xml:space="preserve">, at 236 (</w:t>
      </w:r>
      <w:r>
        <w:t xml:space="preserve">“</w:t>
      </w:r>
      <w:r>
        <w:t xml:space="preserve">The express designation of the school lands and funds as a</w:t>
      </w:r>
      <w:r>
        <w:t xml:space="preserve"> </w:t>
      </w:r>
      <w:r>
        <w:t xml:space="preserve">‘</w:t>
      </w:r>
      <w:r>
        <w:t xml:space="preserve">sacred trust</w:t>
      </w:r>
      <w:r>
        <w:t xml:space="preserve">’</w:t>
      </w:r>
      <w:r>
        <w:t xml:space="preserve"> </w:t>
      </w:r>
      <w:r>
        <w:t xml:space="preserve">has the effect of irrevocably incorporating into the Enabling Act, Oklahoma Constitution, and conditions of the grant, all of the rules of law and duties governing the administration of trusts.</w:t>
      </w:r>
      <w:r>
        <w:t xml:space="preserve">”</w:t>
      </w:r>
      <w:r>
        <w:t xml:space="preserve">);</w:t>
      </w:r>
      <w:r>
        <w:t xml:space="preserve"> </w:t>
      </w:r>
      <w:r>
        <w:rPr>
          <w:b/>
        </w:rPr>
        <w:t xml:space="preserve">Montana</w:t>
      </w:r>
      <w:r>
        <w:t xml:space="preserve"> </w:t>
      </w:r>
      <w:r>
        <w:t xml:space="preserve">—</w:t>
      </w:r>
      <w:r>
        <w:t xml:space="preserve"> </w:t>
      </w:r>
      <w:r>
        <w:rPr>
          <w:i/>
        </w:rPr>
        <w:t xml:space="preserve">Montanans for the Responsible Use of the School Trust v. State</w:t>
      </w:r>
      <w:r>
        <w:t xml:space="preserve">, 1999 MT 263 (Mont. 1999)</w:t>
      </w:r>
      <w:r>
        <w:t xml:space="preserve"> </w:t>
      </w:r>
      <w:r>
        <w:t xml:space="preserve">[@montrust-1999]</w:t>
      </w:r>
      <w:r>
        <w:t xml:space="preserve"> </w:t>
      </w:r>
      <w:r>
        <w:t xml:space="preserve">(four statutes — §§ 77-1-130, 77-5-211, 77-6-304, 77-6-305 — and the Department’s below-market cabin-site rental policy struck, § 77-1-208 itself sustained on its face; the presumption of constitutionality does not save enactments that breach the trust framework);</w:t>
      </w:r>
      <w:r>
        <w:t xml:space="preserve"> </w:t>
      </w:r>
      <w:r>
        <w:rPr>
          <w:b/>
        </w:rPr>
        <w:t xml:space="preserve">Idaho</w:t>
      </w:r>
      <w:r>
        <w:t xml:space="preserve"> </w:t>
      </w:r>
      <w:r>
        <w:t xml:space="preserve">—</w:t>
      </w:r>
      <w:r>
        <w:t xml:space="preserve"> </w:t>
      </w:r>
      <w:r>
        <w:rPr>
          <w:i/>
        </w:rPr>
        <w:t xml:space="preserve">Idaho Watersheds Project v. State Board of Land Commissioners (IWP II)</w:t>
      </w:r>
      <w:r>
        <w:t xml:space="preserve">, 133 Idaho 64, 982 P.2d 367 (1999)</w:t>
      </w:r>
      <w:r>
        <w:t xml:space="preserve"> </w:t>
      </w:r>
      <w:r>
        <w:t xml:space="preserve">[@idaho-watersheds-ii-1999]</w:t>
      </w:r>
      <w:r>
        <w:t xml:space="preserve"> </w:t>
      </w:r>
      <w:r>
        <w:t xml:space="preserve">(Idaho Code § 58-310B — which let the Land Board withhold competing lease applications from public auction in service of</w:t>
      </w:r>
      <w:r>
        <w:t xml:space="preserve"> </w:t>
      </w:r>
      <w:r>
        <w:t xml:space="preserve">“</w:t>
      </w:r>
      <w:r>
        <w:t xml:space="preserve">a healthy Idaho livestock industry</w:t>
      </w:r>
      <w:r>
        <w:t xml:space="preserve">”</w:t>
      </w:r>
      <w:r>
        <w:t xml:space="preserve"> </w:t>
      </w:r>
      <w:r>
        <w:t xml:space="preserve">— invalid: the constitutional</w:t>
      </w:r>
      <w:r>
        <w:t xml:space="preserve"> </w:t>
      </w:r>
      <w:r>
        <w:t xml:space="preserve">“</w:t>
      </w:r>
      <w:r>
        <w:t xml:space="preserve">maximum long term financial return</w:t>
      </w:r>
      <w:r>
        <w:t xml:space="preserve">”</w:t>
      </w:r>
      <w:r>
        <w:t xml:space="preserve"> </w:t>
      </w:r>
      <w:r>
        <w:t xml:space="preserve">mandate permits the trustee to consider only the beneficiaries’ interest, and the legislature may not direct it elsewhere); the companion original proceeding decided the same year,</w:t>
      </w:r>
      <w:r>
        <w:t xml:space="preserve"> </w:t>
      </w:r>
      <w:r>
        <w:rPr>
          <w:i/>
        </w:rPr>
        <w:t xml:space="preserve">Idaho Watersheds Project v. State Board of Land Commissioners</w:t>
      </w:r>
      <w:r>
        <w:t xml:space="preserve">, 133 Idaho 55, 982 P.2d 358 (1999)</w:t>
      </w:r>
      <w:r>
        <w:t xml:space="preserve"> </w:t>
      </w:r>
      <w:r>
        <w:t xml:space="preserve">[@idaho-watersheds-1999]</w:t>
      </w:r>
      <w:r>
        <w:t xml:space="preserve">, granted a writ of prohibition barring implementation of H.J.R. 6 — a voter-approved measure that would, among other things, have narrowed the constitutional auction requirement from</w:t>
      </w:r>
      <w:r>
        <w:t xml:space="preserve"> </w:t>
      </w:r>
      <w:r>
        <w:t xml:space="preserve">“</w:t>
      </w:r>
      <w:r>
        <w:t xml:space="preserve">disposal</w:t>
      </w:r>
      <w:r>
        <w:t xml:space="preserve">”</w:t>
      </w:r>
      <w:r>
        <w:t xml:space="preserve"> </w:t>
      </w:r>
      <w:r>
        <w:t xml:space="preserve">to</w:t>
      </w:r>
      <w:r>
        <w:t xml:space="preserve"> </w:t>
      </w:r>
      <w:r>
        <w:t xml:space="preserve">“</w:t>
      </w:r>
      <w:r>
        <w:t xml:space="preserve">sale</w:t>
      </w:r>
      <w:r>
        <w:t xml:space="preserve">”</w:t>
      </w:r>
      <w:r>
        <w:t xml:space="preserve"> </w:t>
      </w:r>
      <w:r>
        <w:t xml:space="preserve">of endowment lands — because the resolution combined unrelated amendments in violation of the single-subject rule of Idaho Const. art. XX, § 2;</w:t>
      </w:r>
      <w:r>
        <w:t xml:space="preserve"> </w:t>
      </w:r>
      <w:r>
        <w:rPr>
          <w:b/>
        </w:rPr>
        <w:t xml:space="preserve">South Dakota</w:t>
      </w:r>
      <w:r>
        <w:t xml:space="preserve"> </w:t>
      </w:r>
      <w:r>
        <w:t xml:space="preserve">—</w:t>
      </w:r>
      <w:r>
        <w:t xml:space="preserve"> </w:t>
      </w:r>
      <w:r>
        <w:rPr>
          <w:i/>
        </w:rPr>
        <w:t xml:space="preserve">Kanaly v. State ex rel. Janklow</w:t>
      </w:r>
      <w:r>
        <w:t xml:space="preserve">, 368 N.W.2d 819 (S.D. 1985)</w:t>
      </w:r>
      <w:r>
        <w:t xml:space="preserve"> </w:t>
      </w:r>
      <w:r>
        <w:t xml:space="preserve">[@kanaly-1985]</w:t>
      </w:r>
      <w:r>
        <w:t xml:space="preserve"> </w:t>
      </w:r>
      <w:r>
        <w:t xml:space="preserve">(uncompensated legislative transfer of trust property to another state agency unconstitutional and in violation of the Enabling Act); the second opinion in the litigation is</w:t>
      </w:r>
      <w:r>
        <w:t xml:space="preserve"> </w:t>
      </w:r>
      <w:r>
        <w:rPr>
          <w:i/>
        </w:rPr>
        <w:t xml:space="preserve">Kanaly v. State ex rel. Janklow</w:t>
      </w:r>
      <w:r>
        <w:t xml:space="preserve">, 401 N.W.2d 551 (S.D. 1987) (reversing an attorney-fee award because the school trust is managed by the legislature rather than</w:t>
      </w:r>
      <w:r>
        <w:t xml:space="preserve"> </w:t>
      </w:r>
      <w:r>
        <w:t xml:space="preserve">“</w:t>
      </w:r>
      <w:r>
        <w:t xml:space="preserve">administered through the court</w:t>
      </w:r>
      <w:r>
        <w:t xml:space="preserve">”</w:t>
      </w:r>
      <w:r>
        <w:t xml:space="preserve">; restating</w:t>
      </w:r>
      <w:r>
        <w:t xml:space="preserve"> </w:t>
      </w:r>
      <w:r>
        <w:rPr>
          <w:i/>
        </w:rPr>
        <w:t xml:space="preserve">Kanaly I</w:t>
      </w:r>
      <w:r>
        <w:t xml:space="preserve">’s trust language); the</w:t>
      </w:r>
      <w:r>
        <w:t xml:space="preserve"> </w:t>
      </w:r>
      <w:r>
        <w:rPr>
          <w:i/>
        </w:rPr>
        <w:t xml:space="preserve">Kanaly</w:t>
      </w:r>
      <w:r>
        <w:t xml:space="preserve"> </w:t>
      </w:r>
      <w:r>
        <w:t xml:space="preserve">citation at 397 N.W.2d 374 (S.D. 1986) carried in some source materials appears to be erroneous — no such opinion exists in the retrieval record.</w:t>
      </w:r>
    </w:p>
  </w:footnote>
  <w:footnote w:id="166">
    <w:p>
      <w:pPr>
        <w:pStyle w:val="FootnoteText"/>
      </w:pPr>
      <w:r>
        <w:rPr>
          <w:rStyle w:val="FootnoteReference"/>
        </w:rPr>
        <w:footnoteRef/>
      </w:r>
      <w:r>
        <w:t xml:space="preserve"> </w:t>
      </w:r>
      <w:r>
        <w:rPr>
          <w:i/>
        </w:rPr>
        <w:t xml:space="preserve">County of Skamania v. State</w:t>
      </w:r>
      <w:r>
        <w:t xml:space="preserve">, 102 Wn.2d 127, 685 P.2d 576 (1984)</w:t>
      </w:r>
      <w:r>
        <w:t xml:space="preserve"> </w:t>
      </w:r>
      <w:r>
        <w:t xml:space="preserve">[@skamania-1984]</w:t>
      </w:r>
      <w:r>
        <w:t xml:space="preserve"> </w:t>
      </w:r>
      <w:r>
        <w:t xml:space="preserve">(invalidating legislation that released timber purchasers from contracts on trust lands:</w:t>
      </w:r>
      <w:r>
        <w:t xml:space="preserve"> </w:t>
      </w:r>
      <w:r>
        <w:t xml:space="preserve">“</w:t>
      </w:r>
      <w:r>
        <w:t xml:space="preserve">[W]hen the State transfers trust assets such as contract rights it must seek full value for the assets. … It may not sacrifice this goal to pursue other objectives, no matter how laudable those objectives may be</w:t>
      </w:r>
      <w:r>
        <w:t xml:space="preserve">”</w:t>
      </w:r>
      <w:r>
        <w:t xml:space="preserve">; the court found that the legislation acted to benefit the timber industry and the state economy at the expense of the trust beneficiaries, and held that</w:t>
      </w:r>
      <w:r>
        <w:t xml:space="preserve"> </w:t>
      </w:r>
      <w:r>
        <w:t xml:space="preserve">“</w:t>
      </w:r>
      <w:r>
        <w:t xml:space="preserve">the state as trustee may not use trust assets to pursue other state goals</w:t>
      </w:r>
      <w:r>
        <w:t xml:space="preserve">”</w:t>
      </w:r>
      <w:r>
        <w:t xml:space="preserve">).</w:t>
      </w:r>
    </w:p>
  </w:footnote>
  <w:footnote w:id="167">
    <w:p>
      <w:pPr>
        <w:pStyle w:val="FootnoteText"/>
      </w:pPr>
      <w:r>
        <w:rPr>
          <w:rStyle w:val="FootnoteReference"/>
        </w:rPr>
        <w:footnoteRef/>
      </w:r>
      <w:r>
        <w:t xml:space="preserve"> </w:t>
      </w:r>
      <w:r>
        <w:t xml:space="preserve">Affirmations with operative consequence, collected by state:</w:t>
      </w:r>
      <w:r>
        <w:t xml:space="preserve"> </w:t>
      </w:r>
      <w:r>
        <w:rPr>
          <w:b/>
        </w:rPr>
        <w:t xml:space="preserve">Alaska</w:t>
      </w:r>
      <w:r>
        <w:t xml:space="preserve"> </w:t>
      </w:r>
      <w:r>
        <w:t xml:space="preserve">—</w:t>
      </w:r>
      <w:r>
        <w:t xml:space="preserve"> </w:t>
      </w:r>
      <w:r>
        <w:rPr>
          <w:i/>
        </w:rPr>
        <w:t xml:space="preserve">State v. University of Alaska</w:t>
      </w:r>
      <w:r>
        <w:t xml:space="preserve">, 624 P.2d 807, 813 (Alaska 1981)</w:t>
      </w:r>
      <w:r>
        <w:t xml:space="preserve"> </w:t>
      </w:r>
      <w:r>
        <w:t xml:space="preserve">[@university-of-alaska-1981]</w:t>
      </w:r>
      <w:r>
        <w:t xml:space="preserve"> </w:t>
      </w:r>
      <w:r>
        <w:t xml:space="preserve">(adopting the private-trust rule that</w:t>
      </w:r>
      <w:r>
        <w:t xml:space="preserve"> </w:t>
      </w:r>
      <w:r>
        <w:t xml:space="preserve">“</w:t>
      </w:r>
      <w:r>
        <w:t xml:space="preserve">[i]t is the duty of a trustee to administer the trust solely in the interest of the beneficiaries,</w:t>
      </w:r>
      <w:r>
        <w:t xml:space="preserve">”</w:t>
      </w:r>
      <w:r>
        <w:t xml:space="preserve"> </w:t>
      </w:r>
      <w:r>
        <w:t xml:space="preserve">at 813, quoting Scott on Trusts § 170 — verified against the full opinion, 2026-06-10);</w:t>
      </w:r>
      <w:r>
        <w:t xml:space="preserve"> </w:t>
      </w:r>
      <w:r>
        <w:rPr>
          <w:i/>
        </w:rPr>
        <w:t xml:space="preserve">State v. Weiss</w:t>
      </w:r>
      <w:r>
        <w:t xml:space="preserve">, 706 P.2d 681, 683 (Alaska 1985)</w:t>
      </w:r>
      <w:r>
        <w:t xml:space="preserve"> </w:t>
      </w:r>
      <w:r>
        <w:t xml:space="preserve">[@weiss-1985]</w:t>
      </w:r>
      <w:r>
        <w:t xml:space="preserve"> </w:t>
      </w:r>
      <w:r>
        <w:t xml:space="preserve">(mental-health lands trust;</w:t>
      </w:r>
      <w:r>
        <w:t xml:space="preserve"> </w:t>
      </w:r>
      <w:r>
        <w:t xml:space="preserve">“</w:t>
      </w:r>
      <w:r>
        <w:t xml:space="preserve">without trust property there can be no trust</w:t>
      </w:r>
      <w:r>
        <w:t xml:space="preserve">”</w:t>
      </w:r>
      <w:r>
        <w:t xml:space="preserve"> </w:t>
      </w:r>
      <w:r>
        <w:t xml:space="preserve">— verbatim at</w:t>
      </w:r>
      <w:r>
        <w:t xml:space="preserve"> </w:t>
      </w:r>
      <w:r>
        <w:rPr>
          <w:i/>
        </w:rPr>
        <w:t xml:space="preserve">683, verified 2026-06-10);</w:t>
      </w:r>
      <w:r>
        <w:rPr>
          <w:i/>
        </w:rPr>
        <w:t xml:space="preserve"> </w:t>
      </w:r>
      <w:r>
        <w:rPr>
          <w:b/>
          <w:i/>
        </w:rPr>
        <w:t xml:space="preserve">Arizona</w:t>
      </w:r>
      <w:r>
        <w:rPr>
          <w:i/>
        </w:rPr>
        <w:t xml:space="preserve"> </w:t>
      </w:r>
      <w:r>
        <w:rPr>
          <w:i/>
        </w:rPr>
        <w:t xml:space="preserve">—</w:t>
      </w:r>
      <w:r>
        <w:rPr>
          <w:i/>
        </w:rPr>
        <w:t xml:space="preserve"> </w:t>
      </w:r>
      <w:r>
        <w:t xml:space="preserve">Deer Valley Unified School District No. 97 v. Superior Court</w:t>
      </w:r>
      <w:r>
        <w:rPr>
          <w:i/>
        </w:rPr>
        <w:t xml:space="preserve">, 157 Ariz. 537, 760 P.2d 537 (1988)</w:t>
      </w:r>
      <w:r>
        <w:rPr>
          <w:i/>
        </w:rPr>
        <w:t xml:space="preserve"> </w:t>
      </w:r>
      <w:r>
        <w:rPr>
          <w:i/>
        </w:rPr>
        <w:t xml:space="preserve">[@deer-valley-1988]</w:t>
      </w:r>
      <w:r>
        <w:rPr>
          <w:i/>
        </w:rPr>
        <w:t xml:space="preserve"> </w:t>
      </w:r>
      <w:r>
        <w:rPr>
          <w:i/>
        </w:rPr>
        <w:t xml:space="preserve">(school trust land not subject to condemnation by other state actors);</w:t>
      </w:r>
      <w:r>
        <w:rPr>
          <w:i/>
        </w:rPr>
        <w:t xml:space="preserve"> </w:t>
      </w:r>
      <w:r>
        <w:rPr>
          <w:b/>
          <w:i/>
        </w:rPr>
        <w:t xml:space="preserve">Colorado (federal)</w:t>
      </w:r>
      <w:r>
        <w:rPr>
          <w:i/>
        </w:rPr>
        <w:t xml:space="preserve"> </w:t>
      </w:r>
      <w:r>
        <w:rPr>
          <w:i/>
        </w:rPr>
        <w:t xml:space="preserve">—</w:t>
      </w:r>
      <w:r>
        <w:rPr>
          <w:i/>
        </w:rPr>
        <w:t xml:space="preserve"> </w:t>
      </w:r>
      <w:r>
        <w:t xml:space="preserve">Branson</w:t>
      </w:r>
      <w:r>
        <w:rPr>
          <w:i/>
        </w:rPr>
        <w:t xml:space="preserve">, 161 F.3d 619 (10th Cir. 1998)</w:t>
      </w:r>
      <w:r>
        <w:rPr>
          <w:i/>
        </w:rPr>
        <w:t xml:space="preserve"> </w:t>
      </w:r>
      <w:r>
        <w:rPr>
          <w:i/>
        </w:rPr>
        <w:t xml:space="preserve">[@branson-1998]</w:t>
      </w:r>
      <w:r>
        <w:rPr>
          <w:i/>
        </w:rPr>
        <w:t xml:space="preserve">;</w:t>
      </w:r>
      <w:r>
        <w:rPr>
          <w:i/>
        </w:rPr>
        <w:t xml:space="preserve"> </w:t>
      </w:r>
      <w:r>
        <w:rPr>
          <w:b/>
          <w:i/>
        </w:rPr>
        <w:t xml:space="preserve">Idaho</w:t>
      </w:r>
      <w:r>
        <w:rPr>
          <w:i/>
        </w:rPr>
        <w:t xml:space="preserve"> </w:t>
      </w:r>
      <w:r>
        <w:rPr>
          <w:i/>
        </w:rPr>
        <w:t xml:space="preserve">—</w:t>
      </w:r>
      <w:r>
        <w:rPr>
          <w:i/>
        </w:rPr>
        <w:t xml:space="preserve"> </w:t>
      </w:r>
      <w:r>
        <w:t xml:space="preserve">Idaho Watersheds Project (IWP II)</w:t>
      </w:r>
      <w:r>
        <w:rPr>
          <w:i/>
        </w:rPr>
        <w:t xml:space="preserve">, 133 Idaho 64, 982 P.2d 367 (1999)</w:t>
      </w:r>
      <w:r>
        <w:rPr>
          <w:i/>
        </w:rPr>
        <w:t xml:space="preserve"> </w:t>
      </w:r>
      <w:r>
        <w:rPr>
          <w:i/>
        </w:rPr>
        <w:t xml:space="preserve">[@idaho-watersheds-ii-1999]</w:t>
      </w:r>
      <w:r>
        <w:rPr>
          <w:i/>
        </w:rPr>
        <w:t xml:space="preserve">;</w:t>
      </w:r>
      <w:r>
        <w:rPr>
          <w:i/>
        </w:rPr>
        <w:t xml:space="preserve"> </w:t>
      </w:r>
      <w:r>
        <w:rPr>
          <w:b/>
          <w:i/>
        </w:rPr>
        <w:t xml:space="preserve">Louisiana</w:t>
      </w:r>
      <w:r>
        <w:rPr>
          <w:i/>
        </w:rPr>
        <w:t xml:space="preserve"> </w:t>
      </w:r>
      <w:r>
        <w:rPr>
          <w:i/>
        </w:rPr>
        <w:t xml:space="preserve">—</w:t>
      </w:r>
      <w:r>
        <w:rPr>
          <w:i/>
        </w:rPr>
        <w:t xml:space="preserve"> </w:t>
      </w:r>
      <w:r>
        <w:t xml:space="preserve">Ebey v. Avoyelles Parish School Board</w:t>
      </w:r>
      <w:r>
        <w:rPr>
          <w:i/>
        </w:rPr>
        <w:t xml:space="preserve">, 861 So. 2d 910 (La. App. 3 Cir. 2003)</w:t>
      </w:r>
      <w:r>
        <w:rPr>
          <w:i/>
        </w:rPr>
        <w:t xml:space="preserve"> </w:t>
      </w:r>
      <w:r>
        <w:rPr>
          <w:i/>
        </w:rPr>
        <w:t xml:space="preserve">[@ebey-2003]</w:t>
      </w:r>
      <w:r>
        <w:rPr>
          <w:i/>
        </w:rPr>
        <w:t xml:space="preserve">;</w:t>
      </w:r>
      <w:r>
        <w:rPr>
          <w:i/>
        </w:rPr>
        <w:t xml:space="preserve"> </w:t>
      </w:r>
      <w:r>
        <w:rPr>
          <w:b/>
          <w:i/>
        </w:rPr>
        <w:t xml:space="preserve">Mississippi</w:t>
      </w:r>
      <w:r>
        <w:rPr>
          <w:i/>
        </w:rPr>
        <w:t xml:space="preserve"> </w:t>
      </w:r>
      <w:r>
        <w:rPr>
          <w:i/>
        </w:rPr>
        <w:t xml:space="preserve">—</w:t>
      </w:r>
      <w:r>
        <w:rPr>
          <w:i/>
        </w:rPr>
        <w:t xml:space="preserve"> </w:t>
      </w:r>
      <w:r>
        <w:t xml:space="preserve">Clark v. Stephen D. Lee Foundation</w:t>
      </w:r>
      <w:r>
        <w:rPr>
          <w:i/>
        </w:rPr>
        <w:t xml:space="preserve">, 887 So. 2d 798 (Miss. 2004)</w:t>
      </w:r>
      <w:r>
        <w:rPr>
          <w:i/>
        </w:rPr>
        <w:t xml:space="preserve"> </w:t>
      </w:r>
      <w:r>
        <w:rPr>
          <w:i/>
        </w:rPr>
        <w:t xml:space="preserve">[@clark-2004]</w:t>
      </w:r>
      <w:r>
        <w:rPr>
          <w:i/>
        </w:rPr>
        <w:t xml:space="preserve">;</w:t>
      </w:r>
      <w:r>
        <w:rPr>
          <w:i/>
        </w:rPr>
        <w:t xml:space="preserve"> </w:t>
      </w:r>
      <w:r>
        <w:rPr>
          <w:b/>
          <w:i/>
        </w:rPr>
        <w:t xml:space="preserve">Montana</w:t>
      </w:r>
      <w:r>
        <w:rPr>
          <w:i/>
        </w:rPr>
        <w:t xml:space="preserve"> </w:t>
      </w:r>
      <w:r>
        <w:rPr>
          <w:i/>
        </w:rPr>
        <w:t xml:space="preserve">—</w:t>
      </w:r>
      <w:r>
        <w:rPr>
          <w:i/>
        </w:rPr>
        <w:t xml:space="preserve"> </w:t>
      </w:r>
      <w:r>
        <w:t xml:space="preserve">Department of State Lands v. Pettibone</w:t>
      </w:r>
      <w:r>
        <w:rPr>
          <w:i/>
        </w:rPr>
        <w:t xml:space="preserve">, 702 P.2d 948 (Mont. 1985)</w:t>
      </w:r>
      <w:r>
        <w:rPr>
          <w:i/>
        </w:rPr>
        <w:t xml:space="preserve"> </w:t>
      </w:r>
      <w:r>
        <w:rPr>
          <w:i/>
        </w:rPr>
        <w:t xml:space="preserve">[@pettibone-1985]</w:t>
      </w:r>
      <w:r>
        <w:rPr>
          <w:i/>
        </w:rPr>
        <w:t xml:space="preserve"> </w:t>
      </w:r>
      <w:r>
        <w:rPr>
          <w:i/>
        </w:rPr>
        <w:t xml:space="preserve">(school trust lands subject to a different set of rules than other public lands);</w:t>
      </w:r>
      <w:r>
        <w:rPr>
          <w:i/>
        </w:rPr>
        <w:t xml:space="preserve"> </w:t>
      </w:r>
      <w:r>
        <w:t xml:space="preserve">Friends of the Wild Swan v. DNRC</w:t>
      </w:r>
      <w:r>
        <w:rPr>
          <w:i/>
        </w:rPr>
        <w:t xml:space="preserve">, 2005 MT 351, 330 Mont. 186</w:t>
      </w:r>
      <w:r>
        <w:rPr>
          <w:i/>
        </w:rPr>
        <w:t xml:space="preserve"> </w:t>
      </w:r>
      <w:r>
        <w:rPr>
          <w:i/>
        </w:rPr>
        <w:t xml:space="preserve">[@wild-swan-2005]</w:t>
      </w:r>
      <w:r>
        <w:rPr>
          <w:i/>
        </w:rPr>
        <w:t xml:space="preserve"> </w:t>
      </w:r>
      <w:r>
        <w:rPr>
          <w:i/>
        </w:rPr>
        <w:t xml:space="preserve">(lands accepted on the Enabling Act’s terms, held in trust with the State as trustee);</w:t>
      </w:r>
      <w:r>
        <w:rPr>
          <w:i/>
        </w:rPr>
        <w:t xml:space="preserve"> </w:t>
      </w:r>
      <w:r>
        <w:rPr>
          <w:b/>
          <w:i/>
        </w:rPr>
        <w:t xml:space="preserve">New Mexico</w:t>
      </w:r>
      <w:r>
        <w:rPr>
          <w:i/>
        </w:rPr>
        <w:t xml:space="preserve"> </w:t>
      </w:r>
      <w:r>
        <w:rPr>
          <w:i/>
        </w:rPr>
        <w:t xml:space="preserve">—</w:t>
      </w:r>
      <w:r>
        <w:rPr>
          <w:i/>
        </w:rPr>
        <w:t xml:space="preserve"> </w:t>
      </w:r>
      <w:r>
        <w:t xml:space="preserve">State ex rel. State Highway Commission v. Walker</w:t>
      </w:r>
      <w:r>
        <w:rPr>
          <w:i/>
        </w:rPr>
        <w:t xml:space="preserve">, 61 N.M. 374, 301 P.2d 317 (1956)</w:t>
      </w:r>
      <w:r>
        <w:rPr>
          <w:i/>
        </w:rPr>
        <w:t xml:space="preserve"> </w:t>
      </w:r>
      <w:r>
        <w:rPr>
          <w:i/>
        </w:rPr>
        <w:t xml:space="preserve">[@walker-1956]</w:t>
      </w:r>
      <w:r>
        <w:rPr>
          <w:i/>
        </w:rPr>
        <w:t xml:space="preserve"> </w:t>
      </w:r>
      <w:r>
        <w:rPr>
          <w:i/>
        </w:rPr>
        <w:t xml:space="preserve">(trust framework applies to internal state takings);</w:t>
      </w:r>
      <w:r>
        <w:rPr>
          <w:i/>
        </w:rPr>
        <w:t xml:space="preserve"> </w:t>
      </w:r>
      <w:r>
        <w:t xml:space="preserve">State ex rel. King v. Lyons</w:t>
      </w:r>
      <w:r>
        <w:rPr>
          <w:i/>
        </w:rPr>
        <w:t xml:space="preserve">, 2011-NMSC-004, 248 P.3d 878</w:t>
      </w:r>
      <w:r>
        <w:rPr>
          <w:i/>
        </w:rPr>
        <w:t xml:space="preserve"> </w:t>
      </w:r>
      <w:r>
        <w:rPr>
          <w:i/>
        </w:rPr>
        <w:t xml:space="preserve">[@lyons-2011]</w:t>
      </w:r>
      <w:r>
        <w:rPr>
          <w:i/>
        </w:rPr>
        <w:t xml:space="preserve">;</w:t>
      </w:r>
      <w:r>
        <w:rPr>
          <w:i/>
        </w:rPr>
        <w:t xml:space="preserve"> </w:t>
      </w:r>
      <w:r>
        <w:rPr>
          <w:b/>
          <w:i/>
        </w:rPr>
        <w:t xml:space="preserve">Oklahoma</w:t>
      </w:r>
      <w:r>
        <w:rPr>
          <w:i/>
        </w:rPr>
        <w:t xml:space="preserve"> </w:t>
      </w:r>
      <w:r>
        <w:rPr>
          <w:i/>
        </w:rPr>
        <w:t xml:space="preserve">—</w:t>
      </w:r>
      <w:r>
        <w:rPr>
          <w:i/>
        </w:rPr>
        <w:t xml:space="preserve"> </w:t>
      </w:r>
      <w:r>
        <w:t xml:space="preserve">Nigh</w:t>
      </w:r>
      <w:r>
        <w:rPr>
          <w:i/>
        </w:rPr>
        <w:t xml:space="preserve">, 642 P.2d 230 (Okla. 1982)</w:t>
      </w:r>
      <w:r>
        <w:rPr>
          <w:i/>
        </w:rPr>
        <w:t xml:space="preserve"> </w:t>
      </w:r>
      <w:r>
        <w:rPr>
          <w:i/>
        </w:rPr>
        <w:t xml:space="preserve">[@nigh-1982]</w:t>
      </w:r>
      <w:r>
        <w:rPr>
          <w:i/>
        </w:rPr>
        <w:t xml:space="preserve">;</w:t>
      </w:r>
      <w:r>
        <w:rPr>
          <w:i/>
        </w:rPr>
        <w:t xml:space="preserve"> </w:t>
      </w:r>
      <w:r>
        <w:rPr>
          <w:b/>
          <w:i/>
        </w:rPr>
        <w:t xml:space="preserve">South Dakota</w:t>
      </w:r>
      <w:r>
        <w:rPr>
          <w:i/>
        </w:rPr>
        <w:t xml:space="preserve"> </w:t>
      </w:r>
      <w:r>
        <w:rPr>
          <w:i/>
        </w:rPr>
        <w:t xml:space="preserve">—</w:t>
      </w:r>
      <w:r>
        <w:rPr>
          <w:i/>
        </w:rPr>
        <w:t xml:space="preserve"> </w:t>
      </w:r>
      <w:r>
        <w:t xml:space="preserve">Kanaly</w:t>
      </w:r>
      <w:r>
        <w:rPr>
          <w:i/>
        </w:rPr>
        <w:t xml:space="preserve">, 368 N.W.2d 819, 823 (S.D. 1985)</w:t>
      </w:r>
      <w:r>
        <w:rPr>
          <w:i/>
        </w:rPr>
        <w:t xml:space="preserve"> </w:t>
      </w:r>
      <w:r>
        <w:rPr>
          <w:i/>
        </w:rPr>
        <w:t xml:space="preserve">[@kanaly-1985]</w:t>
      </w:r>
      <w:r>
        <w:rPr>
          <w:i/>
        </w:rPr>
        <w:t xml:space="preserve">;</w:t>
      </w:r>
      <w:r>
        <w:rPr>
          <w:i/>
        </w:rPr>
        <w:t xml:space="preserve"> </w:t>
      </w:r>
      <w:r>
        <w:rPr>
          <w:b/>
          <w:i/>
        </w:rPr>
        <w:t xml:space="preserve">Utah</w:t>
      </w:r>
      <w:r>
        <w:rPr>
          <w:i/>
        </w:rPr>
        <w:t xml:space="preserve"> </w:t>
      </w:r>
      <w:r>
        <w:rPr>
          <w:i/>
        </w:rPr>
        <w:t xml:space="preserve">—</w:t>
      </w:r>
      <w:r>
        <w:rPr>
          <w:i/>
        </w:rPr>
        <w:t xml:space="preserve"> </w:t>
      </w:r>
      <w:r>
        <w:t xml:space="preserve">Plateau Mining Co. v. Utah Division of State Lands &amp; Forestry</w:t>
      </w:r>
      <w:r>
        <w:rPr>
          <w:i/>
        </w:rPr>
        <w:t xml:space="preserve">, 802 P.2d 720 (Utah 1990)</w:t>
      </w:r>
      <w:r>
        <w:rPr>
          <w:i/>
        </w:rPr>
        <w:t xml:space="preserve"> </w:t>
      </w:r>
      <w:r>
        <w:rPr>
          <w:i/>
        </w:rPr>
        <w:t xml:space="preserve">[@plateau-1990]</w:t>
      </w:r>
      <w:r>
        <w:rPr>
          <w:i/>
        </w:rPr>
        <w:t xml:space="preserve"> </w:t>
      </w:r>
      <w:r>
        <w:rPr>
          <w:i/>
        </w:rPr>
        <w:t xml:space="preserve">(the state’s acceptance of below-market payments does not waive the trust’s right to full payment);</w:t>
      </w:r>
      <w:r>
        <w:rPr>
          <w:i/>
        </w:rPr>
        <w:t xml:space="preserve"> </w:t>
      </w:r>
      <w:r>
        <w:t xml:space="preserve">National Parks &amp; Conservation Association v. Board of State Lands</w:t>
      </w:r>
      <w:r>
        <w:rPr>
          <w:i/>
        </w:rPr>
        <w:t xml:space="preserve">, 869 P.2d 909 (Utah 1993)</w:t>
      </w:r>
      <w:r>
        <w:rPr>
          <w:i/>
        </w:rPr>
        <w:t xml:space="preserve"> </w:t>
      </w:r>
      <w:r>
        <w:rPr>
          <w:i/>
        </w:rPr>
        <w:t xml:space="preserve">[@npca-1993]</w:t>
      </w:r>
      <w:r>
        <w:rPr>
          <w:i/>
        </w:rPr>
        <w:t xml:space="preserve">;</w:t>
      </w:r>
      <w:r>
        <w:rPr>
          <w:i/>
        </w:rPr>
        <w:t xml:space="preserve"> </w:t>
      </w:r>
      <w:r>
        <w:rPr>
          <w:b/>
          <w:i/>
        </w:rPr>
        <w:t xml:space="preserve">Washington</w:t>
      </w:r>
      <w:r>
        <w:rPr>
          <w:i/>
        </w:rPr>
        <w:t xml:space="preserve"> </w:t>
      </w:r>
      <w:r>
        <w:rPr>
          <w:i/>
        </w:rPr>
        <w:t xml:space="preserve">—</w:t>
      </w:r>
      <w:r>
        <w:rPr>
          <w:i/>
        </w:rPr>
        <w:t xml:space="preserve"> </w:t>
      </w:r>
      <w:r>
        <w:t xml:space="preserve">Skamania</w:t>
      </w:r>
      <w:r>
        <w:rPr>
          <w:i/>
        </w:rPr>
        <w:t xml:space="preserve">, 102 Wn.2d 127 (1984)</w:t>
      </w:r>
      <w:r>
        <w:rPr>
          <w:i/>
        </w:rPr>
        <w:t xml:space="preserve"> </w:t>
      </w:r>
      <w:r>
        <w:rPr>
          <w:i/>
        </w:rPr>
        <w:t xml:space="preserve">[@skamania-1984]</w:t>
      </w:r>
      <w:r>
        <w:rPr>
          <w:i/>
        </w:rPr>
        <w:t xml:space="preserve">;</w:t>
      </w:r>
      <w:r>
        <w:rPr>
          <w:i/>
        </w:rPr>
        <w:t xml:space="preserve"> </w:t>
      </w:r>
      <w:r>
        <w:t xml:space="preserve">Conservation Northwest*, 200 Wn.2d 8 (Wash. 2022)</w:t>
      </w:r>
      <w:r>
        <w:t xml:space="preserve"> </w:t>
      </w:r>
      <w:r>
        <w:t xml:space="preserve">[@conservation-nw-2022]</w:t>
      </w:r>
      <w:r>
        <w:t xml:space="preserve">.</w:t>
      </w:r>
    </w:p>
  </w:footnote>
  <w:footnote w:id="169">
    <w:p>
      <w:pPr>
        <w:pStyle w:val="FootnoteText"/>
      </w:pPr>
      <w:r>
        <w:rPr>
          <w:rStyle w:val="FootnoteReference"/>
        </w:rPr>
        <w:footnoteRef/>
      </w:r>
      <w:r>
        <w:t xml:space="preserve"> </w:t>
      </w:r>
      <w:r>
        <w:rPr>
          <w:i/>
        </w:rPr>
        <w:t xml:space="preserve">Schneider v. Hutchinson</w:t>
      </w:r>
      <w:r>
        <w:t xml:space="preserve">, 35 Or 253, 258 (1899)</w:t>
      </w:r>
      <w:r>
        <w:t xml:space="preserve"> </w:t>
      </w:r>
      <w:r>
        <w:t xml:space="preserve">[@schneider-1899]</w:t>
      </w:r>
      <w:r>
        <w:t xml:space="preserve">. The full phrase repays attention: the grant is</w:t>
      </w:r>
      <w:r>
        <w:t xml:space="preserve"> </w:t>
      </w:r>
      <w:r>
        <w:t xml:space="preserve">“</w:t>
      </w:r>
      <w:r>
        <w:t xml:space="preserve">absolute</w:t>
      </w:r>
      <w:r>
        <w:t xml:space="preserve">”</w:t>
      </w:r>
      <w:r>
        <w:t xml:space="preserve"> </w:t>
      </w:r>
      <w:r>
        <w:t xml:space="preserve">as to irrevocability, but it vests title</w:t>
      </w:r>
      <w:r>
        <w:t xml:space="preserve"> </w:t>
      </w:r>
      <w:r>
        <w:t xml:space="preserve">“</w:t>
      </w:r>
      <w:r>
        <w:t xml:space="preserve">for a special purpose</w:t>
      </w:r>
      <w:r>
        <w:t xml:space="preserve">”</w:t>
      </w:r>
      <w:r>
        <w:t xml:space="preserve"> </w:t>
      </w:r>
      <w:r>
        <w:t xml:space="preserve">— and the special purpose is the source of the obligation.</w:t>
      </w:r>
    </w:p>
  </w:footnote>
  <w:footnote w:id="170">
    <w:p>
      <w:pPr>
        <w:pStyle w:val="FootnoteText"/>
      </w:pPr>
      <w:r>
        <w:rPr>
          <w:rStyle w:val="FootnoteReference"/>
        </w:rPr>
        <w:footnoteRef/>
      </w:r>
      <w:r>
        <w:t xml:space="preserve"> </w:t>
      </w:r>
      <w:r>
        <w:rPr>
          <w:i/>
        </w:rPr>
        <w:t xml:space="preserve">Grand Prize Hydraulic Mines v. Boswell</w:t>
      </w:r>
      <w:r>
        <w:t xml:space="preserve">, 83 Or 1, 6-7 (1917)</w:t>
      </w:r>
      <w:r>
        <w:t xml:space="preserve"> </w:t>
      </w:r>
      <w:r>
        <w:t xml:space="preserve">[@grand-prize-1917]</w:t>
      </w:r>
      <w:r>
        <w:t xml:space="preserve">;</w:t>
      </w:r>
      <w:r>
        <w:t xml:space="preserve"> </w:t>
      </w:r>
      <w:r>
        <w:rPr>
          <w:i/>
        </w:rPr>
        <w:t xml:space="preserve">State Land Board v. Lee</w:t>
      </w:r>
      <w:r>
        <w:t xml:space="preserve">, 84 Or 431, 441-42 (1917)</w:t>
      </w:r>
      <w:r>
        <w:t xml:space="preserve"> </w:t>
      </w:r>
      <w:r>
        <w:t xml:space="preserve">[@lee-1917]</w:t>
      </w:r>
      <w:r>
        <w:t xml:space="preserve">.</w:t>
      </w:r>
    </w:p>
  </w:footnote>
  <w:footnote w:id="171">
    <w:p>
      <w:pPr>
        <w:pStyle w:val="FootnoteText"/>
      </w:pPr>
      <w:r>
        <w:rPr>
          <w:rStyle w:val="FootnoteReference"/>
        </w:rPr>
        <w:footnoteRef/>
      </w:r>
      <w:r>
        <w:t xml:space="preserve"> </w:t>
      </w:r>
      <w:r>
        <w:rPr>
          <w:i/>
        </w:rPr>
        <w:t xml:space="preserve">Eagle Point Irrigation District v. Cowden</w:t>
      </w:r>
      <w:r>
        <w:t xml:space="preserve">, 137 Or 121, 124 (1931)</w:t>
      </w:r>
      <w:r>
        <w:t xml:space="preserve"> </w:t>
      </w:r>
      <w:r>
        <w:t xml:space="preserve">[@eagle-point-1931]</w:t>
      </w:r>
      <w:r>
        <w:t xml:space="preserve"> </w:t>
      </w:r>
      <w:r>
        <w:t xml:space="preserve">(</w:t>
      </w:r>
      <w:r>
        <w:t xml:space="preserve">“</w:t>
      </w:r>
      <w:r>
        <w:t xml:space="preserve">The state land board in loaning these funds does so in the execution of a trust of the highest nature, which has been created by the fundamental law of this state.</w:t>
      </w:r>
      <w:r>
        <w:t xml:space="preserve">”</w:t>
      </w:r>
      <w:r>
        <w:t xml:space="preserve">).</w:t>
      </w:r>
    </w:p>
  </w:footnote>
  <w:footnote w:id="172">
    <w:p>
      <w:pPr>
        <w:pStyle w:val="FootnoteText"/>
      </w:pPr>
      <w:r>
        <w:rPr>
          <w:rStyle w:val="FootnoteReference"/>
        </w:rPr>
        <w:footnoteRef/>
      </w:r>
      <w:r>
        <w:t xml:space="preserve"> </w:t>
      </w:r>
      <w:r>
        <w:rPr>
          <w:i/>
        </w:rPr>
        <w:t xml:space="preserve">Cascadia Wildlands v. Department of State Lands</w:t>
      </w:r>
      <w:r>
        <w:t xml:space="preserve">, 365 Or 750 (2019)</w:t>
      </w:r>
      <w:r>
        <w:t xml:space="preserve"> </w:t>
      </w:r>
      <w:r>
        <w:t xml:space="preserve">[@cascadia-2019]</w:t>
      </w:r>
      <w:r>
        <w:t xml:space="preserve"> </w:t>
      </w:r>
      <w:r>
        <w:t xml:space="preserve">(pin pages pending the final citation check against the bound reporter).</w:t>
      </w:r>
    </w:p>
  </w:footnote>
  <w:footnote w:id="173">
    <w:p>
      <w:pPr>
        <w:pStyle w:val="FootnoteText"/>
      </w:pPr>
      <w:r>
        <w:rPr>
          <w:rStyle w:val="FootnoteReference"/>
        </w:rPr>
        <w:footnoteRef/>
      </w:r>
      <w:r>
        <w:t xml:space="preserve"> </w:t>
      </w:r>
      <w:r>
        <w:t xml:space="preserve">46 Op Atty Gen 468, Op. No. 8223 (Or. July 24, 1992)</w:t>
      </w:r>
      <w:r>
        <w:t xml:space="preserve"> </w:t>
      </w:r>
      <w:r>
        <w:t xml:space="preserve">[@ag-or-8223-1992]</w:t>
      </w:r>
      <w:r>
        <w:t xml:space="preserve"> </w:t>
      </w:r>
      <w:r>
        <w:t xml:space="preserve">(Crookham, A.G. — signatory confirmed against the L0 PDF; the opinion is signed CHARLES S. CROOKHAM, Attorney General); accord 43 Op Atty Gen 140, Op. No. 8135 (Or. 1983)</w:t>
      </w:r>
      <w:r>
        <w:t xml:space="preserve"> </w:t>
      </w:r>
      <w:r>
        <w:t xml:space="preserve">[@ag-or-8135-1983]</w:t>
      </w:r>
      <w:r>
        <w:t xml:space="preserve"> </w:t>
      </w:r>
      <w:r>
        <w:t xml:space="preserve">(the Common School Fund</w:t>
      </w:r>
      <w:r>
        <w:t xml:space="preserve"> </w:t>
      </w:r>
      <w:r>
        <w:t xml:space="preserve">“</w:t>
      </w:r>
      <w:r>
        <w:t xml:space="preserve">is a trust which must be invested … only in such manner as will obtain the maximum financial benefit over time to the fund</w:t>
      </w:r>
      <w:r>
        <w:t xml:space="preserve">”</w:t>
      </w:r>
      <w:r>
        <w:t xml:space="preserve">) [VERIFY quotation — the 1983 opinion is not yet in L0].</w:t>
      </w:r>
    </w:p>
  </w:footnote>
  <w:footnote w:id="174">
    <w:p>
      <w:pPr>
        <w:pStyle w:val="FootnoteText"/>
      </w:pPr>
      <w:r>
        <w:rPr>
          <w:rStyle w:val="FootnoteReference"/>
        </w:rPr>
        <w:footnoteRef/>
      </w:r>
      <w:r>
        <w:t xml:space="preserve"> </w:t>
      </w:r>
      <w:r>
        <w:rPr>
          <w:i/>
        </w:rPr>
        <w:t xml:space="preserve">Johnson v. Department of Revenue</w:t>
      </w:r>
      <w:r>
        <w:t xml:space="preserve">, 292 Or 373 (1982)</w:t>
      </w:r>
      <w:r>
        <w:t xml:space="preserve"> </w:t>
      </w:r>
      <w:r>
        <w:t xml:space="preserve">[@johnson-1982]</w:t>
      </w:r>
      <w:r>
        <w:t xml:space="preserve">, quoted in</w:t>
      </w:r>
      <w:r>
        <w:t xml:space="preserve"> </w:t>
      </w:r>
      <w:r>
        <w:rPr>
          <w:i/>
        </w:rPr>
        <w:t xml:space="preserve">Cascadia Wildlands</w:t>
      </w:r>
      <w:r>
        <w:t xml:space="preserve">, 365 Or at 764</w:t>
      </w:r>
      <w:r>
        <w:t xml:space="preserve"> </w:t>
      </w:r>
      <w:r>
        <w:t xml:space="preserve">[@cascadia-2019]</w:t>
      </w:r>
      <w:r>
        <w:t xml:space="preserve"> </w:t>
      </w:r>
      <w:r>
        <w:t xml:space="preserve">(pin corrected from 763-64 against the full opinion, 2026-06-10).</w:t>
      </w:r>
      <w:r>
        <w:t xml:space="preserve"> </w:t>
      </w:r>
      <w:r>
        <w:rPr>
          <w:i/>
        </w:rPr>
        <w:t xml:space="preserve">Johnson</w:t>
      </w:r>
      <w:r>
        <w:t xml:space="preserve"> </w:t>
      </w:r>
      <w:r>
        <w:t xml:space="preserve">simultaneously states the affirmative duty: the constitutional goal</w:t>
      </w:r>
      <w:r>
        <w:t xml:space="preserve"> </w:t>
      </w:r>
      <w:r>
        <w:t xml:space="preserve">“</w:t>
      </w:r>
      <w:r>
        <w:t xml:space="preserve">requires the State Land Board, and the legislature as supervisor, to use lands dedicated to the common school fund in such a way as to derive the greatest net profit for the people of this state.</w:t>
      </w:r>
      <w:r>
        <w:t xml:space="preserve">”</w:t>
      </w:r>
      <w:r>
        <w:t xml:space="preserve"> </w:t>
      </w:r>
      <w:r>
        <w:rPr>
          <w:i/>
        </w:rPr>
        <w:t xml:space="preserve">Id.</w:t>
      </w:r>
      <w:r>
        <w:t xml:space="preserve"> </w:t>
      </w:r>
      <w:r>
        <w:t xml:space="preserve">at 382.</w:t>
      </w:r>
    </w:p>
  </w:footnote>
  <w:footnote w:id="175">
    <w:p>
      <w:pPr>
        <w:pStyle w:val="FootnoteText"/>
      </w:pPr>
      <w:r>
        <w:rPr>
          <w:rStyle w:val="FootnoteReference"/>
        </w:rPr>
        <w:footnoteRef/>
      </w:r>
      <w:r>
        <w:t xml:space="preserve"> </w:t>
      </w:r>
      <w:r>
        <w:rPr>
          <w:i/>
        </w:rPr>
        <w:t xml:space="preserve">Cascadia Wildlands</w:t>
      </w:r>
      <w:r>
        <w:t xml:space="preserve">, 365 Or at 765-66</w:t>
      </w:r>
      <w:r>
        <w:t xml:space="preserve"> </w:t>
      </w:r>
      <w:r>
        <w:t xml:space="preserve">[@cascadia-2019]</w:t>
      </w:r>
      <w:r>
        <w:t xml:space="preserve">.</w:t>
      </w:r>
    </w:p>
  </w:footnote>
  <w:footnote w:id="176">
    <w:p>
      <w:pPr>
        <w:pStyle w:val="FootnoteText"/>
      </w:pPr>
      <w:r>
        <w:rPr>
          <w:rStyle w:val="FootnoteReference"/>
        </w:rPr>
        <w:footnoteRef/>
      </w:r>
      <w:r>
        <w:t xml:space="preserve"> </w:t>
      </w:r>
      <w:r>
        <w:rPr>
          <w:i/>
        </w:rPr>
        <w:t xml:space="preserve">Siuslaw School District 97J v. State of Oregon</w:t>
      </w:r>
      <w:r>
        <w:t xml:space="preserve">, Coos County Circuit Court No. 24CV38372: letter opinions of March 6, 2025</w:t>
      </w:r>
      <w:r>
        <w:t xml:space="preserve"> </w:t>
      </w:r>
      <w:r>
        <w:t xml:space="preserve">[@siuslaw-letter-2025]</w:t>
      </w:r>
      <w:r>
        <w:t xml:space="preserve"> </w:t>
      </w:r>
      <w:r>
        <w:t xml:space="preserve">(standing; trust/beneficiary characterization reserved) and September 5, 2025</w:t>
      </w:r>
      <w:r>
        <w:t xml:space="preserve"> </w:t>
      </w:r>
      <w:r>
        <w:t xml:space="preserve">[@siuslaw-letter-ii-2025]</w:t>
      </w:r>
      <w:r>
        <w:t xml:space="preserve"> </w:t>
      </w:r>
      <w:r>
        <w:t xml:space="preserve">(Common School Fund claims governed by common-law principles). Positions described here are matters of public court filings.</w:t>
      </w:r>
    </w:p>
  </w:footnote>
  <w:footnote w:id="177">
    <w:p>
      <w:pPr>
        <w:pStyle w:val="FootnoteText"/>
      </w:pPr>
      <w:r>
        <w:rPr>
          <w:rStyle w:val="FootnoteReference"/>
        </w:rPr>
        <w:footnoteRef/>
      </w:r>
      <w:r>
        <w:t xml:space="preserve"> </w:t>
      </w:r>
      <w:r>
        <w:rPr>
          <w:i/>
        </w:rPr>
        <w:t xml:space="preserve">Advocates for School Trust Lands v. State</w:t>
      </w:r>
      <w:r>
        <w:t xml:space="preserve">, 346 Or App 668, 684 (2026)</w:t>
      </w:r>
      <w:r>
        <w:t xml:space="preserve"> </w:t>
      </w:r>
      <w:r>
        <w:t xml:space="preserve">[@advocates-2026]</w:t>
      </w:r>
      <w:r>
        <w:t xml:space="preserve"> </w:t>
      </w:r>
      <w:r>
        <w:t xml:space="preserve">(declaratory-judgment challenges to lawmaking are not tort claims subject to the Oregon Tort Claims Act; note 9 of the opinion reserves the analysis for requested declarations directed at State Land Board actions that may not constitute lawmaking); review proceedings pending [VERIFY current status of the petition for review].</w:t>
      </w:r>
    </w:p>
  </w:footnote>
  <w:footnote w:id="179">
    <w:p>
      <w:pPr>
        <w:pStyle w:val="FootnoteText"/>
      </w:pPr>
      <w:r>
        <w:rPr>
          <w:rStyle w:val="FootnoteReference"/>
        </w:rPr>
        <w:footnoteRef/>
      </w:r>
      <w:r>
        <w:t xml:space="preserve"> </w:t>
      </w:r>
      <w:r>
        <w:t xml:space="preserve">Lead case:</w:t>
      </w:r>
      <w:r>
        <w:t xml:space="preserve"> </w:t>
      </w:r>
      <w:r>
        <w:rPr>
          <w:i/>
        </w:rPr>
        <w:t xml:space="preserve">State ex rel. Ebke v. Board of Educational Lands &amp; Funds</w:t>
      </w:r>
      <w:r>
        <w:t xml:space="preserve">, 154 Neb. 244, 47 N.W.2d 520 (1951)</w:t>
      </w:r>
      <w:r>
        <w:t xml:space="preserve"> </w:t>
      </w:r>
      <w:r>
        <w:t xml:space="preserve">[@ebke-1951]</w:t>
      </w:r>
      <w:r>
        <w:t xml:space="preserve"> </w:t>
      </w:r>
      <w:r>
        <w:t xml:space="preserve">(breach</w:t>
      </w:r>
      <w:r>
        <w:t xml:space="preserve"> </w:t>
      </w:r>
      <w:r>
        <w:t xml:space="preserve">“</w:t>
      </w:r>
      <w:r>
        <w:t xml:space="preserve">has the effect of invalidating the legislation authorizing the breach</w:t>
      </w:r>
      <w:r>
        <w:t xml:space="preserve">”</w:t>
      </w:r>
      <w:r>
        <w:t xml:space="preserve">).</w:t>
      </w:r>
    </w:p>
  </w:footnote>
  <w:footnote w:id="180">
    <w:p>
      <w:pPr>
        <w:pStyle w:val="FootnoteText"/>
      </w:pPr>
      <w:r>
        <w:rPr>
          <w:rStyle w:val="FootnoteReference"/>
        </w:rPr>
        <w:footnoteRef/>
      </w:r>
      <w:r>
        <w:t xml:space="preserve"> </w:t>
      </w:r>
      <w:r>
        <w:t xml:space="preserve">Accord, collected by state:</w:t>
      </w:r>
      <w:r>
        <w:t xml:space="preserve"> </w:t>
      </w:r>
      <w:r>
        <w:rPr>
          <w:b/>
        </w:rPr>
        <w:t xml:space="preserve">Federal (Arizona)</w:t>
      </w:r>
      <w:r>
        <w:t xml:space="preserve"> </w:t>
      </w:r>
      <w:r>
        <w:t xml:space="preserve">—</w:t>
      </w:r>
      <w:r>
        <w:t xml:space="preserve"> </w:t>
      </w:r>
      <w:r>
        <w:rPr>
          <w:i/>
        </w:rPr>
        <w:t xml:space="preserve">ASARCO Inc. v. Kadish</w:t>
      </w:r>
      <w:r>
        <w:t xml:space="preserve">, 490 U.S. 605 (1989)</w:t>
      </w:r>
      <w:r>
        <w:t xml:space="preserve"> </w:t>
      </w:r>
      <w:r>
        <w:t xml:space="preserve">[@asarco-1989]</w:t>
      </w:r>
      <w:r>
        <w:t xml:space="preserve">;</w:t>
      </w:r>
      <w:r>
        <w:t xml:space="preserve"> </w:t>
      </w:r>
      <w:r>
        <w:rPr>
          <w:b/>
        </w:rPr>
        <w:t xml:space="preserve">Nebraska</w:t>
      </w:r>
      <w:r>
        <w:t xml:space="preserve"> </w:t>
      </w:r>
      <w:r>
        <w:t xml:space="preserve">—</w:t>
      </w:r>
      <w:r>
        <w:t xml:space="preserve"> </w:t>
      </w:r>
      <w:r>
        <w:rPr>
          <w:i/>
        </w:rPr>
        <w:t xml:space="preserve">Propst</w:t>
      </w:r>
      <w:r>
        <w:t xml:space="preserve">, 156 Neb. 226 (1952)</w:t>
      </w:r>
      <w:r>
        <w:t xml:space="preserve"> </w:t>
      </w:r>
      <w:r>
        <w:t xml:space="preserve">[@propst-1952]</w:t>
      </w:r>
      <w:r>
        <w:t xml:space="preserve"> </w:t>
      </w:r>
      <w:r>
        <w:t xml:space="preserve">(nullity from enactment);</w:t>
      </w:r>
      <w:r>
        <w:t xml:space="preserve"> </w:t>
      </w:r>
      <w:r>
        <w:rPr>
          <w:b/>
        </w:rPr>
        <w:t xml:space="preserve">Montana</w:t>
      </w:r>
      <w:r>
        <w:t xml:space="preserve"> </w:t>
      </w:r>
      <w:r>
        <w:t xml:space="preserve">—</w:t>
      </w:r>
      <w:r>
        <w:t xml:space="preserve"> </w:t>
      </w:r>
      <w:r>
        <w:rPr>
          <w:i/>
        </w:rPr>
        <w:t xml:space="preserve">Montanans for the Responsible Use of the School Trust v. State</w:t>
      </w:r>
      <w:r>
        <w:t xml:space="preserve">, 1999 MT 263</w:t>
      </w:r>
      <w:r>
        <w:t xml:space="preserve"> </w:t>
      </w:r>
      <w:r>
        <w:t xml:space="preserve">[@montrust-1999]</w:t>
      </w:r>
      <w:r>
        <w:t xml:space="preserve"> </w:t>
      </w:r>
      <w:r>
        <w:t xml:space="preserve">(four statutes and a Department rental policy struck);</w:t>
      </w:r>
      <w:r>
        <w:t xml:space="preserve"> </w:t>
      </w:r>
      <w:r>
        <w:rPr>
          <w:b/>
        </w:rPr>
        <w:t xml:space="preserve">Idaho</w:t>
      </w:r>
      <w:r>
        <w:t xml:space="preserve"> </w:t>
      </w:r>
      <w:r>
        <w:t xml:space="preserve">—</w:t>
      </w:r>
      <w:r>
        <w:t xml:space="preserve"> </w:t>
      </w:r>
      <w:r>
        <w:rPr>
          <w:i/>
        </w:rPr>
        <w:t xml:space="preserve">IWP II</w:t>
      </w:r>
      <w:r>
        <w:t xml:space="preserve">, 133 Idaho 64 (1999)</w:t>
      </w:r>
      <w:r>
        <w:t xml:space="preserve"> </w:t>
      </w:r>
      <w:r>
        <w:t xml:space="preserve">[@idaho-watersheds-ii-1999]</w:t>
      </w:r>
      <w:r>
        <w:t xml:space="preserve">;</w:t>
      </w:r>
      <w:r>
        <w:t xml:space="preserve"> </w:t>
      </w:r>
      <w:r>
        <w:rPr>
          <w:b/>
        </w:rPr>
        <w:t xml:space="preserve">South Dakota</w:t>
      </w:r>
      <w:r>
        <w:t xml:space="preserve"> </w:t>
      </w:r>
      <w:r>
        <w:t xml:space="preserve">—</w:t>
      </w:r>
      <w:r>
        <w:t xml:space="preserve"> </w:t>
      </w:r>
      <w:r>
        <w:rPr>
          <w:i/>
        </w:rPr>
        <w:t xml:space="preserve">Kanaly</w:t>
      </w:r>
      <w:r>
        <w:t xml:space="preserve">, 368 N.W.2d 819 (S.D. 1985)</w:t>
      </w:r>
      <w:r>
        <w:t xml:space="preserve"> </w:t>
      </w:r>
      <w:r>
        <w:t xml:space="preserve">[@kanaly-1985]</w:t>
      </w:r>
      <w:r>
        <w:t xml:space="preserve">;</w:t>
      </w:r>
      <w:r>
        <w:t xml:space="preserve"> </w:t>
      </w:r>
      <w:r>
        <w:rPr>
          <w:b/>
        </w:rPr>
        <w:t xml:space="preserve">Oklahoma</w:t>
      </w:r>
      <w:r>
        <w:t xml:space="preserve"> </w:t>
      </w:r>
      <w:r>
        <w:t xml:space="preserve">—</w:t>
      </w:r>
      <w:r>
        <w:t xml:space="preserve"> </w:t>
      </w:r>
      <w:r>
        <w:rPr>
          <w:i/>
        </w:rPr>
        <w:t xml:space="preserve">Nigh</w:t>
      </w:r>
      <w:r>
        <w:t xml:space="preserve">, 642 P.2d 230 (Okla. 1982)</w:t>
      </w:r>
      <w:r>
        <w:t xml:space="preserve"> </w:t>
      </w:r>
      <w:r>
        <w:t xml:space="preserve">[@nigh-1982]</w:t>
      </w:r>
      <w:r>
        <w:t xml:space="preserve"> </w:t>
      </w:r>
      <w:r>
        <w:t xml:space="preserve">(</w:t>
      </w:r>
      <w:r>
        <w:t xml:space="preserve">“</w:t>
      </w:r>
      <w:r>
        <w:t xml:space="preserve">No Act of the Legislature can validly alter, modify or diminish the State’s duty as Trustee of the school land trust to administer it in a manner most beneficial to the trust estate and in a manner which obtains the maximum benefit in return from the use of trust property or loan of trust funds.</w:t>
      </w:r>
      <w:r>
        <w:t xml:space="preserve">”</w:t>
      </w:r>
      <w:r>
        <w:t xml:space="preserve">);</w:t>
      </w:r>
      <w:r>
        <w:t xml:space="preserve"> </w:t>
      </w:r>
      <w:r>
        <w:rPr>
          <w:b/>
        </w:rPr>
        <w:t xml:space="preserve">Washington</w:t>
      </w:r>
      <w:r>
        <w:t xml:space="preserve"> </w:t>
      </w:r>
      <w:r>
        <w:t xml:space="preserve">—</w:t>
      </w:r>
      <w:r>
        <w:t xml:space="preserve"> </w:t>
      </w:r>
      <w:r>
        <w:rPr>
          <w:i/>
        </w:rPr>
        <w:t xml:space="preserve">Skamania</w:t>
      </w:r>
      <w:r>
        <w:t xml:space="preserve">, 102 Wn.2d 127 (1984)</w:t>
      </w:r>
      <w:r>
        <w:t xml:space="preserve"> </w:t>
      </w:r>
      <w:r>
        <w:t xml:space="preserve">[@skamania-1984]</w:t>
      </w:r>
      <w:r>
        <w:t xml:space="preserve">;</w:t>
      </w:r>
      <w:r>
        <w:t xml:space="preserve"> </w:t>
      </w:r>
      <w:r>
        <w:rPr>
          <w:b/>
        </w:rPr>
        <w:t xml:space="preserve">New Mexico</w:t>
      </w:r>
      <w:r>
        <w:t xml:space="preserve"> </w:t>
      </w:r>
      <w:r>
        <w:t xml:space="preserve">—</w:t>
      </w:r>
      <w:r>
        <w:t xml:space="preserve"> </w:t>
      </w:r>
      <w:r>
        <w:rPr>
          <w:i/>
        </w:rPr>
        <w:t xml:space="preserve">Lyons</w:t>
      </w:r>
      <w:r>
        <w:t xml:space="preserve">, 2011-NMSC-004</w:t>
      </w:r>
      <w:r>
        <w:t xml:space="preserve"> </w:t>
      </w:r>
      <w:r>
        <w:t xml:space="preserve">[@lyons-2011]</w:t>
      </w:r>
      <w:r>
        <w:t xml:space="preserve"> </w:t>
      </w:r>
      <w:r>
        <w:t xml:space="preserve">(transactions cancelled or unwound).</w:t>
      </w:r>
    </w:p>
  </w:footnote>
  <w:footnote w:id="181">
    <w:p>
      <w:pPr>
        <w:pStyle w:val="FootnoteText"/>
      </w:pPr>
      <w:r>
        <w:rPr>
          <w:rStyle w:val="FootnoteReference"/>
        </w:rPr>
        <w:footnoteRef/>
      </w:r>
      <w:r>
        <w:t xml:space="preserve"> </w:t>
      </w:r>
      <w:r>
        <w:t xml:space="preserve">Lead case:</w:t>
      </w:r>
      <w:r>
        <w:t xml:space="preserve"> </w:t>
      </w:r>
      <w:r>
        <w:rPr>
          <w:i/>
        </w:rPr>
        <w:t xml:space="preserve">Propst v. Board of Educational Lands &amp; Funds</w:t>
      </w:r>
      <w:r>
        <w:t xml:space="preserve">, 156 Neb. 226, 55 N.W.2d 653 (1952)</w:t>
      </w:r>
      <w:r>
        <w:t xml:space="preserve"> </w:t>
      </w:r>
      <w:r>
        <w:t xml:space="preserve">[@propst-1952]</w:t>
      </w:r>
      <w:r>
        <w:t xml:space="preserve">.</w:t>
      </w:r>
    </w:p>
  </w:footnote>
  <w:footnote w:id="182">
    <w:p>
      <w:pPr>
        <w:pStyle w:val="FootnoteText"/>
      </w:pPr>
      <w:r>
        <w:rPr>
          <w:rStyle w:val="FootnoteReference"/>
        </w:rPr>
        <w:footnoteRef/>
      </w:r>
      <w:r>
        <w:t xml:space="preserve"> </w:t>
      </w:r>
      <w:r>
        <w:t xml:space="preserve">Cognate authority (analogous, not identical):</w:t>
      </w:r>
      <w:r>
        <w:t xml:space="preserve"> </w:t>
      </w:r>
      <w:r>
        <w:rPr>
          <w:b/>
        </w:rPr>
        <w:t xml:space="preserve">Utah</w:t>
      </w:r>
      <w:r>
        <w:t xml:space="preserve"> </w:t>
      </w:r>
      <w:r>
        <w:t xml:space="preserve">—</w:t>
      </w:r>
      <w:r>
        <w:t xml:space="preserve"> </w:t>
      </w:r>
      <w:r>
        <w:rPr>
          <w:i/>
        </w:rPr>
        <w:t xml:space="preserve">National Parks &amp; Conservation Association v. Board of State Lands</w:t>
      </w:r>
      <w:r>
        <w:t xml:space="preserve">, 869 P.2d 909, 922 (Utah 1993)</w:t>
      </w:r>
      <w:r>
        <w:t xml:space="preserve"> </w:t>
      </w:r>
      <w:r>
        <w:t xml:space="preserve">[@npca-1993]</w:t>
      </w:r>
      <w:r>
        <w:t xml:space="preserve"> </w:t>
      </w:r>
      <w:r>
        <w:t xml:space="preserve">(an appraisal submitted by a party intending to purchase a trust asset is</w:t>
      </w:r>
      <w:r>
        <w:t xml:space="preserve"> </w:t>
      </w:r>
      <w:r>
        <w:t xml:space="preserve">“</w:t>
      </w:r>
      <w:r>
        <w:t xml:space="preserve">suspect on its face,</w:t>
      </w:r>
      <w:r>
        <w:t xml:space="preserve">”</w:t>
      </w:r>
      <w:r>
        <w:t xml:space="preserve"> </w:t>
      </w:r>
      <w:r>
        <w:t xml:space="preserve">even when performed by an independent and reputable appraiser; the trustee must obtain independent appraisals rather than rely on those submitted by an interested counterparty). Direct third-party-notice accord cases not yet collected; see Architecture § C, verification wave 2.</w:t>
      </w:r>
    </w:p>
  </w:footnote>
  <w:footnote w:id="183">
    <w:p>
      <w:pPr>
        <w:pStyle w:val="FootnoteText"/>
      </w:pPr>
      <w:r>
        <w:rPr>
          <w:rStyle w:val="FootnoteReference"/>
        </w:rPr>
        <w:footnoteRef/>
      </w:r>
      <w:r>
        <w:t xml:space="preserve"> </w:t>
      </w:r>
      <w:r>
        <w:t xml:space="preserve">Lead case:</w:t>
      </w:r>
      <w:r>
        <w:t xml:space="preserve"> </w:t>
      </w:r>
      <w:r>
        <w:rPr>
          <w:i/>
        </w:rPr>
        <w:t xml:space="preserve">Plateau Mining Co. v. Utah Division of State Lands &amp; Forestry</w:t>
      </w:r>
      <w:r>
        <w:t xml:space="preserve">, 802 P.2d 720 (Utah 1990)</w:t>
      </w:r>
      <w:r>
        <w:t xml:space="preserve"> </w:t>
      </w:r>
      <w:r>
        <w:t xml:space="preserve">[@plateau-1990]</w:t>
      </w:r>
      <w:r>
        <w:t xml:space="preserve"> </w:t>
      </w:r>
      <w:r>
        <w:t xml:space="preserve">(full opinion in L0: the State’s acceptance of royalties at the lower rate is not a practical construction of the lease and does not estop the State from collecting full value; estoppel against the State is barred here because allowing it would undermine the trust’s purpose; waiver remitted to the trial court on remand).</w:t>
      </w:r>
    </w:p>
  </w:footnote>
  <w:footnote w:id="184">
    <w:p>
      <w:pPr>
        <w:pStyle w:val="FootnoteText"/>
      </w:pPr>
      <w:r>
        <w:rPr>
          <w:rStyle w:val="FootnoteReference"/>
        </w:rPr>
        <w:footnoteRef/>
      </w:r>
      <w:r>
        <w:t xml:space="preserve"> </w:t>
      </w:r>
      <w:r>
        <w:t xml:space="preserve">Accord, collected by state:</w:t>
      </w:r>
      <w:r>
        <w:t xml:space="preserve"> </w:t>
      </w:r>
      <w:r>
        <w:rPr>
          <w:b/>
        </w:rPr>
        <w:t xml:space="preserve">Oregon</w:t>
      </w:r>
      <w:r>
        <w:t xml:space="preserve"> </w:t>
      </w:r>
      <w:r>
        <w:t xml:space="preserve">—</w:t>
      </w:r>
      <w:r>
        <w:t xml:space="preserve"> </w:t>
      </w:r>
      <w:r>
        <w:rPr>
          <w:i/>
        </w:rPr>
        <w:t xml:space="preserve">State Land Board v. Lee</w:t>
      </w:r>
      <w:r>
        <w:t xml:space="preserve">, 84 Or 431 (1917)</w:t>
      </w:r>
      <w:r>
        <w:t xml:space="preserve"> </w:t>
      </w:r>
      <w:r>
        <w:t xml:space="preserve">[@lee-1917]</w:t>
      </w:r>
      <w:r>
        <w:t xml:space="preserve"> </w:t>
      </w:r>
      <w:r>
        <w:t xml:space="preserve">(statutory limitations exemption applies to Land Board actions administering the Common School Fund).</w:t>
      </w:r>
    </w:p>
  </w:footnote>
  <w:footnote w:id="185">
    <w:p>
      <w:pPr>
        <w:pStyle w:val="FootnoteText"/>
      </w:pPr>
      <w:r>
        <w:rPr>
          <w:rStyle w:val="FootnoteReference"/>
        </w:rPr>
        <w:footnoteRef/>
      </w:r>
      <w:r>
        <w:t xml:space="preserve"> </w:t>
      </w:r>
      <w:r>
        <w:t xml:space="preserve">Lead case:</w:t>
      </w:r>
      <w:r>
        <w:t xml:space="preserve"> </w:t>
      </w:r>
      <w:r>
        <w:rPr>
          <w:i/>
        </w:rPr>
        <w:t xml:space="preserve">Lassen v. Arizona ex rel. Arizona Highway Department</w:t>
      </w:r>
      <w:r>
        <w:t xml:space="preserve">, 385 U.S. 458 (1967)</w:t>
      </w:r>
      <w:r>
        <w:t xml:space="preserve"> </w:t>
      </w:r>
      <w:r>
        <w:t xml:space="preserve">[@lassen-1967]</w:t>
      </w:r>
      <w:r>
        <w:t xml:space="preserve">.</w:t>
      </w:r>
    </w:p>
  </w:footnote>
  <w:footnote w:id="186">
    <w:p>
      <w:pPr>
        <w:pStyle w:val="FootnoteText"/>
      </w:pPr>
      <w:r>
        <w:rPr>
          <w:rStyle w:val="FootnoteReference"/>
        </w:rPr>
        <w:footnoteRef/>
      </w:r>
      <w:r>
        <w:t xml:space="preserve"> </w:t>
      </w:r>
      <w:r>
        <w:t xml:space="preserve">Accord, collected by state:</w:t>
      </w:r>
      <w:r>
        <w:t xml:space="preserve"> </w:t>
      </w:r>
      <w:r>
        <w:rPr>
          <w:b/>
        </w:rPr>
        <w:t xml:space="preserve">South Dakota</w:t>
      </w:r>
      <w:r>
        <w:t xml:space="preserve"> </w:t>
      </w:r>
      <w:r>
        <w:t xml:space="preserve">—</w:t>
      </w:r>
      <w:r>
        <w:t xml:space="preserve"> </w:t>
      </w:r>
      <w:r>
        <w:rPr>
          <w:i/>
        </w:rPr>
        <w:t xml:space="preserve">Kanaly</w:t>
      </w:r>
      <w:r>
        <w:t xml:space="preserve">, 368 N.W.2d 819 (S.D. 1985)</w:t>
      </w:r>
      <w:r>
        <w:t xml:space="preserve"> </w:t>
      </w:r>
      <w:r>
        <w:t xml:space="preserve">[@kanaly-1985]</w:t>
      </w:r>
      <w:r>
        <w:t xml:space="preserve"> </w:t>
      </w:r>
      <w:r>
        <w:t xml:space="preserve">(uncompensated inter-agency transfer unconstitutional);</w:t>
      </w:r>
      <w:r>
        <w:t xml:space="preserve"> </w:t>
      </w:r>
      <w:r>
        <w:rPr>
          <w:b/>
        </w:rPr>
        <w:t xml:space="preserve">New Mexico</w:t>
      </w:r>
      <w:r>
        <w:t xml:space="preserve"> </w:t>
      </w:r>
      <w:r>
        <w:t xml:space="preserve">—</w:t>
      </w:r>
      <w:r>
        <w:t xml:space="preserve"> </w:t>
      </w:r>
      <w:r>
        <w:rPr>
          <w:i/>
        </w:rPr>
        <w:t xml:space="preserve">Walker</w:t>
      </w:r>
      <w:r>
        <w:t xml:space="preserve">, 61 N.M. 374, 301 P.2d 317 (1956)</w:t>
      </w:r>
      <w:r>
        <w:t xml:space="preserve"> </w:t>
      </w:r>
      <w:r>
        <w:t xml:space="preserve">[@walker-1956]</w:t>
      </w:r>
      <w:r>
        <w:t xml:space="preserve"> </w:t>
      </w:r>
      <w:r>
        <w:t xml:space="preserve">(highway department must compensate trust for rights-of-way; contrary attorney general opinions disapproved);</w:t>
      </w:r>
      <w:r>
        <w:t xml:space="preserve"> </w:t>
      </w:r>
      <w:r>
        <w:rPr>
          <w:b/>
        </w:rPr>
        <w:t xml:space="preserve">Alaska</w:t>
      </w:r>
      <w:r>
        <w:t xml:space="preserve"> </w:t>
      </w:r>
      <w:r>
        <w:t xml:space="preserve">—</w:t>
      </w:r>
      <w:r>
        <w:t xml:space="preserve"> </w:t>
      </w:r>
      <w:r>
        <w:rPr>
          <w:i/>
        </w:rPr>
        <w:t xml:space="preserve">State v. University of Alaska</w:t>
      </w:r>
      <w:r>
        <w:t xml:space="preserve">, 624 P.2d 807 (Alaska 1981)</w:t>
      </w:r>
      <w:r>
        <w:t xml:space="preserve"> </w:t>
      </w:r>
      <w:r>
        <w:t xml:space="preserve">[@university-of-alaska-1981]</w:t>
      </w:r>
      <w:r>
        <w:t xml:space="preserve"> </w:t>
      </w:r>
      <w:r>
        <w:t xml:space="preserve">(park inclusion without compensation a breach);</w:t>
      </w:r>
      <w:r>
        <w:t xml:space="preserve"> </w:t>
      </w:r>
      <w:r>
        <w:rPr>
          <w:b/>
        </w:rPr>
        <w:t xml:space="preserve">Arizona</w:t>
      </w:r>
      <w:r>
        <w:t xml:space="preserve"> </w:t>
      </w:r>
      <w:r>
        <w:t xml:space="preserve">—</w:t>
      </w:r>
      <w:r>
        <w:t xml:space="preserve"> </w:t>
      </w:r>
      <w:r>
        <w:rPr>
          <w:i/>
        </w:rPr>
        <w:t xml:space="preserve">Deer Valley</w:t>
      </w:r>
      <w:r>
        <w:t xml:space="preserve">, 157 Ariz. 537 (1988)</w:t>
      </w:r>
      <w:r>
        <w:t xml:space="preserve"> </w:t>
      </w:r>
      <w:r>
        <w:t xml:space="preserve">[@deer-valley-1988]</w:t>
      </w:r>
      <w:r>
        <w:t xml:space="preserve"> </w:t>
      </w:r>
      <w:r>
        <w:t xml:space="preserve">(condemnation by state actors barred outright);</w:t>
      </w:r>
      <w:r>
        <w:t xml:space="preserve"> </w:t>
      </w:r>
      <w:r>
        <w:rPr>
          <w:b/>
        </w:rPr>
        <w:t xml:space="preserve">Montana</w:t>
      </w:r>
      <w:r>
        <w:t xml:space="preserve"> </w:t>
      </w:r>
      <w:r>
        <w:t xml:space="preserve">—</w:t>
      </w:r>
      <w:r>
        <w:t xml:space="preserve"> </w:t>
      </w:r>
      <w:r>
        <w:rPr>
          <w:i/>
        </w:rPr>
        <w:t xml:space="preserve">Pettibone</w:t>
      </w:r>
      <w:r>
        <w:t xml:space="preserve">, 702 P.2d 948 (Mont. 1985)</w:t>
      </w:r>
      <w:r>
        <w:t xml:space="preserve"> </w:t>
      </w:r>
      <w:r>
        <w:t xml:space="preserve">[@pettibone-1985]</w:t>
      </w:r>
      <w:r>
        <w:t xml:space="preserve"> </w:t>
      </w:r>
      <w:r>
        <w:t xml:space="preserve">(appurtenant water rights are trust interests requiring compensation) [VERIFY characterization on full-opinion pull — L0 stub].</w:t>
      </w:r>
    </w:p>
  </w:footnote>
  <w:footnote w:id="187">
    <w:p>
      <w:pPr>
        <w:pStyle w:val="FootnoteText"/>
      </w:pPr>
      <w:r>
        <w:rPr>
          <w:rStyle w:val="FootnoteReference"/>
        </w:rPr>
        <w:footnoteRef/>
      </w:r>
      <w:r>
        <w:t xml:space="preserve"> </w:t>
      </w:r>
      <w:r>
        <w:t xml:space="preserve">Lead case:</w:t>
      </w:r>
      <w:r>
        <w:t xml:space="preserve"> </w:t>
      </w:r>
      <w:r>
        <w:rPr>
          <w:i/>
        </w:rPr>
        <w:t xml:space="preserve">State v. Weiss</w:t>
      </w:r>
      <w:r>
        <w:t xml:space="preserve">, 706 P.2d 681, 683 (Alaska 1985)</w:t>
      </w:r>
      <w:r>
        <w:t xml:space="preserve"> </w:t>
      </w:r>
      <w:r>
        <w:t xml:space="preserve">[@weiss-1985]</w:t>
      </w:r>
      <w:r>
        <w:t xml:space="preserve"> </w:t>
      </w:r>
      <w:r>
        <w:t xml:space="preserve">(a mental-health lands trust case — the leading authority that a state cannot extinguish a federal land trust by absorbing its function into general government; bridges to school-lands principles via its fn.3). Accord cases not yet collected by state; see Architecture § C, verification wave 2.</w:t>
      </w:r>
    </w:p>
  </w:footnote>
  <w:footnote w:id="188">
    <w:p>
      <w:pPr>
        <w:pStyle w:val="FootnoteText"/>
      </w:pPr>
      <w:r>
        <w:rPr>
          <w:rStyle w:val="FootnoteReference"/>
        </w:rPr>
        <w:footnoteRef/>
      </w:r>
      <w:r>
        <w:t xml:space="preserve"> </w:t>
      </w:r>
      <w:r>
        <w:t xml:space="preserve">Lead case:</w:t>
      </w:r>
      <w:r>
        <w:t xml:space="preserve"> </w:t>
      </w:r>
      <w:r>
        <w:rPr>
          <w:i/>
        </w:rPr>
        <w:t xml:space="preserve">Alamo Land &amp; Cattle Co. v. Arizona</w:t>
      </w:r>
      <w:r>
        <w:t xml:space="preserve">, 424 U.S. 295 (1976)</w:t>
      </w:r>
      <w:r>
        <w:t xml:space="preserve"> </w:t>
      </w:r>
      <w:r>
        <w:t xml:space="preserve">[@alamo-1976]</w:t>
      </w:r>
      <w:r>
        <w:t xml:space="preserve">. Accord:</w:t>
      </w:r>
      <w:r>
        <w:t xml:space="preserve"> </w:t>
      </w:r>
      <w:r>
        <w:rPr>
          <w:b/>
        </w:rPr>
        <w:t xml:space="preserve">New Mexico / Arizona</w:t>
      </w:r>
      <w:r>
        <w:t xml:space="preserve"> </w:t>
      </w:r>
      <w:r>
        <w:t xml:space="preserve">— Enabling Act § 10, 36 Stat. 557 (1910)</w:t>
      </w:r>
      <w:r>
        <w:t xml:space="preserve"> </w:t>
      </w:r>
      <w:r>
        <w:t xml:space="preserve">[@act-nm-az-1910]</w:t>
      </w:r>
      <w:r>
        <w:t xml:space="preserve"> </w:t>
      </w:r>
      <w:r>
        <w:t xml:space="preserve">(proceeds</w:t>
      </w:r>
      <w:r>
        <w:t xml:space="preserve"> </w:t>
      </w:r>
      <w:r>
        <w:t xml:space="preserve">“</w:t>
      </w:r>
      <w:r>
        <w:t xml:space="preserve">subject to the same trusts as the lands producing the same</w:t>
      </w:r>
      <w:r>
        <w:t xml:space="preserve">”</w:t>
      </w:r>
      <w:r>
        <w:t xml:space="preserve">);</w:t>
      </w:r>
      <w:r>
        <w:t xml:space="preserve"> </w:t>
      </w:r>
      <w:r>
        <w:rPr>
          <w:b/>
        </w:rPr>
        <w:t xml:space="preserve">Utah</w:t>
      </w:r>
      <w:r>
        <w:t xml:space="preserve"> </w:t>
      </w:r>
      <w:r>
        <w:t xml:space="preserve">—</w:t>
      </w:r>
      <w:r>
        <w:t xml:space="preserve"> </w:t>
      </w:r>
      <w:r>
        <w:rPr>
          <w:i/>
        </w:rPr>
        <w:t xml:space="preserve">NPCA</w:t>
      </w:r>
      <w:r>
        <w:t xml:space="preserve">, 869 P.2d 909, 920 (Utah 1993)</w:t>
      </w:r>
      <w:r>
        <w:t xml:space="preserve"> </w:t>
      </w:r>
      <w:r>
        <w:t xml:space="preserve">[@npca-1993]</w:t>
      </w:r>
      <w:r>
        <w:t xml:space="preserve"> </w:t>
      </w:r>
      <w:r>
        <w:t xml:space="preserve">(trust binds use of the land itself, not only proceeds).</w:t>
      </w:r>
    </w:p>
  </w:footnote>
  <w:footnote w:id="190">
    <w:p>
      <w:pPr>
        <w:pStyle w:val="FootnoteText"/>
      </w:pPr>
      <w:r>
        <w:rPr>
          <w:rStyle w:val="FootnoteReference"/>
        </w:rPr>
        <w:footnoteRef/>
      </w:r>
      <w:r>
        <w:t xml:space="preserve"> </w:t>
      </w:r>
      <w:r>
        <w:rPr>
          <w:i/>
        </w:rPr>
        <w:t xml:space="preserve">Eagle Point Irrigation District v. Cowden</w:t>
      </w:r>
      <w:r>
        <w:t xml:space="preserve">, 137 Or 121, 124 (1931)</w:t>
      </w:r>
      <w:r>
        <w:t xml:space="preserve"> </w:t>
      </w:r>
      <w:r>
        <w:t xml:space="preserve">[@eagle-point-1931]</w:t>
      </w:r>
      <w:r>
        <w:t xml:space="preserve">;</w:t>
      </w:r>
      <w:r>
        <w:t xml:space="preserve"> </w:t>
      </w:r>
      <w:r>
        <w:rPr>
          <w:i/>
        </w:rPr>
        <w:t xml:space="preserve">State Land Board v. Lee</w:t>
      </w:r>
      <w:r>
        <w:t xml:space="preserve">, 84 Or 431, 441-42 (1917)</w:t>
      </w:r>
      <w:r>
        <w:t xml:space="preserve"> </w:t>
      </w:r>
      <w:r>
        <w:t xml:space="preserve">[@lee-1917]</w:t>
      </w:r>
      <w:r>
        <w:t xml:space="preserve">;</w:t>
      </w:r>
      <w:r>
        <w:t xml:space="preserve"> </w:t>
      </w:r>
      <w:r>
        <w:rPr>
          <w:i/>
        </w:rPr>
        <w:t xml:space="preserve">Cascadia Wildlands</w:t>
      </w:r>
      <w:r>
        <w:t xml:space="preserve">, 365 Or 750 (2019)</w:t>
      </w:r>
      <w:r>
        <w:t xml:space="preserve"> </w:t>
      </w:r>
      <w:r>
        <w:t xml:space="preserve">[@cascadia-2019]</w:t>
      </w:r>
      <w:r>
        <w:t xml:space="preserve">.</w:t>
      </w:r>
    </w:p>
  </w:footnote>
  <w:footnote w:id="191">
    <w:p>
      <w:pPr>
        <w:pStyle w:val="FootnoteText"/>
      </w:pPr>
      <w:r>
        <w:rPr>
          <w:rStyle w:val="FootnoteReference"/>
        </w:rPr>
        <w:footnoteRef/>
      </w:r>
      <w:r>
        <w:t xml:space="preserve"> </w:t>
      </w:r>
      <w:r>
        <w:rPr>
          <w:i/>
        </w:rPr>
        <w:t xml:space="preserve">Johnson v. Department of Revenue</w:t>
      </w:r>
      <w:r>
        <w:t xml:space="preserve">, 292 Or 373, 382 (1982)</w:t>
      </w:r>
      <w:r>
        <w:t xml:space="preserve"> </w:t>
      </w:r>
      <w:r>
        <w:t xml:space="preserve">[@johnson-1982]</w:t>
      </w:r>
      <w:r>
        <w:t xml:space="preserve">;</w:t>
      </w:r>
      <w:r>
        <w:t xml:space="preserve"> </w:t>
      </w:r>
      <w:r>
        <w:rPr>
          <w:i/>
        </w:rPr>
        <w:t xml:space="preserve">Cascadia Wildlands</w:t>
      </w:r>
      <w:r>
        <w:t xml:space="preserve">, 365 Or 750 (2019)</w:t>
      </w:r>
      <w:r>
        <w:t xml:space="preserve"> </w:t>
      </w:r>
      <w:r>
        <w:t xml:space="preserve">[@cascadia-2019]</w:t>
      </w:r>
      <w:r>
        <w:t xml:space="preserve">;</w:t>
      </w:r>
      <w:r>
        <w:t xml:space="preserve"> </w:t>
      </w:r>
      <w:r>
        <w:rPr>
          <w:i/>
        </w:rPr>
        <w:t xml:space="preserve">Branson School District RE-82 v. Romer</w:t>
      </w:r>
      <w:r>
        <w:t xml:space="preserve">, 161 F.3d 619 (10th Cir. 1998)</w:t>
      </w:r>
      <w:r>
        <w:t xml:space="preserve"> </w:t>
      </w:r>
      <w:r>
        <w:t xml:space="preserve">[@branson-1998]</w:t>
      </w:r>
      <w:r>
        <w:t xml:space="preserve">.</w:t>
      </w:r>
    </w:p>
  </w:footnote>
  <w:footnote w:id="192">
    <w:p>
      <w:pPr>
        <w:pStyle w:val="FootnoteText"/>
      </w:pPr>
      <w:r>
        <w:rPr>
          <w:rStyle w:val="FootnoteReference"/>
        </w:rPr>
        <w:footnoteRef/>
      </w:r>
      <w:r>
        <w:t xml:space="preserve"> </w:t>
      </w:r>
      <w:r>
        <w:rPr>
          <w:i/>
        </w:rPr>
        <w:t xml:space="preserve">Oklahoma Education Ass’n, Inc. v. Nigh</w:t>
      </w:r>
      <w:r>
        <w:t xml:space="preserve">, 642 P.2d 230 (Okla. 1982)</w:t>
      </w:r>
      <w:r>
        <w:t xml:space="preserve"> </w:t>
      </w:r>
      <w:r>
        <w:t xml:space="preserve">[@nigh-1982]</w:t>
      </w:r>
      <w:r>
        <w:t xml:space="preserve">; accord, collected by state:</w:t>
      </w:r>
      <w:r>
        <w:t xml:space="preserve"> </w:t>
      </w:r>
      <w:r>
        <w:rPr>
          <w:b/>
        </w:rPr>
        <w:t xml:space="preserve">Nebraska</w:t>
      </w:r>
      <w:r>
        <w:t xml:space="preserve"> </w:t>
      </w:r>
      <w:r>
        <w:t xml:space="preserve">—</w:t>
      </w:r>
      <w:r>
        <w:t xml:space="preserve"> </w:t>
      </w:r>
      <w:r>
        <w:rPr>
          <w:i/>
        </w:rPr>
        <w:t xml:space="preserve">Ebke</w:t>
      </w:r>
      <w:r>
        <w:t xml:space="preserve">, 154 Neb. 244 (1951)</w:t>
      </w:r>
      <w:r>
        <w:t xml:space="preserve"> </w:t>
      </w:r>
      <w:r>
        <w:t xml:space="preserve">[@ebke-1951]</w:t>
      </w:r>
      <w:r>
        <w:t xml:space="preserve">;</w:t>
      </w:r>
      <w:r>
        <w:t xml:space="preserve"> </w:t>
      </w:r>
      <w:r>
        <w:rPr>
          <w:b/>
        </w:rPr>
        <w:t xml:space="preserve">Idaho</w:t>
      </w:r>
      <w:r>
        <w:t xml:space="preserve"> </w:t>
      </w:r>
      <w:r>
        <w:t xml:space="preserve">—</w:t>
      </w:r>
      <w:r>
        <w:t xml:space="preserve"> </w:t>
      </w:r>
      <w:r>
        <w:rPr>
          <w:i/>
        </w:rPr>
        <w:t xml:space="preserve">IWP II</w:t>
      </w:r>
      <w:r>
        <w:t xml:space="preserve">, 133 Idaho 64 (1999)</w:t>
      </w:r>
      <w:r>
        <w:t xml:space="preserve"> </w:t>
      </w:r>
      <w:r>
        <w:t xml:space="preserve">[@idaho-watersheds-ii-1999]</w:t>
      </w:r>
      <w:r>
        <w:t xml:space="preserve"> </w:t>
      </w:r>
      <w:r>
        <w:t xml:space="preserve">(legislature may not direct the trustee toward non-beneficiary interests);</w:t>
      </w:r>
      <w:r>
        <w:t xml:space="preserve"> </w:t>
      </w:r>
      <w:r>
        <w:rPr>
          <w:b/>
        </w:rPr>
        <w:t xml:space="preserve">South Dakota</w:t>
      </w:r>
      <w:r>
        <w:t xml:space="preserve"> </w:t>
      </w:r>
      <w:r>
        <w:t xml:space="preserve">—</w:t>
      </w:r>
      <w:r>
        <w:t xml:space="preserve"> </w:t>
      </w:r>
      <w:r>
        <w:rPr>
          <w:i/>
        </w:rPr>
        <w:t xml:space="preserve">Kanaly</w:t>
      </w:r>
      <w:r>
        <w:t xml:space="preserve">, 368 N.W.2d 819 (S.D. 1985)</w:t>
      </w:r>
      <w:r>
        <w:t xml:space="preserve"> </w:t>
      </w:r>
      <w:r>
        <w:t xml:space="preserve">[@kanaly-1985]</w:t>
      </w:r>
      <w:r>
        <w:t xml:space="preserve">;</w:t>
      </w:r>
      <w:r>
        <w:t xml:space="preserve"> </w:t>
      </w:r>
      <w:r>
        <w:rPr>
          <w:b/>
        </w:rPr>
        <w:t xml:space="preserve">Washington</w:t>
      </w:r>
      <w:r>
        <w:t xml:space="preserve"> </w:t>
      </w:r>
      <w:r>
        <w:t xml:space="preserve">—</w:t>
      </w:r>
      <w:r>
        <w:t xml:space="preserve"> </w:t>
      </w:r>
      <w:r>
        <w:rPr>
          <w:i/>
        </w:rPr>
        <w:t xml:space="preserve">Skamania</w:t>
      </w:r>
      <w:r>
        <w:t xml:space="preserve">, 102 Wn.2d 127 (1984)</w:t>
      </w:r>
      <w:r>
        <w:t xml:space="preserve"> </w:t>
      </w:r>
      <w:r>
        <w:t xml:space="preserve">[@skamania-1984]</w:t>
      </w:r>
      <w:r>
        <w:t xml:space="preserve">;</w:t>
      </w:r>
      <w:r>
        <w:t xml:space="preserve"> </w:t>
      </w:r>
      <w:r>
        <w:rPr>
          <w:b/>
        </w:rPr>
        <w:t xml:space="preserve">Montana</w:t>
      </w:r>
      <w:r>
        <w:t xml:space="preserve"> </w:t>
      </w:r>
      <w:r>
        <w:t xml:space="preserve">—</w:t>
      </w:r>
      <w:r>
        <w:t xml:space="preserve"> </w:t>
      </w:r>
      <w:r>
        <w:rPr>
          <w:i/>
        </w:rPr>
        <w:t xml:space="preserve">Montanans for the Responsible Use of the School Trust v. State</w:t>
      </w:r>
      <w:r>
        <w:t xml:space="preserve">, 1999 MT 263</w:t>
      </w:r>
      <w:r>
        <w:t xml:space="preserve"> </w:t>
      </w:r>
      <w:r>
        <w:t xml:space="preserve">[@montrust-1999]</w:t>
      </w:r>
      <w:r>
        <w:t xml:space="preserve">.</w:t>
      </w:r>
    </w:p>
  </w:footnote>
  <w:footnote w:id="193">
    <w:p>
      <w:pPr>
        <w:pStyle w:val="FootnoteText"/>
      </w:pPr>
      <w:r>
        <w:rPr>
          <w:rStyle w:val="FootnoteReference"/>
        </w:rPr>
        <w:footnoteRef/>
      </w:r>
      <w:r>
        <w:t xml:space="preserve"> </w:t>
      </w:r>
      <w:r>
        <w:rPr>
          <w:i/>
        </w:rPr>
        <w:t xml:space="preserve">Schneider v. Hutchinson</w:t>
      </w:r>
      <w:r>
        <w:t xml:space="preserve">, 35 Or 253, 258 (1899)</w:t>
      </w:r>
      <w:r>
        <w:t xml:space="preserve"> </w:t>
      </w:r>
      <w:r>
        <w:t xml:space="preserve">[@schneider-1899]</w:t>
      </w:r>
      <w:r>
        <w:t xml:space="preserve">.</w:t>
      </w:r>
    </w:p>
  </w:footnote>
  <w:footnote w:id="194">
    <w:p>
      <w:pPr>
        <w:pStyle w:val="FootnoteText"/>
      </w:pPr>
      <w:r>
        <w:rPr>
          <w:rStyle w:val="FootnoteReference"/>
        </w:rPr>
        <w:footnoteRef/>
      </w:r>
      <w:r>
        <w:t xml:space="preserve"> </w:t>
      </w:r>
      <w:r>
        <w:rPr>
          <w:i/>
        </w:rPr>
        <w:t xml:space="preserve">Forest Guardians v. Powell</w:t>
      </w:r>
      <w:r>
        <w:t xml:space="preserve">, 130 N.M. 368, 24 P.3d 803, 2001-NMCA-028</w:t>
      </w:r>
      <w:r>
        <w:t xml:space="preserve"> </w:t>
      </w:r>
      <w:r>
        <w:t xml:space="preserve">[@forest-guardians-powell-2001]</w:t>
      </w:r>
      <w:r>
        <w:t xml:space="preserve"> </w:t>
      </w:r>
      <w:r>
        <w:t xml:space="preserve">(Bustamante, J., concurring in part and dissenting in part); see also</w:t>
      </w:r>
      <w:r>
        <w:t xml:space="preserve"> </w:t>
      </w:r>
      <w:r>
        <w:rPr>
          <w:i/>
        </w:rPr>
        <w:t xml:space="preserve">Asplund v. Hannett</w:t>
      </w:r>
      <w:r>
        <w:t xml:space="preserve">, 31 N.M. 641, 249 P. 1074 (1926)</w:t>
      </w:r>
      <w:r>
        <w:t xml:space="preserve"> </w:t>
      </w:r>
      <w:r>
        <w:t xml:space="preserve">[@asplund-1926]</w:t>
      </w:r>
      <w:r>
        <w:t xml:space="preserve"> </w:t>
      </w:r>
      <w:r>
        <w:t xml:space="preserve">(the historical standing baseline</w:t>
      </w:r>
      <w:r>
        <w:t xml:space="preserve"> </w:t>
      </w:r>
      <w:r>
        <w:rPr>
          <w:i/>
        </w:rPr>
        <w:t xml:space="preserve">Forest Guardians</w:t>
      </w:r>
      <w:r>
        <w:t xml:space="preserve"> </w:t>
      </w:r>
      <w:r>
        <w:t xml:space="preserve">revisited).</w:t>
      </w:r>
    </w:p>
  </w:footnote>
  <w:footnote w:id="195">
    <w:p>
      <w:pPr>
        <w:pStyle w:val="FootnoteText"/>
      </w:pPr>
      <w:r>
        <w:rPr>
          <w:rStyle w:val="FootnoteReference"/>
        </w:rPr>
        <w:footnoteRef/>
      </w:r>
      <w:r>
        <w:t xml:space="preserve"> </w:t>
      </w:r>
      <w:r>
        <w:rPr>
          <w:i/>
        </w:rPr>
        <w:t xml:space="preserve">Montanans for the Responsible Use of the School Trust v. Darkenwald</w:t>
      </w:r>
      <w:r>
        <w:t xml:space="preserve">, 2005 MT 190, 328 Mont. 105</w:t>
      </w:r>
      <w:r>
        <w:t xml:space="preserve"> </w:t>
      </w:r>
      <w:r>
        <w:t xml:space="preserve">[@darkenwald-2005]</w:t>
      </w:r>
      <w:r>
        <w:t xml:space="preserve"> </w:t>
      </w:r>
      <w:r>
        <w:t xml:space="preserve">(Nelson, J., dissenting, joined by Cotter, J.: the scheme</w:t>
      </w:r>
      <w:r>
        <w:t xml:space="preserve"> </w:t>
      </w:r>
      <w:r>
        <w:t xml:space="preserve">“</w:t>
      </w:r>
      <w:r>
        <w:t xml:space="preserve">robs Peter (future generations of school children) to pay Paul (present day school children)</w:t>
      </w:r>
      <w:r>
        <w:t xml:space="preserve">”</w:t>
      </w:r>
      <w:r>
        <w:t xml:space="preserve">) (dissent quotation at ¶ 71 and Cotter, J.’s joinder both verified verbatim against the full opinion in L0; the majority, by contrast, sustained the commingling scheme).</w:t>
      </w:r>
    </w:p>
  </w:footnote>
  <w:footnote w:id="197">
    <w:p>
      <w:pPr>
        <w:pStyle w:val="FootnoteText"/>
      </w:pPr>
      <w:r>
        <w:rPr>
          <w:rStyle w:val="FootnoteReference"/>
        </w:rPr>
        <w:footnoteRef/>
      </w:r>
      <w:r>
        <w:t xml:space="preserve"> </w:t>
      </w:r>
      <w:r>
        <w:t xml:space="preserve">See §§ 4.2, 4.4 and the authorities collected there.</w:t>
      </w:r>
    </w:p>
  </w:footnote>
  <w:footnote w:id="198">
    <w:p>
      <w:pPr>
        <w:pStyle w:val="FootnoteText"/>
      </w:pPr>
      <w:r>
        <w:rPr>
          <w:rStyle w:val="FootnoteReference"/>
        </w:rPr>
        <w:footnoteRef/>
      </w:r>
      <w:r>
        <w:t xml:space="preserve"> </w:t>
      </w:r>
      <w:r>
        <w:t xml:space="preserve">The affirmations collection at § 4.4 serves as the master accord list for this proposition.</w:t>
      </w:r>
    </w:p>
  </w:footnote>
  <w:footnote w:id="199">
    <w:p>
      <w:pPr>
        <w:pStyle w:val="FootnoteText"/>
      </w:pPr>
      <w:r>
        <w:rPr>
          <w:rStyle w:val="FootnoteReference"/>
        </w:rPr>
        <w:footnoteRef/>
      </w:r>
      <w:r>
        <w:t xml:space="preserve"> </w:t>
      </w:r>
      <w:r>
        <w:t xml:space="preserve">See § 4.3 and the authorities collected there.</w:t>
      </w:r>
    </w:p>
  </w:footnote>
  <w:footnote w:id="200">
    <w:p>
      <w:pPr>
        <w:pStyle w:val="FootnoteText"/>
      </w:pPr>
      <w:r>
        <w:rPr>
          <w:rStyle w:val="FootnoteReference"/>
        </w:rPr>
        <w:footnoteRef/>
      </w:r>
      <w:r>
        <w:t xml:space="preserve"> </w:t>
      </w:r>
      <w:r>
        <w:t xml:space="preserve">See § 4.7 and the authorities collected there.</w:t>
      </w:r>
    </w:p>
  </w:footnote>
  <w:footnote w:id="203">
    <w:p>
      <w:pPr>
        <w:pStyle w:val="FootnoteText"/>
      </w:pPr>
      <w:r>
        <w:rPr>
          <w:rStyle w:val="FootnoteReference"/>
        </w:rPr>
        <w:footnoteRef/>
      </w:r>
      <w:r>
        <w:t xml:space="preserve"> </w:t>
      </w:r>
      <w:r>
        <w:t xml:space="preserve">Judge Cannon, quoted in</w:t>
      </w:r>
      <w:r>
        <w:t xml:space="preserve"> </w:t>
      </w:r>
      <w:r>
        <w:rPr>
          <w:i/>
        </w:rPr>
        <w:t xml:space="preserve">Arizona Bar Journal</w:t>
      </w:r>
      <w:r>
        <w:t xml:space="preserve"> </w:t>
      </w:r>
      <w:r>
        <w:t xml:space="preserve">(Dec./Jan. 1988)</w:t>
      </w:r>
      <w:r>
        <w:t xml:space="preserve"> </w:t>
      </w:r>
      <w:r>
        <w:t xml:space="preserve">[@azbarj-cannon-1988]</w:t>
      </w:r>
      <w:r>
        <w:t xml:space="preserve"> </w:t>
      </w:r>
      <w:r>
        <w:t xml:space="preserve">(with the companion admonition,</w:t>
      </w:r>
      <w:r>
        <w:t xml:space="preserve"> </w:t>
      </w:r>
      <w:r>
        <w:t xml:space="preserve">“</w:t>
      </w:r>
      <w:r>
        <w:t xml:space="preserve">Beware of the Enabling Act; it’s guarding the hen house</w:t>
      </w:r>
      <w:r>
        <w:t xml:space="preserve">”</w:t>
      </w:r>
      <w:r>
        <w:t xml:space="preserve">). The formal doctrine:</w:t>
      </w:r>
      <w:r>
        <w:t xml:space="preserve"> </w:t>
      </w:r>
      <w:r>
        <w:rPr>
          <w:i/>
        </w:rPr>
        <w:t xml:space="preserve">Deer Valley Unified School District No. 97 v. Superior Court</w:t>
      </w:r>
      <w:r>
        <w:t xml:space="preserve">, 157 Ariz. 537, 760 P.2d 537 (1988)</w:t>
      </w:r>
      <w:r>
        <w:t xml:space="preserve"> </w:t>
      </w:r>
      <w:r>
        <w:t xml:space="preserve">[@deer-valley-1988]</w:t>
      </w:r>
      <w:r>
        <w:t xml:space="preserve"> </w:t>
      </w:r>
      <w:r>
        <w:t xml:space="preserve">(school trust land may not be condemned by the State or its subdivisions; the</w:t>
      </w:r>
      <w:r>
        <w:t xml:space="preserve"> </w:t>
      </w:r>
      <w:r>
        <w:t xml:space="preserve">“</w:t>
      </w:r>
      <w:r>
        <w:t xml:space="preserve">is not state land</w:t>
      </w:r>
      <w:r>
        <w:t xml:space="preserve">”</w:t>
      </w:r>
      <w:r>
        <w:t xml:space="preserve"> </w:t>
      </w:r>
      <w:r>
        <w:t xml:space="preserve">slogan does not appear in the opinion — see [^c05-deer-valley-1988] and § 5.5).</w:t>
      </w:r>
    </w:p>
  </w:footnote>
  <w:footnote w:id="205">
    <w:p>
      <w:pPr>
        <w:pStyle w:val="FootnoteText"/>
      </w:pPr>
      <w:r>
        <w:rPr>
          <w:rStyle w:val="FootnoteReference"/>
        </w:rPr>
        <w:footnoteRef/>
      </w:r>
      <w:r>
        <w:t xml:space="preserve"> </w:t>
      </w:r>
      <w:r>
        <w:rPr>
          <w:i/>
        </w:rPr>
        <w:t xml:space="preserve">Oregon ex rel. State Land Board v. Corvallis Sand &amp; Gravel Co.</w:t>
      </w:r>
      <w:r>
        <w:t xml:space="preserve">, 429 U.S. 363, 374 (1977)</w:t>
      </w:r>
      <w:r>
        <w:t xml:space="preserve"> </w:t>
      </w:r>
      <w:r>
        <w:t xml:space="preserve">[@corvallis-sand-1977]</w:t>
      </w:r>
      <w:r>
        <w:t xml:space="preserve">;</w:t>
      </w:r>
      <w:r>
        <w:t xml:space="preserve"> </w:t>
      </w:r>
      <w:r>
        <w:rPr>
          <w:i/>
        </w:rPr>
        <w:t xml:space="preserve">Chernaik v. Brown</w:t>
      </w:r>
      <w:r>
        <w:t xml:space="preserve">, 367 Or 143, 156 (2020)</w:t>
      </w:r>
      <w:r>
        <w:t xml:space="preserve"> </w:t>
      </w:r>
      <w:r>
        <w:t xml:space="preserve">[@chernaik-2020]</w:t>
      </w:r>
      <w:r>
        <w:t xml:space="preserve"> </w:t>
      </w:r>
      <w:r>
        <w:t xml:space="preserve">(title passing to the state at statehood</w:t>
      </w:r>
      <w:r>
        <w:t xml:space="preserve"> </w:t>
      </w:r>
      <w:r>
        <w:t xml:space="preserve">“</w:t>
      </w:r>
      <w:r>
        <w:t xml:space="preserve">by virtue of its sovereignty</w:t>
      </w:r>
      <w:r>
        <w:t xml:space="preserve">”</w:t>
      </w:r>
      <w:r>
        <w:t xml:space="preserve">).</w:t>
      </w:r>
    </w:p>
  </w:footnote>
  <w:footnote w:id="206">
    <w:p>
      <w:pPr>
        <w:pStyle w:val="FootnoteText"/>
      </w:pPr>
      <w:r>
        <w:rPr>
          <w:rStyle w:val="FootnoteReference"/>
        </w:rPr>
        <w:footnoteRef/>
      </w:r>
      <w:r>
        <w:t xml:space="preserve"> </w:t>
      </w:r>
      <w:r>
        <w:rPr>
          <w:i/>
        </w:rPr>
        <w:t xml:space="preserve">Chernaik v. Brown</w:t>
      </w:r>
      <w:r>
        <w:t xml:space="preserve">, 367 Or 143, 156 (2020)</w:t>
      </w:r>
      <w:r>
        <w:t xml:space="preserve"> </w:t>
      </w:r>
      <w:r>
        <w:t xml:space="preserve">[@chernaik-2020]</w:t>
      </w:r>
      <w:r>
        <w:t xml:space="preserve"> </w:t>
      </w:r>
      <w:r>
        <w:t xml:space="preserve">(the Oregon formulation; the public trust doctrine</w:t>
      </w:r>
      <w:r>
        <w:t xml:space="preserve"> </w:t>
      </w:r>
      <w:r>
        <w:t xml:space="preserve">“</w:t>
      </w:r>
      <w:r>
        <w:t xml:space="preserve">is a creature of Oregon State law</w:t>
      </w:r>
      <w:r>
        <w:t xml:space="preserve">”</w:t>
      </w:r>
      <w:r>
        <w:t xml:space="preserve">). Parallel public-trust formulations in the other trust states not yet collected; see Architecture § C, verification wave 2.</w:t>
      </w:r>
    </w:p>
  </w:footnote>
  <w:footnote w:id="207">
    <w:p>
      <w:pPr>
        <w:pStyle w:val="FootnoteText"/>
      </w:pPr>
      <w:r>
        <w:rPr>
          <w:rStyle w:val="FootnoteReference"/>
        </w:rPr>
        <w:footnoteRef/>
      </w:r>
      <w:r>
        <w:t xml:space="preserve"> </w:t>
      </w:r>
      <w:r>
        <w:rPr>
          <w:i/>
        </w:rPr>
        <w:t xml:space="preserve">Wilcox v. Jackson</w:t>
      </w:r>
      <w:r>
        <w:t xml:space="preserve">, 38 U.S. 498, 513 (1839)</w:t>
      </w:r>
      <w:r>
        <w:t xml:space="preserve"> </w:t>
      </w:r>
      <w:r>
        <w:t xml:space="preserve">[@wilcox-1839]</w:t>
      </w:r>
      <w:r>
        <w:t xml:space="preserve">.</w:t>
      </w:r>
    </w:p>
  </w:footnote>
  <w:footnote w:id="208">
    <w:p>
      <w:pPr>
        <w:pStyle w:val="FootnoteText"/>
      </w:pPr>
      <w:r>
        <w:rPr>
          <w:rStyle w:val="FootnoteReference"/>
        </w:rPr>
        <w:footnoteRef/>
      </w:r>
      <w:r>
        <w:t xml:space="preserve"> </w:t>
      </w:r>
      <w:r>
        <w:t xml:space="preserve">Positions per the public filings in</w:t>
      </w:r>
      <w:r>
        <w:t xml:space="preserve"> </w:t>
      </w:r>
      <w:r>
        <w:rPr>
          <w:i/>
        </w:rPr>
        <w:t xml:space="preserve">Siuslaw School District 97J v. State of Oregon</w:t>
      </w:r>
      <w:r>
        <w:t xml:space="preserve">, Coos County Circuit Court No. 24CV38372: Defendants’ Motion for Summary Judgment (May 13, 2026); Plaintiffs’ Response and Cross-Motion for Partial Summary Judgment (May 29, 2026) (Section D, pairing</w:t>
      </w:r>
      <w:r>
        <w:t xml:space="preserve"> </w:t>
      </w:r>
      <w:r>
        <w:rPr>
          <w:i/>
        </w:rPr>
        <w:t xml:space="preserve">Chernaik</w:t>
      </w:r>
      <w:r>
        <w:t xml:space="preserve">,</w:t>
      </w:r>
      <w:r>
        <w:t xml:space="preserve"> </w:t>
      </w:r>
      <w:r>
        <w:rPr>
          <w:i/>
        </w:rPr>
        <w:t xml:space="preserve">Corvallis Sand &amp; Gravel</w:t>
      </w:r>
      <w:r>
        <w:t xml:space="preserve">, and</w:t>
      </w:r>
      <w:r>
        <w:t xml:space="preserve"> </w:t>
      </w:r>
      <w:r>
        <w:rPr>
          <w:i/>
        </w:rPr>
        <w:t xml:space="preserve">Wilcox</w:t>
      </w:r>
      <w:r>
        <w:t xml:space="preserve">).</w:t>
      </w:r>
    </w:p>
  </w:footnote>
  <w:footnote w:id="210">
    <w:p>
      <w:pPr>
        <w:pStyle w:val="FootnoteText"/>
      </w:pPr>
      <w:r>
        <w:rPr>
          <w:rStyle w:val="FootnoteReference"/>
        </w:rPr>
        <w:footnoteRef/>
      </w:r>
      <w:r>
        <w:t xml:space="preserve"> </w:t>
      </w:r>
      <w:r>
        <w:rPr>
          <w:i/>
        </w:rPr>
        <w:t xml:space="preserve">Lassen v. Arizona ex rel. Arizona Highway Department</w:t>
      </w:r>
      <w:r>
        <w:t xml:space="preserve">, 385 U.S. 458, 466-67 (1967)</w:t>
      </w:r>
      <w:r>
        <w:t xml:space="preserve"> </w:t>
      </w:r>
      <w:r>
        <w:t xml:space="preserve">[@lassen-1967]</w:t>
      </w:r>
      <w:r>
        <w:t xml:space="preserve">.</w:t>
      </w:r>
    </w:p>
  </w:footnote>
  <w:footnote w:id="211">
    <w:p>
      <w:pPr>
        <w:pStyle w:val="FootnoteText"/>
      </w:pPr>
      <w:r>
        <w:rPr>
          <w:rStyle w:val="FootnoteReference"/>
        </w:rPr>
        <w:footnoteRef/>
      </w:r>
      <w:r>
        <w:t xml:space="preserve"> </w:t>
      </w:r>
      <w:r>
        <w:rPr>
          <w:i/>
        </w:rPr>
        <w:t xml:space="preserve">Ervien v. United States</w:t>
      </w:r>
      <w:r>
        <w:t xml:space="preserve">, 251 U.S. 41, 47 (1919)</w:t>
      </w:r>
      <w:r>
        <w:t xml:space="preserve"> </w:t>
      </w:r>
      <w:r>
        <w:t xml:space="preserve">[@ervien-1919]</w:t>
      </w:r>
      <w:r>
        <w:t xml:space="preserve">.</w:t>
      </w:r>
    </w:p>
  </w:footnote>
  <w:footnote w:id="212">
    <w:p>
      <w:pPr>
        <w:pStyle w:val="FootnoteText"/>
      </w:pPr>
      <w:r>
        <w:rPr>
          <w:rStyle w:val="FootnoteReference"/>
        </w:rPr>
        <w:footnoteRef/>
      </w:r>
      <w:r>
        <w:t xml:space="preserve"> </w:t>
      </w:r>
      <w:r>
        <w:rPr>
          <w:i/>
        </w:rPr>
        <w:t xml:space="preserve">County of Skamania v. State</w:t>
      </w:r>
      <w:r>
        <w:t xml:space="preserve">, 102 Wn.2d 127, 685 P.2d 576 (1984)</w:t>
      </w:r>
      <w:r>
        <w:t xml:space="preserve"> </w:t>
      </w:r>
      <w:r>
        <w:t xml:space="preserve">[@skamania-1984]</w:t>
      </w:r>
      <w:r>
        <w:t xml:space="preserve"> </w:t>
      </w:r>
      <w:r>
        <w:t xml:space="preserve">(</w:t>
      </w:r>
      <w:r>
        <w:t xml:space="preserve">“</w:t>
      </w:r>
      <w:r>
        <w:t xml:space="preserve">it may not sacrifice this goal to pursue other objectives, no matter how laudable those objectives may be</w:t>
      </w:r>
      <w:r>
        <w:t xml:space="preserve">”</w:t>
      </w:r>
      <w:r>
        <w:t xml:space="preserve">); reaffirmed unanimously,</w:t>
      </w:r>
      <w:r>
        <w:t xml:space="preserve"> </w:t>
      </w:r>
      <w:r>
        <w:rPr>
          <w:i/>
        </w:rPr>
        <w:t xml:space="preserve">Conservation Northwest v. Commissioner of Public Lands</w:t>
      </w:r>
      <w:r>
        <w:t xml:space="preserve">, 200 Wn.2d 8 (Wash. 2022)</w:t>
      </w:r>
      <w:r>
        <w:t xml:space="preserve"> </w:t>
      </w:r>
      <w:r>
        <w:t xml:space="preserve">[@conservation-nw-2022]</w:t>
      </w:r>
      <w:r>
        <w:t xml:space="preserve">.</w:t>
      </w:r>
    </w:p>
  </w:footnote>
  <w:footnote w:id="213">
    <w:p>
      <w:pPr>
        <w:pStyle w:val="FootnoteText"/>
      </w:pPr>
      <w:r>
        <w:rPr>
          <w:rStyle w:val="FootnoteReference"/>
        </w:rPr>
        <w:footnoteRef/>
      </w:r>
      <w:r>
        <w:t xml:space="preserve"> </w:t>
      </w:r>
      <w:r>
        <w:rPr>
          <w:i/>
        </w:rPr>
        <w:t xml:space="preserve">Idaho Watersheds Project v. State Bd. of Land Comm’rs (IWP II)</w:t>
      </w:r>
      <w:r>
        <w:t xml:space="preserve">, 133 Idaho 64 (1999)</w:t>
      </w:r>
      <w:r>
        <w:t xml:space="preserve"> </w:t>
      </w:r>
      <w:r>
        <w:t xml:space="preserve">[@idaho-watersheds-ii-1999]</w:t>
      </w:r>
      <w:r>
        <w:t xml:space="preserve">.</w:t>
      </w:r>
    </w:p>
  </w:footnote>
  <w:footnote w:id="214">
    <w:p>
      <w:pPr>
        <w:pStyle w:val="FootnoteText"/>
      </w:pPr>
      <w:r>
        <w:rPr>
          <w:rStyle w:val="FootnoteReference"/>
        </w:rPr>
        <w:footnoteRef/>
      </w:r>
      <w:r>
        <w:t xml:space="preserve"> </w:t>
      </w:r>
      <w:r>
        <w:rPr>
          <w:i/>
        </w:rPr>
        <w:t xml:space="preserve">State v. University of Alaska</w:t>
      </w:r>
      <w:r>
        <w:t xml:space="preserve">, 624 P.2d 807, 813 (Alaska 1981)</w:t>
      </w:r>
      <w:r>
        <w:t xml:space="preserve"> </w:t>
      </w:r>
      <w:r>
        <w:t xml:space="preserve">[@university-of-alaska-1981]</w:t>
      </w:r>
      <w:r>
        <w:t xml:space="preserve"> </w:t>
      </w:r>
      <w:r>
        <w:t xml:space="preserve">(</w:t>
      </w:r>
      <w:r>
        <w:t xml:space="preserve">“</w:t>
      </w:r>
      <w:r>
        <w:t xml:space="preserve">a breach of a federal trust</w:t>
      </w:r>
      <w:r>
        <w:t xml:space="preserve">”</w:t>
      </w:r>
      <w:r>
        <w:t xml:space="preserve"> </w:t>
      </w:r>
      <w:r>
        <w:t xml:space="preserve">is the introductory holding; the</w:t>
      </w:r>
      <w:r>
        <w:t xml:space="preserve"> </w:t>
      </w:r>
      <w:r>
        <w:t xml:space="preserve">“</w:t>
      </w:r>
      <w:r>
        <w:t xml:space="preserve">solely in the interest of the beneficiaries</w:t>
      </w:r>
      <w:r>
        <w:t xml:space="preserve">”</w:t>
      </w:r>
      <w:r>
        <w:t xml:space="preserve"> </w:t>
      </w:r>
      <w:r>
        <w:t xml:space="preserve">rule is adopted at 813, quoting Scott on Trusts § 170 — verified against the full opinion, 2026-06-10). The named-class principle, collected by state:</w:t>
      </w:r>
      <w:r>
        <w:t xml:space="preserve"> </w:t>
      </w:r>
      <w:r>
        <w:rPr>
          <w:b/>
        </w:rPr>
        <w:t xml:space="preserve">Alaska</w:t>
      </w:r>
      <w:r>
        <w:t xml:space="preserve"> </w:t>
      </w:r>
      <w:r>
        <w:t xml:space="preserve">—</w:t>
      </w:r>
      <w:r>
        <w:t xml:space="preserve"> </w:t>
      </w:r>
      <w:r>
        <w:rPr>
          <w:i/>
        </w:rPr>
        <w:t xml:space="preserve">University of Alaska</w:t>
      </w:r>
      <w:r>
        <w:t xml:space="preserve">, 624 P.2d at 813 (</w:t>
      </w:r>
      <w:r>
        <w:t xml:space="preserve">“</w:t>
      </w:r>
      <w:r>
        <w:t xml:space="preserve">The implied intent of the grant was to maximize the economic return from the land for the benefit of the university. This intent cannot be accomplished if the use of the land is restricted to any significant degree.</w:t>
      </w:r>
      <w:r>
        <w:t xml:space="preserve">”</w:t>
      </w:r>
      <w:r>
        <w:t xml:space="preserve">);</w:t>
      </w:r>
      <w:r>
        <w:t xml:space="preserve"> </w:t>
      </w:r>
      <w:r>
        <w:rPr>
          <w:b/>
        </w:rPr>
        <w:t xml:space="preserve">Arizona</w:t>
      </w:r>
      <w:r>
        <w:t xml:space="preserve"> </w:t>
      </w:r>
      <w:r>
        <w:t xml:space="preserve">—</w:t>
      </w:r>
      <w:r>
        <w:t xml:space="preserve"> </w:t>
      </w:r>
      <w:r>
        <w:rPr>
          <w:i/>
        </w:rPr>
        <w:t xml:space="preserve">Deer Valley</w:t>
      </w:r>
      <w:r>
        <w:t xml:space="preserve">, 157 Ariz. 537 (1988)</w:t>
      </w:r>
      <w:r>
        <w:t xml:space="preserve"> </w:t>
      </w:r>
      <w:r>
        <w:t xml:space="preserve">[@deer-valley-1988]</w:t>
      </w:r>
      <w:r>
        <w:t xml:space="preserve">;</w:t>
      </w:r>
      <w:r>
        <w:t xml:space="preserve"> </w:t>
      </w:r>
      <w:r>
        <w:rPr>
          <w:b/>
        </w:rPr>
        <w:t xml:space="preserve">Idaho</w:t>
      </w:r>
      <w:r>
        <w:t xml:space="preserve"> </w:t>
      </w:r>
      <w:r>
        <w:t xml:space="preserve">—</w:t>
      </w:r>
      <w:r>
        <w:t xml:space="preserve"> </w:t>
      </w:r>
      <w:r>
        <w:rPr>
          <w:i/>
        </w:rPr>
        <w:t xml:space="preserve">IWP II</w:t>
      </w:r>
      <w:r>
        <w:t xml:space="preserve">, 133 Idaho 64 (1999)</w:t>
      </w:r>
      <w:r>
        <w:t xml:space="preserve"> </w:t>
      </w:r>
      <w:r>
        <w:t xml:space="preserve">[@idaho-watersheds-ii-1999]</w:t>
      </w:r>
      <w:r>
        <w:t xml:space="preserve">;</w:t>
      </w:r>
      <w:r>
        <w:t xml:space="preserve"> </w:t>
      </w:r>
      <w:r>
        <w:rPr>
          <w:b/>
        </w:rPr>
        <w:t xml:space="preserve">Montana</w:t>
      </w:r>
      <w:r>
        <w:t xml:space="preserve"> </w:t>
      </w:r>
      <w:r>
        <w:t xml:space="preserve">—</w:t>
      </w:r>
      <w:r>
        <w:t xml:space="preserve"> </w:t>
      </w:r>
      <w:r>
        <w:rPr>
          <w:i/>
        </w:rPr>
        <w:t xml:space="preserve">Montanans for the Responsible Use of the School Trust v. State</w:t>
      </w:r>
      <w:r>
        <w:t xml:space="preserve">, 1999 MT 263</w:t>
      </w:r>
      <w:r>
        <w:t xml:space="preserve"> </w:t>
      </w:r>
      <w:r>
        <w:t xml:space="preserve">[@montrust-1999]</w:t>
      </w:r>
      <w:r>
        <w:t xml:space="preserve"> </w:t>
      </w:r>
      <w:r>
        <w:t xml:space="preserve">(diversion statutes struck);</w:t>
      </w:r>
      <w:r>
        <w:t xml:space="preserve"> </w:t>
      </w:r>
      <w:r>
        <w:rPr>
          <w:b/>
        </w:rPr>
        <w:t xml:space="preserve">New Mexico (federal)</w:t>
      </w:r>
      <w:r>
        <w:t xml:space="preserve"> </w:t>
      </w:r>
      <w:r>
        <w:t xml:space="preserve">—</w:t>
      </w:r>
      <w:r>
        <w:t xml:space="preserve"> </w:t>
      </w:r>
      <w:r>
        <w:rPr>
          <w:i/>
        </w:rPr>
        <w:t xml:space="preserve">Ervien</w:t>
      </w:r>
      <w:r>
        <w:t xml:space="preserve">, 251 U.S. 41 (1919)</w:t>
      </w:r>
      <w:r>
        <w:t xml:space="preserve"> </w:t>
      </w:r>
      <w:r>
        <w:t xml:space="preserve">[@ervien-1919]</w:t>
      </w:r>
      <w:r>
        <w:t xml:space="preserve">;</w:t>
      </w:r>
      <w:r>
        <w:t xml:space="preserve"> </w:t>
      </w:r>
      <w:r>
        <w:rPr>
          <w:b/>
        </w:rPr>
        <w:t xml:space="preserve">Washington</w:t>
      </w:r>
      <w:r>
        <w:t xml:space="preserve"> </w:t>
      </w:r>
      <w:r>
        <w:t xml:space="preserve">—</w:t>
      </w:r>
      <w:r>
        <w:t xml:space="preserve"> </w:t>
      </w:r>
      <w:r>
        <w:rPr>
          <w:i/>
        </w:rPr>
        <w:t xml:space="preserve">Skamania</w:t>
      </w:r>
      <w:r>
        <w:t xml:space="preserve">, 102 Wn.2d 127 (1984)</w:t>
      </w:r>
      <w:r>
        <w:t xml:space="preserve"> </w:t>
      </w:r>
      <w:r>
        <w:t xml:space="preserve">[@skamania-1984]</w:t>
      </w:r>
      <w:r>
        <w:t xml:space="preserve">.</w:t>
      </w:r>
    </w:p>
  </w:footnote>
  <w:footnote w:id="215">
    <w:p>
      <w:pPr>
        <w:pStyle w:val="FootnoteText"/>
      </w:pPr>
      <w:r>
        <w:rPr>
          <w:rStyle w:val="FootnoteReference"/>
        </w:rPr>
        <w:footnoteRef/>
      </w:r>
      <w:r>
        <w:t xml:space="preserve"> </w:t>
      </w:r>
      <w:r>
        <w:t xml:space="preserve">Or. Const. art. VIII, § 5(2)</w:t>
      </w:r>
      <w:r>
        <w:t xml:space="preserve"> </w:t>
      </w:r>
      <w:r>
        <w:t xml:space="preserve">[@const-or-art8]</w:t>
      </w:r>
      <w:r>
        <w:t xml:space="preserve">;</w:t>
      </w:r>
      <w:r>
        <w:t xml:space="preserve"> </w:t>
      </w:r>
      <w:r>
        <w:rPr>
          <w:i/>
        </w:rPr>
        <w:t xml:space="preserve">Cascadia Wildlands v. Department of State Lands</w:t>
      </w:r>
      <w:r>
        <w:t xml:space="preserve">, 365 Or 750, 763 (2019)</w:t>
      </w:r>
      <w:r>
        <w:t xml:space="preserve"> </w:t>
      </w:r>
      <w:r>
        <w:t xml:space="preserve">[@cascadia-2019]</w:t>
      </w:r>
      <w:r>
        <w:t xml:space="preserve"> </w:t>
      </w:r>
      <w:r>
        <w:t xml:space="preserve">(the</w:t>
      </w:r>
      <w:r>
        <w:t xml:space="preserve"> </w:t>
      </w:r>
      <w:r>
        <w:t xml:space="preserve">“</w:t>
      </w:r>
      <w:r>
        <w:t xml:space="preserve">held in trust for the people of Oregon</w:t>
      </w:r>
      <w:r>
        <w:t xml:space="preserve">”</w:t>
      </w:r>
      <w:r>
        <w:t xml:space="preserve"> </w:t>
      </w:r>
      <w:r>
        <w:t xml:space="preserve">passage verified against the full L0 opinion and pinned at *763, 2026-06-10).</w:t>
      </w:r>
    </w:p>
  </w:footnote>
  <w:footnote w:id="217">
    <w:p>
      <w:pPr>
        <w:pStyle w:val="FootnoteText"/>
      </w:pPr>
      <w:r>
        <w:rPr>
          <w:rStyle w:val="FootnoteReference"/>
        </w:rPr>
        <w:footnoteRef/>
      </w:r>
      <w:r>
        <w:t xml:space="preserve"> </w:t>
      </w:r>
      <w:r>
        <w:rPr>
          <w:i/>
        </w:rPr>
        <w:t xml:space="preserve">Lassen v. Arizona ex rel. Arizona Highway Department</w:t>
      </w:r>
      <w:r>
        <w:t xml:space="preserve">, 385 U.S. 458, 466-67 (1967)</w:t>
      </w:r>
      <w:r>
        <w:t xml:space="preserve"> </w:t>
      </w:r>
      <w:r>
        <w:t xml:space="preserve">[@lassen-1967]</w:t>
      </w:r>
      <w:r>
        <w:t xml:space="preserve">.</w:t>
      </w:r>
    </w:p>
  </w:footnote>
  <w:footnote w:id="218">
    <w:p>
      <w:pPr>
        <w:pStyle w:val="FootnoteText"/>
      </w:pPr>
      <w:r>
        <w:rPr>
          <w:rStyle w:val="FootnoteReference"/>
        </w:rPr>
        <w:footnoteRef/>
      </w:r>
      <w:r>
        <w:t xml:space="preserve"> </w:t>
      </w:r>
      <w:r>
        <w:t xml:space="preserve">The compensation machinery — appraisal, market exposure, and the recharacterization problem — is developed in Chapters 9 and 10; this section states the structural principle only.</w:t>
      </w:r>
    </w:p>
  </w:footnote>
  <w:footnote w:id="219">
    <w:p>
      <w:pPr>
        <w:pStyle w:val="FootnoteText"/>
      </w:pPr>
      <w:r>
        <w:rPr>
          <w:rStyle w:val="FootnoteReference"/>
        </w:rPr>
        <w:footnoteRef/>
      </w:r>
      <w:r>
        <w:t xml:space="preserve"> </w:t>
      </w:r>
      <w:r>
        <w:rPr>
          <w:i/>
        </w:rPr>
        <w:t xml:space="preserve">Kanaly v. State ex rel. Janklow</w:t>
      </w:r>
      <w:r>
        <w:t xml:space="preserve">, 368 N.W.2d 819, 823 (S.D. 1985)</w:t>
      </w:r>
      <w:r>
        <w:t xml:space="preserve"> </w:t>
      </w:r>
      <w:r>
        <w:t xml:space="preserve">[@kanaly-1985]</w:t>
      </w:r>
      <w:r>
        <w:t xml:space="preserve">; the second opinion in the litigation is</w:t>
      </w:r>
      <w:r>
        <w:t xml:space="preserve"> </w:t>
      </w:r>
      <w:r>
        <w:rPr>
          <w:i/>
        </w:rPr>
        <w:t xml:space="preserve">Kanaly v. State ex rel. Janklow</w:t>
      </w:r>
      <w:r>
        <w:t xml:space="preserve">, 401 N.W.2d 551 (S.D. 1987) (the 397 N.W.2d 374 citation carried in some source materials is erroneous).</w:t>
      </w:r>
    </w:p>
  </w:footnote>
  <w:footnote w:id="220">
    <w:p>
      <w:pPr>
        <w:pStyle w:val="FootnoteText"/>
      </w:pPr>
      <w:r>
        <w:rPr>
          <w:rStyle w:val="FootnoteReference"/>
        </w:rPr>
        <w:footnoteRef/>
      </w:r>
      <w:r>
        <w:t xml:space="preserve"> </w:t>
      </w:r>
      <w:r>
        <w:rPr>
          <w:i/>
        </w:rPr>
        <w:t xml:space="preserve">State ex rel. State Highway Commission v. Walker</w:t>
      </w:r>
      <w:r>
        <w:t xml:space="preserve">, 61 N.M. 374, 301 P.2d 317 (1956)</w:t>
      </w:r>
      <w:r>
        <w:t xml:space="preserve"> </w:t>
      </w:r>
      <w:r>
        <w:t xml:space="preserve">[@walker-1956]</w:t>
      </w:r>
      <w:r>
        <w:t xml:space="preserve"> </w:t>
      </w:r>
      <w:r>
        <w:t xml:space="preserve">(the disapproved opinions are N.M. Att’y Gen. Op. No. 3454 (1922)</w:t>
      </w:r>
      <w:r>
        <w:t xml:space="preserve"> </w:t>
      </w:r>
      <w:r>
        <w:t xml:space="preserve">[@ag-nm-3454-1922]</w:t>
      </w:r>
      <w:r>
        <w:t xml:space="preserve"> </w:t>
      </w:r>
      <w:r>
        <w:t xml:space="preserve">and Op. No. 64 (1931)</w:t>
      </w:r>
      <w:r>
        <w:t xml:space="preserve"> </w:t>
      </w:r>
      <w:r>
        <w:t xml:space="preserve">[@ag-nm-64-1931]</w:t>
      </w:r>
      <w:r>
        <w:t xml:space="preserve"> </w:t>
      </w:r>
      <w:r>
        <w:t xml:space="preserve">— the field’s clearest documented instance of attorney general opinions siding with the sovereign against the trust; see Chapter 14).</w:t>
      </w:r>
    </w:p>
  </w:footnote>
  <w:footnote w:id="221">
    <w:p>
      <w:pPr>
        <w:pStyle w:val="FootnoteText"/>
      </w:pPr>
      <w:r>
        <w:rPr>
          <w:rStyle w:val="FootnoteReference"/>
        </w:rPr>
        <w:footnoteRef/>
      </w:r>
      <w:r>
        <w:t xml:space="preserve"> </w:t>
      </w:r>
      <w:r>
        <w:rPr>
          <w:i/>
        </w:rPr>
        <w:t xml:space="preserve">State v. University of Alaska</w:t>
      </w:r>
      <w:r>
        <w:t xml:space="preserve">, 624 P.2d 807, 813 (Alaska 1981)</w:t>
      </w:r>
      <w:r>
        <w:t xml:space="preserve"> </w:t>
      </w:r>
      <w:r>
        <w:t xml:space="preserve">[@university-of-alaska-1981]</w:t>
      </w:r>
      <w:r>
        <w:t xml:space="preserve">.</w:t>
      </w:r>
    </w:p>
  </w:footnote>
  <w:footnote w:id="222">
    <w:p>
      <w:pPr>
        <w:pStyle w:val="FootnoteText"/>
      </w:pPr>
      <w:r>
        <w:rPr>
          <w:rStyle w:val="FootnoteReference"/>
        </w:rPr>
        <w:footnoteRef/>
      </w:r>
      <w:r>
        <w:t xml:space="preserve"> </w:t>
      </w:r>
      <w:r>
        <w:rPr>
          <w:i/>
        </w:rPr>
        <w:t xml:space="preserve">Department of State Lands v. Pettibone</w:t>
      </w:r>
      <w:r>
        <w:t xml:space="preserve">, 702 P.2d 948 (Mont. 1985)</w:t>
      </w:r>
      <w:r>
        <w:t xml:space="preserve"> </w:t>
      </w:r>
      <w:r>
        <w:t xml:space="preserve">[@pettibone-1985]</w:t>
      </w:r>
      <w:r>
        <w:t xml:space="preserve"> </w:t>
      </w:r>
      <w:r>
        <w:t xml:space="preserve">(school trust lands</w:t>
      </w:r>
      <w:r>
        <w:t xml:space="preserve"> </w:t>
      </w:r>
      <w:r>
        <w:t xml:space="preserve">“</w:t>
      </w:r>
      <w:r>
        <w:t xml:space="preserve">subject to a different set of rules than other public lands</w:t>
      </w:r>
      <w:r>
        <w:t xml:space="preserve">”</w:t>
      </w:r>
      <w:r>
        <w:t xml:space="preserve">).</w:t>
      </w:r>
    </w:p>
  </w:footnote>
  <w:footnote w:id="223">
    <w:p>
      <w:pPr>
        <w:pStyle w:val="FootnoteText"/>
      </w:pPr>
      <w:r>
        <w:rPr>
          <w:rStyle w:val="FootnoteReference"/>
        </w:rPr>
        <w:footnoteRef/>
      </w:r>
      <w:r>
        <w:t xml:space="preserve"> </w:t>
      </w:r>
      <w:r>
        <w:rPr>
          <w:i/>
        </w:rPr>
        <w:t xml:space="preserve">Deer Valley Unified School District No. 97 v. Superior Court</w:t>
      </w:r>
      <w:r>
        <w:t xml:space="preserve">, 157 Ariz. 537, 760 P.2d 537 (1988)</w:t>
      </w:r>
      <w:r>
        <w:t xml:space="preserve"> </w:t>
      </w:r>
      <w:r>
        <w:t xml:space="preserve">[@deer-valley-1988]</w:t>
      </w:r>
      <w:r>
        <w:t xml:space="preserve"> </w:t>
      </w:r>
      <w:r>
        <w:t xml:space="preserve">(full opinion verified 2026-06-08, CourtListener id 6478035: the no-condemnation holding is confirmed — neither the State nor its subdivisions may condemn school trust land — resting on the public-auction requirements of § 28 of the Enabling Act and Ariz. Const. art. 10; the phrase</w:t>
      </w:r>
      <w:r>
        <w:t xml:space="preserve"> </w:t>
      </w:r>
      <w:r>
        <w:t xml:space="preserve">“</w:t>
      </w:r>
      <w:r>
        <w:t xml:space="preserve">is not state land</w:t>
      </w:r>
      <w:r>
        <w:t xml:space="preserve">”</w:t>
      </w:r>
      <w:r>
        <w:t xml:space="preserve"> </w:t>
      </w:r>
      <w:r>
        <w:t xml:space="preserve">does NOT appear anywhere in the opinion. The court recounted the trial court’s ruling</w:t>
      </w:r>
      <w:r>
        <w:t xml:space="preserve"> </w:t>
      </w:r>
      <w:r>
        <w:t xml:space="preserve">“</w:t>
      </w:r>
      <w:r>
        <w:t xml:space="preserve">that the school trust land did not belong to the state and was therefore not subject to condemnation,</w:t>
      </w:r>
      <w:r>
        <w:t xml:space="preserve">”</w:t>
      </w:r>
      <w:r>
        <w:t xml:space="preserve"> </w:t>
      </w:r>
      <w:r>
        <w:t xml:space="preserve">then affirmed on independent state-constitutional auction grounds, expressly declining to follow</w:t>
      </w:r>
      <w:r>
        <w:t xml:space="preserve"> </w:t>
      </w:r>
      <w:r>
        <w:rPr>
          <w:i/>
        </w:rPr>
        <w:t xml:space="preserve">Lassen</w:t>
      </w:r>
      <w:r>
        <w:t xml:space="preserve"> </w:t>
      </w:r>
      <w:r>
        <w:t xml:space="preserve">as a matter of state law).</w:t>
      </w:r>
    </w:p>
  </w:footnote>
  <w:footnote w:id="224">
    <w:p>
      <w:pPr>
        <w:pStyle w:val="FootnoteText"/>
      </w:pPr>
      <w:r>
        <w:rPr>
          <w:rStyle w:val="FootnoteReference"/>
        </w:rPr>
        <w:footnoteRef/>
      </w:r>
      <w:r>
        <w:t xml:space="preserve"> </w:t>
      </w:r>
      <w:r>
        <w:t xml:space="preserve">Utah Code § 53C-4-104</w:t>
      </w:r>
      <w:r>
        <w:t xml:space="preserve"> </w:t>
      </w:r>
      <w:r>
        <w:t xml:space="preserve">[@act-utah-hb262-2024]</w:t>
      </w:r>
      <w:r>
        <w:t xml:space="preserve">; Tonia Day,</w:t>
      </w:r>
      <w:r>
        <w:t xml:space="preserve"> </w:t>
      </w:r>
      <w:r>
        <w:rPr>
          <w:i/>
        </w:rPr>
        <w:t xml:space="preserve">The Self-Dealing Shell Game: Utah’s Book Cliffs Deal</w:t>
      </w:r>
      <w:r>
        <w:t xml:space="preserve"> </w:t>
      </w:r>
      <w:r>
        <w:t xml:space="preserve">(Advocates for School Trust Lands, May 2026)</w:t>
      </w:r>
      <w:r>
        <w:t xml:space="preserve"> </w:t>
      </w:r>
      <w:r>
        <w:t xml:space="preserve">[@day-bookcliffs-2026]</w:t>
      </w:r>
      <w:r>
        <w:t xml:space="preserve"> </w:t>
      </w:r>
      <w:r>
        <w:t xml:space="preserve">(advocacy analysis; cited as a documented contemporary instance, not as doctrinal authority).</w:t>
      </w:r>
    </w:p>
  </w:footnote>
  <w:footnote w:id="226">
    <w:p>
      <w:pPr>
        <w:pStyle w:val="FootnoteText"/>
      </w:pPr>
      <w:r>
        <w:rPr>
          <w:rStyle w:val="FootnoteReference"/>
        </w:rPr>
        <w:footnoteRef/>
      </w:r>
      <w:r>
        <w:t xml:space="preserve"> </w:t>
      </w:r>
      <w:r>
        <w:rPr>
          <w:i/>
        </w:rPr>
        <w:t xml:space="preserve">Deer Valley Unified School District No. 97 v. Superior Court</w:t>
      </w:r>
      <w:r>
        <w:t xml:space="preserve">, 157 Ariz. 537, 760 P.2d 537 (1988)</w:t>
      </w:r>
      <w:r>
        <w:t xml:space="preserve"> </w:t>
      </w:r>
      <w:r>
        <w:t xml:space="preserve">[@deer-valley-1988]</w:t>
      </w:r>
      <w:r>
        <w:t xml:space="preserve"> </w:t>
      </w:r>
      <w:r>
        <w:t xml:space="preserve">(full opinion verified 2026-06-08, CourtListener id 6478035: the no-condemnation holding is confirmed — neither the State nor its subdivisions may condemn school trust land — resting on the public-auction requirements of § 28 of the Enabling Act and Ariz. Const. art. 10; the phrase</w:t>
      </w:r>
      <w:r>
        <w:t xml:space="preserve"> </w:t>
      </w:r>
      <w:r>
        <w:t xml:space="preserve">“</w:t>
      </w:r>
      <w:r>
        <w:t xml:space="preserve">is not state land</w:t>
      </w:r>
      <w:r>
        <w:t xml:space="preserve">”</w:t>
      </w:r>
      <w:r>
        <w:t xml:space="preserve"> </w:t>
      </w:r>
      <w:r>
        <w:t xml:space="preserve">does NOT appear anywhere in the opinion. The court recounted the trial court’s ruling</w:t>
      </w:r>
      <w:r>
        <w:t xml:space="preserve"> </w:t>
      </w:r>
      <w:r>
        <w:t xml:space="preserve">“</w:t>
      </w:r>
      <w:r>
        <w:t xml:space="preserve">that the school trust land did not belong to the state and was therefore not subject to condemnation,</w:t>
      </w:r>
      <w:r>
        <w:t xml:space="preserve">”</w:t>
      </w:r>
      <w:r>
        <w:t xml:space="preserve"> </w:t>
      </w:r>
      <w:r>
        <w:t xml:space="preserve">then affirmed on independent state-constitutional auction grounds, expressly declining to follow</w:t>
      </w:r>
      <w:r>
        <w:t xml:space="preserve"> </w:t>
      </w:r>
      <w:r>
        <w:rPr>
          <w:i/>
        </w:rPr>
        <w:t xml:space="preserve">Lassen</w:t>
      </w:r>
      <w:r>
        <w:t xml:space="preserve"> </w:t>
      </w:r>
      <w:r>
        <w:t xml:space="preserve">as a matter of state law).</w:t>
      </w:r>
    </w:p>
  </w:footnote>
  <w:footnote w:id="227">
    <w:p>
      <w:pPr>
        <w:pStyle w:val="FootnoteText"/>
      </w:pPr>
      <w:r>
        <w:rPr>
          <w:rStyle w:val="FootnoteReference"/>
        </w:rPr>
        <w:footnoteRef/>
      </w:r>
      <w:r>
        <w:t xml:space="preserve"> </w:t>
      </w:r>
      <w:r>
        <w:rPr>
          <w:i/>
        </w:rPr>
        <w:t xml:space="preserve">Propst v. Board of Educational Lands &amp; Funds</w:t>
      </w:r>
      <w:r>
        <w:t xml:space="preserve">, 156 Neb. 226, 55 N.W.2d 653 (1952)</w:t>
      </w:r>
      <w:r>
        <w:t xml:space="preserve"> </w:t>
      </w:r>
      <w:r>
        <w:t xml:space="preserve">[@propst-1952]</w:t>
      </w:r>
      <w:r>
        <w:t xml:space="preserve">.</w:t>
      </w:r>
    </w:p>
  </w:footnote>
  <w:footnote w:id="228">
    <w:p>
      <w:pPr>
        <w:pStyle w:val="FootnoteText"/>
      </w:pPr>
      <w:r>
        <w:rPr>
          <w:rStyle w:val="FootnoteReference"/>
        </w:rPr>
        <w:footnoteRef/>
      </w:r>
      <w:r>
        <w:t xml:space="preserve"> </w:t>
      </w:r>
      <w:r>
        <w:t xml:space="preserve">The no-waiver and no-estoppel corollaries:</w:t>
      </w:r>
      <w:r>
        <w:t xml:space="preserve"> </w:t>
      </w:r>
      <w:r>
        <w:rPr>
          <w:i/>
        </w:rPr>
        <w:t xml:space="preserve">Plateau Mining Co. v. Utah Division of State Lands &amp; Forestry</w:t>
      </w:r>
      <w:r>
        <w:t xml:space="preserve">, 802 P.2d 720 (Utah 1990)</w:t>
      </w:r>
      <w:r>
        <w:t xml:space="preserve"> </w:t>
      </w:r>
      <w:r>
        <w:t xml:space="preserve">[@plateau-1990]</w:t>
      </w:r>
      <w:r>
        <w:t xml:space="preserve">; the full collection is § 4.6(c).</w:t>
      </w:r>
    </w:p>
  </w:footnote>
  <w:footnote w:id="229">
    <w:p>
      <w:pPr>
        <w:pStyle w:val="FootnoteText"/>
      </w:pPr>
      <w:r>
        <w:rPr>
          <w:rStyle w:val="FootnoteReference"/>
        </w:rPr>
        <w:footnoteRef/>
      </w:r>
      <w:r>
        <w:t xml:space="preserve"> </w:t>
      </w:r>
      <w:r>
        <w:rPr>
          <w:i/>
        </w:rPr>
        <w:t xml:space="preserve">Schneider v. Hutchinson</w:t>
      </w:r>
      <w:r>
        <w:t xml:space="preserve">, 35 Or 253, 258 (1899)</w:t>
      </w:r>
      <w:r>
        <w:t xml:space="preserve"> </w:t>
      </w:r>
      <w:r>
        <w:t xml:space="preserve">[@schneider-1899]</w:t>
      </w:r>
      <w:r>
        <w:t xml:space="preserve">; accord</w:t>
      </w:r>
      <w:r>
        <w:t xml:space="preserve"> </w:t>
      </w:r>
      <w:r>
        <w:rPr>
          <w:i/>
        </w:rPr>
        <w:t xml:space="preserve">Propst</w:t>
      </w:r>
      <w:r>
        <w:t xml:space="preserve">, 156 Neb. 226 (1952)</w:t>
      </w:r>
      <w:r>
        <w:t xml:space="preserve"> </w:t>
      </w:r>
      <w:r>
        <w:t xml:space="preserve">[@propst-1952]</w:t>
      </w:r>
      <w:r>
        <w:t xml:space="preserve"> </w:t>
      </w:r>
      <w:r>
        <w:t xml:space="preserve">(title</w:t>
      </w:r>
      <w:r>
        <w:t xml:space="preserve"> </w:t>
      </w:r>
      <w:r>
        <w:t xml:space="preserve">“</w:t>
      </w:r>
      <w:r>
        <w:t xml:space="preserve">granted to and vested in the state upon an express trust … with no right or power of the state to use, dispose of, or alienate the lands or any part thereof, except as allowed by the Enabling Act and the Constitution</w:t>
      </w:r>
      <w:r>
        <w:t xml:space="preserve">”</w:t>
      </w:r>
      <w:r>
        <w:t xml:space="preserve">).</w:t>
      </w:r>
    </w:p>
  </w:footnote>
  <w:footnote w:id="230">
    <w:p>
      <w:pPr>
        <w:pStyle w:val="FootnoteText"/>
      </w:pPr>
      <w:r>
        <w:rPr>
          <w:rStyle w:val="FootnoteReference"/>
        </w:rPr>
        <w:footnoteRef/>
      </w:r>
      <w:r>
        <w:t xml:space="preserve"> </w:t>
      </w:r>
      <w:r>
        <w:rPr>
          <w:i/>
        </w:rPr>
        <w:t xml:space="preserve">Johnson v. Department of Revenue</w:t>
      </w:r>
      <w:r>
        <w:t xml:space="preserve">, 292 Or 373, 382 (1982)</w:t>
      </w:r>
      <w:r>
        <w:t xml:space="preserve"> </w:t>
      </w:r>
      <w:r>
        <w:t xml:space="preserve">[@johnson-1982]</w:t>
      </w:r>
      <w:r>
        <w:t xml:space="preserve">;</w:t>
      </w:r>
      <w:r>
        <w:t xml:space="preserve"> </w:t>
      </w:r>
      <w:r>
        <w:rPr>
          <w:i/>
        </w:rPr>
        <w:t xml:space="preserve">Cascadia Wildlands v. Department of State Lands</w:t>
      </w:r>
      <w:r>
        <w:t xml:space="preserve">, 365 Or 750, 766-67 (2019)</w:t>
      </w:r>
      <w:r>
        <w:t xml:space="preserve"> </w:t>
      </w:r>
      <w:r>
        <w:t xml:space="preserve">[@cascadia-2019]</w:t>
      </w:r>
      <w:r>
        <w:t xml:space="preserve">.</w:t>
      </w:r>
    </w:p>
  </w:footnote>
  <w:footnote w:id="231">
    <w:p>
      <w:pPr>
        <w:pStyle w:val="FootnoteText"/>
      </w:pPr>
      <w:r>
        <w:rPr>
          <w:rStyle w:val="FootnoteReference"/>
        </w:rPr>
        <w:footnoteRef/>
      </w:r>
      <w:r>
        <w:t xml:space="preserve"> </w:t>
      </w:r>
      <w:r>
        <w:rPr>
          <w:i/>
        </w:rPr>
        <w:t xml:space="preserve">Branson School District RE-82 v. Romer</w:t>
      </w:r>
      <w:r>
        <w:t xml:space="preserve">, 161 F.3d 619 (10th Cir. 1998)</w:t>
      </w:r>
      <w:r>
        <w:t xml:space="preserve"> </w:t>
      </w:r>
      <w:r>
        <w:t xml:space="preserve">[@branson-1998]</w:t>
      </w:r>
      <w:r>
        <w:t xml:space="preserve">.</w:t>
      </w:r>
    </w:p>
  </w:footnote>
  <w:footnote w:id="232">
    <w:p>
      <w:pPr>
        <w:pStyle w:val="FootnoteText"/>
      </w:pPr>
      <w:r>
        <w:rPr>
          <w:rStyle w:val="FootnoteReference"/>
        </w:rPr>
        <w:footnoteRef/>
      </w:r>
      <w:r>
        <w:t xml:space="preserve"> </w:t>
      </w:r>
      <w:r>
        <w:rPr>
          <w:i/>
        </w:rPr>
        <w:t xml:space="preserve">Montanans for the Responsible Use of the School Trust v. Darkenwald</w:t>
      </w:r>
      <w:r>
        <w:t xml:space="preserve">, 2005 MT 190, 328 Mont. 105</w:t>
      </w:r>
      <w:r>
        <w:t xml:space="preserve"> </w:t>
      </w:r>
      <w:r>
        <w:t xml:space="preserve">[@darkenwald-2005]</w:t>
      </w:r>
      <w:r>
        <w:t xml:space="preserve"> </w:t>
      </w:r>
      <w:r>
        <w:t xml:space="preserve">(Nelson, J., dissenting: the scheme</w:t>
      </w:r>
      <w:r>
        <w:t xml:space="preserve"> </w:t>
      </w:r>
      <w:r>
        <w:t xml:space="preserve">“</w:t>
      </w:r>
      <w:r>
        <w:t xml:space="preserve">robs Peter (future generations of school children) to pay Paul</w:t>
      </w:r>
      <w:r>
        <w:t xml:space="preserve">”</w:t>
      </w:r>
      <w:r>
        <w:t xml:space="preserve">); see § 4.7 and Chapter 8.</w:t>
      </w:r>
    </w:p>
  </w:footnote>
  <w:footnote w:id="234">
    <w:p>
      <w:pPr>
        <w:pStyle w:val="FootnoteText"/>
      </w:pPr>
      <w:r>
        <w:rPr>
          <w:rStyle w:val="FootnoteReference"/>
        </w:rPr>
        <w:footnoteRef/>
      </w:r>
      <w:r>
        <w:t xml:space="preserve"> </w:t>
      </w:r>
      <w:r>
        <w:t xml:space="preserve">§ 5.2 and the authorities collected there.</w:t>
      </w:r>
    </w:p>
  </w:footnote>
  <w:footnote w:id="235">
    <w:p>
      <w:pPr>
        <w:pStyle w:val="FootnoteText"/>
      </w:pPr>
      <w:r>
        <w:rPr>
          <w:rStyle w:val="FootnoteReference"/>
        </w:rPr>
        <w:footnoteRef/>
      </w:r>
      <w:r>
        <w:t xml:space="preserve"> </w:t>
      </w:r>
      <w:r>
        <w:t xml:space="preserve">§ 5.3; the master named-class collection is there.</w:t>
      </w:r>
    </w:p>
  </w:footnote>
  <w:footnote w:id="236">
    <w:p>
      <w:pPr>
        <w:pStyle w:val="FootnoteText"/>
      </w:pPr>
      <w:r>
        <w:rPr>
          <w:rStyle w:val="FootnoteReference"/>
        </w:rPr>
        <w:footnoteRef/>
      </w:r>
      <w:r>
        <w:t xml:space="preserve"> </w:t>
      </w:r>
      <w:r>
        <w:t xml:space="preserve">§ 5.4 and the authorities collected there.</w:t>
      </w:r>
    </w:p>
  </w:footnote>
  <w:footnote w:id="237">
    <w:p>
      <w:pPr>
        <w:pStyle w:val="FootnoteText"/>
      </w:pPr>
      <w:r>
        <w:rPr>
          <w:rStyle w:val="FootnoteReference"/>
        </w:rPr>
        <w:footnoteRef/>
      </w:r>
      <w:r>
        <w:t xml:space="preserve"> </w:t>
      </w:r>
      <w:r>
        <w:t xml:space="preserve">§ 5.5 and the authorities collected there.</w:t>
      </w:r>
    </w:p>
  </w:footnote>
  <w:footnote w:id="240">
    <w:p>
      <w:pPr>
        <w:pStyle w:val="FootnoteText"/>
      </w:pPr>
      <w:r>
        <w:rPr>
          <w:rStyle w:val="FootnoteReference"/>
        </w:rPr>
        <w:footnoteRef/>
      </w:r>
      <w:r>
        <w:t xml:space="preserve"> </w:t>
      </w:r>
      <w:r>
        <w:rPr>
          <w:i/>
        </w:rPr>
        <w:t xml:space="preserve">State v. University of Alaska</w:t>
      </w:r>
      <w:r>
        <w:t xml:space="preserve">, 624 P.2d 807, 813 (Alaska 1981)</w:t>
      </w:r>
      <w:r>
        <w:t xml:space="preserve"> </w:t>
      </w:r>
      <w:r>
        <w:t xml:space="preserve">[@university-of-alaska-1981]</w:t>
      </w:r>
      <w:r>
        <w:t xml:space="preserve">.</w:t>
      </w:r>
    </w:p>
  </w:footnote>
  <w:footnote w:id="241">
    <w:p>
      <w:pPr>
        <w:pStyle w:val="FootnoteText"/>
      </w:pPr>
      <w:r>
        <w:rPr>
          <w:rStyle w:val="FootnoteReference"/>
        </w:rPr>
        <w:footnoteRef/>
      </w:r>
      <w:r>
        <w:t xml:space="preserve"> </w:t>
      </w:r>
      <w:r>
        <w:t xml:space="preserve">Accord, collected by state:</w:t>
      </w:r>
      <w:r>
        <w:t xml:space="preserve"> </w:t>
      </w:r>
      <w:r>
        <w:rPr>
          <w:b/>
        </w:rPr>
        <w:t xml:space="preserve">Washington</w:t>
      </w:r>
      <w:r>
        <w:t xml:space="preserve"> </w:t>
      </w:r>
      <w:r>
        <w:t xml:space="preserve">—</w:t>
      </w:r>
      <w:r>
        <w:t xml:space="preserve"> </w:t>
      </w:r>
      <w:r>
        <w:rPr>
          <w:i/>
        </w:rPr>
        <w:t xml:space="preserve">County of Skamania v. State</w:t>
      </w:r>
      <w:r>
        <w:t xml:space="preserve">, 102 Wn.2d 127, 685 P.2d 576 (1984)</w:t>
      </w:r>
      <w:r>
        <w:t xml:space="preserve"> </w:t>
      </w:r>
      <w:r>
        <w:t xml:space="preserve">[@skamania-1984]</w:t>
      </w:r>
      <w:r>
        <w:t xml:space="preserve"> </w:t>
      </w:r>
      <w:r>
        <w:t xml:space="preserve">(the grants are</w:t>
      </w:r>
      <w:r>
        <w:t xml:space="preserve"> </w:t>
      </w:r>
      <w:r>
        <w:t xml:space="preserve">“</w:t>
      </w:r>
      <w:r>
        <w:t xml:space="preserve">real, enforceable trusts that impose upon the state the same fiduciary duties applicable to private trustees</w:t>
      </w:r>
      <w:r>
        <w:t xml:space="preserve">”</w:t>
      </w:r>
      <w:r>
        <w:t xml:space="preserve">);</w:t>
      </w:r>
      <w:r>
        <w:t xml:space="preserve"> </w:t>
      </w:r>
      <w:r>
        <w:rPr>
          <w:i/>
        </w:rPr>
        <w:t xml:space="preserve">Conservation Northwest v. Commissioner of Public Lands</w:t>
      </w:r>
      <w:r>
        <w:t xml:space="preserve">, 200 Wn.2d 8 (Wash. 2022)</w:t>
      </w:r>
      <w:r>
        <w:t xml:space="preserve"> </w:t>
      </w:r>
      <w:r>
        <w:t xml:space="preserve">[@conservation-nw-2022]</w:t>
      </w:r>
      <w:r>
        <w:t xml:space="preserve"> </w:t>
      </w:r>
      <w:r>
        <w:t xml:space="preserve">(unanimous reaffirmation);</w:t>
      </w:r>
      <w:r>
        <w:t xml:space="preserve"> </w:t>
      </w:r>
      <w:r>
        <w:rPr>
          <w:b/>
        </w:rPr>
        <w:t xml:space="preserve">Idaho</w:t>
      </w:r>
      <w:r>
        <w:t xml:space="preserve"> </w:t>
      </w:r>
      <w:r>
        <w:t xml:space="preserve">—</w:t>
      </w:r>
      <w:r>
        <w:t xml:space="preserve"> </w:t>
      </w:r>
      <w:r>
        <w:rPr>
          <w:i/>
        </w:rPr>
        <w:t xml:space="preserve">Idaho Watersheds Project v. State Bd. of Land Comm’rs (IWP II)</w:t>
      </w:r>
      <w:r>
        <w:t xml:space="preserve">, 133 Idaho 64, 982 P.2d 367 (1999)</w:t>
      </w:r>
      <w:r>
        <w:t xml:space="preserve"> </w:t>
      </w:r>
      <w:r>
        <w:t xml:space="preserve">[@idaho-watersheds-1999]</w:t>
      </w:r>
      <w:r>
        <w:t xml:space="preserve"> </w:t>
      </w:r>
      <w:r>
        <w:t xml:space="preserve">(legislature may not direct the trustee toward non-beneficiary interests);</w:t>
      </w:r>
      <w:r>
        <w:t xml:space="preserve"> </w:t>
      </w:r>
      <w:r>
        <w:rPr>
          <w:b/>
        </w:rPr>
        <w:t xml:space="preserve">Montana</w:t>
      </w:r>
      <w:r>
        <w:t xml:space="preserve"> </w:t>
      </w:r>
      <w:r>
        <w:t xml:space="preserve">—</w:t>
      </w:r>
      <w:r>
        <w:t xml:space="preserve"> </w:t>
      </w:r>
      <w:r>
        <w:rPr>
          <w:i/>
        </w:rPr>
        <w:t xml:space="preserve">Montanans for the Responsible Use of the School Trust v. State</w:t>
      </w:r>
      <w:r>
        <w:t xml:space="preserve">, 1999 MT 263</w:t>
      </w:r>
      <w:r>
        <w:t xml:space="preserve"> </w:t>
      </w:r>
      <w:r>
        <w:t xml:space="preserve">[@montrust-1999]</w:t>
      </w:r>
      <w:r>
        <w:t xml:space="preserve"> </w:t>
      </w:r>
      <w:r>
        <w:t xml:space="preserve">(four diversion statutes and a below-market rental policy struck);</w:t>
      </w:r>
      <w:r>
        <w:t xml:space="preserve"> </w:t>
      </w:r>
      <w:r>
        <w:rPr>
          <w:b/>
        </w:rPr>
        <w:t xml:space="preserve">Utah</w:t>
      </w:r>
      <w:r>
        <w:t xml:space="preserve"> </w:t>
      </w:r>
      <w:r>
        <w:t xml:space="preserve">—</w:t>
      </w:r>
      <w:r>
        <w:t xml:space="preserve"> </w:t>
      </w:r>
      <w:r>
        <w:rPr>
          <w:i/>
        </w:rPr>
        <w:t xml:space="preserve">Plateau Mining Co. v. Utah Division of State Lands &amp; Forestry</w:t>
      </w:r>
      <w:r>
        <w:t xml:space="preserve">, 802 P.2d 720 (Utah 1990)</w:t>
      </w:r>
      <w:r>
        <w:t xml:space="preserve"> </w:t>
      </w:r>
      <w:r>
        <w:t xml:space="preserve">[@plateau-1990]</w:t>
      </w:r>
      <w:r>
        <w:t xml:space="preserve"> </w:t>
      </w:r>
      <w:r>
        <w:t xml:space="preserve">(state-as-trustee owes</w:t>
      </w:r>
      <w:r>
        <w:t xml:space="preserve"> </w:t>
      </w:r>
      <w:r>
        <w:t xml:space="preserve">“</w:t>
      </w:r>
      <w:r>
        <w:t xml:space="preserve">the same fiduciary duties as any private trustee,</w:t>
      </w:r>
      <w:r>
        <w:t xml:space="preserve">”</w:t>
      </w:r>
      <w:r>
        <w:t xml:space="preserve"> </w:t>
      </w:r>
      <w:r>
        <w:t xml:space="preserve">including the duty of loyalty to the beneficiaries);</w:t>
      </w:r>
      <w:r>
        <w:t xml:space="preserve"> </w:t>
      </w:r>
      <w:r>
        <w:rPr>
          <w:b/>
        </w:rPr>
        <w:t xml:space="preserve">Federal (New Mexico)</w:t>
      </w:r>
      <w:r>
        <w:t xml:space="preserve"> </w:t>
      </w:r>
      <w:r>
        <w:t xml:space="preserve">—</w:t>
      </w:r>
      <w:r>
        <w:t xml:space="preserve"> </w:t>
      </w:r>
      <w:r>
        <w:rPr>
          <w:i/>
        </w:rPr>
        <w:t xml:space="preserve">Ervien v. United States</w:t>
      </w:r>
      <w:r>
        <w:t xml:space="preserve">, 251 U.S. 41 (1919)</w:t>
      </w:r>
      <w:r>
        <w:t xml:space="preserve"> </w:t>
      </w:r>
      <w:r>
        <w:t xml:space="preserve">[@ervien-1919]</w:t>
      </w:r>
      <w:r>
        <w:t xml:space="preserve">.</w:t>
      </w:r>
    </w:p>
  </w:footnote>
  <w:footnote w:id="242">
    <w:p>
      <w:pPr>
        <w:pStyle w:val="FootnoteText"/>
      </w:pPr>
      <w:r>
        <w:rPr>
          <w:rStyle w:val="FootnoteReference"/>
        </w:rPr>
        <w:footnoteRef/>
      </w:r>
      <w:r>
        <w:t xml:space="preserve"> </w:t>
      </w:r>
      <w:r>
        <w:rPr>
          <w:i/>
        </w:rPr>
        <w:t xml:space="preserve">Lassen v. Arizona ex rel. Arizona Highway Department</w:t>
      </w:r>
      <w:r>
        <w:t xml:space="preserve">, 385 U.S. 458, 466-67 (1967)</w:t>
      </w:r>
      <w:r>
        <w:t xml:space="preserve"> </w:t>
      </w:r>
      <w:r>
        <w:t xml:space="preserve">[@lassen-1967]</w:t>
      </w:r>
      <w:r>
        <w:t xml:space="preserve">; the Alaska court adopted the same congressional-intent framing,</w:t>
      </w:r>
      <w:r>
        <w:t xml:space="preserve"> </w:t>
      </w:r>
      <w:r>
        <w:rPr>
          <w:i/>
        </w:rPr>
        <w:t xml:space="preserve">University of Alaska</w:t>
      </w:r>
      <w:r>
        <w:t xml:space="preserve">, 624 P.2d at 813</w:t>
      </w:r>
      <w:r>
        <w:t xml:space="preserve"> </w:t>
      </w:r>
      <w:r>
        <w:t xml:space="preserve">[@university-of-alaska-1981]</w:t>
      </w:r>
      <w:r>
        <w:t xml:space="preserve">. The beneficiary-class analysis underlying this section is developed at § 5.3.</w:t>
      </w:r>
    </w:p>
  </w:footnote>
  <w:footnote w:id="244">
    <w:p>
      <w:pPr>
        <w:pStyle w:val="FootnoteText"/>
      </w:pPr>
      <w:r>
        <w:rPr>
          <w:rStyle w:val="FootnoteReference"/>
        </w:rPr>
        <w:footnoteRef/>
      </w:r>
      <w:r>
        <w:t xml:space="preserve"> </w:t>
      </w:r>
      <w:r>
        <w:rPr>
          <w:i/>
        </w:rPr>
        <w:t xml:space="preserve">Ervien v. United States</w:t>
      </w:r>
      <w:r>
        <w:t xml:space="preserve">, 251 U.S. 41, 47-48 (1919)</w:t>
      </w:r>
      <w:r>
        <w:t xml:space="preserve"> </w:t>
      </w:r>
      <w:r>
        <w:t xml:space="preserve">[@ervien-1919]</w:t>
      </w:r>
      <w:r>
        <w:t xml:space="preserve"> </w:t>
      </w:r>
      <w:r>
        <w:t xml:space="preserve">(the enumeration and</w:t>
      </w:r>
      <w:r>
        <w:t xml:space="preserve"> </w:t>
      </w:r>
      <w:r>
        <w:t xml:space="preserve">“</w:t>
      </w:r>
      <w:r>
        <w:t xml:space="preserve">special and exact</w:t>
      </w:r>
      <w:r>
        <w:t xml:space="preserve">”</w:t>
      </w:r>
      <w:r>
        <w:t xml:space="preserve"> </w:t>
      </w:r>
      <w:r>
        <w:t xml:space="preserve">dedication passages at 47; the</w:t>
      </w:r>
      <w:r>
        <w:t xml:space="preserve"> </w:t>
      </w:r>
      <w:r>
        <w:t xml:space="preserve">“</w:t>
      </w:r>
      <w:r>
        <w:t xml:space="preserve">odious dereliction</w:t>
      </w:r>
      <w:r>
        <w:t xml:space="preserve">”</w:t>
      </w:r>
      <w:r>
        <w:t xml:space="preserve"> </w:t>
      </w:r>
      <w:r>
        <w:t xml:space="preserve">passage at 48 — pins per the 2026-06-07 verification against the full opinion; note that the</w:t>
      </w:r>
      <w:r>
        <w:t xml:space="preserve"> </w:t>
      </w:r>
      <w:r>
        <w:t xml:space="preserve">“</w:t>
      </w:r>
      <w:r>
        <w:t xml:space="preserve">odious dereliction</w:t>
      </w:r>
      <w:r>
        <w:t xml:space="preserve">”</w:t>
      </w:r>
      <w:r>
        <w:t xml:space="preserve"> </w:t>
      </w:r>
      <w:r>
        <w:t xml:space="preserve">sentence is the Court recounting the District Court’s reasoning (</w:t>
      </w:r>
      <w:r>
        <w:t xml:space="preserve">“</w:t>
      </w:r>
      <w:r>
        <w:t xml:space="preserve">such was the view of the District Court</w:t>
      </w:r>
      <w:r>
        <w:t xml:space="preserve">”</w:t>
      </w:r>
      <w:r>
        <w:t xml:space="preserve">), affirmed on the ground that the federal grantor may impose and enforce the conditions of its grant — attribution verified 2026-06-10).</w:t>
      </w:r>
    </w:p>
  </w:footnote>
  <w:footnote w:id="245">
    <w:p>
      <w:pPr>
        <w:pStyle w:val="FootnoteText"/>
      </w:pPr>
      <w:r>
        <w:rPr>
          <w:rStyle w:val="FootnoteReference"/>
        </w:rPr>
        <w:footnoteRef/>
      </w:r>
      <w:r>
        <w:t xml:space="preserve"> </w:t>
      </w:r>
      <w:r>
        <w:t xml:space="preserve">Accord, collected by state:</w:t>
      </w:r>
      <w:r>
        <w:t xml:space="preserve"> </w:t>
      </w:r>
      <w:r>
        <w:rPr>
          <w:b/>
        </w:rPr>
        <w:t xml:space="preserve">Montana</w:t>
      </w:r>
      <w:r>
        <w:t xml:space="preserve"> </w:t>
      </w:r>
      <w:r>
        <w:t xml:space="preserve">—</w:t>
      </w:r>
      <w:r>
        <w:t xml:space="preserve"> </w:t>
      </w:r>
      <w:r>
        <w:rPr>
          <w:i/>
        </w:rPr>
        <w:t xml:space="preserve">Montanans for the Responsible Use of the School Trust v. State</w:t>
      </w:r>
      <w:r>
        <w:t xml:space="preserve">, 1999 MT 263</w:t>
      </w:r>
      <w:r>
        <w:t xml:space="preserve"> </w:t>
      </w:r>
      <w:r>
        <w:t xml:space="preserve">[@montrust-1999]</w:t>
      </w:r>
      <w:r>
        <w:t xml:space="preserve"> </w:t>
      </w:r>
      <w:r>
        <w:t xml:space="preserve">(statutes diverting school-trust assets struck; the presumption of constitutionality does not save breaching statutes);</w:t>
      </w:r>
      <w:r>
        <w:t xml:space="preserve"> </w:t>
      </w:r>
      <w:r>
        <w:rPr>
          <w:b/>
        </w:rPr>
        <w:t xml:space="preserve">Alaska</w:t>
      </w:r>
      <w:r>
        <w:t xml:space="preserve"> </w:t>
      </w:r>
      <w:r>
        <w:t xml:space="preserve">—</w:t>
      </w:r>
      <w:r>
        <w:t xml:space="preserve"> </w:t>
      </w:r>
      <w:r>
        <w:rPr>
          <w:i/>
        </w:rPr>
        <w:t xml:space="preserve">State v. University of Alaska</w:t>
      </w:r>
      <w:r>
        <w:t xml:space="preserve">, 624 P.2d 807 (Alaska 1981)</w:t>
      </w:r>
      <w:r>
        <w:t xml:space="preserve"> </w:t>
      </w:r>
      <w:r>
        <w:t xml:space="preserve">[@university-of-alaska-1981]</w:t>
      </w:r>
      <w:r>
        <w:t xml:space="preserve"> </w:t>
      </w:r>
      <w:r>
        <w:t xml:space="preserve">(diversion to park use without compensation);</w:t>
      </w:r>
      <w:r>
        <w:t xml:space="preserve"> </w:t>
      </w:r>
      <w:r>
        <w:rPr>
          <w:b/>
        </w:rPr>
        <w:t xml:space="preserve">Oklahoma</w:t>
      </w:r>
      <w:r>
        <w:t xml:space="preserve"> </w:t>
      </w:r>
      <w:r>
        <w:t xml:space="preserve">—</w:t>
      </w:r>
      <w:r>
        <w:t xml:space="preserve"> </w:t>
      </w:r>
      <w:r>
        <w:rPr>
          <w:i/>
        </w:rPr>
        <w:t xml:space="preserve">Oklahoma Education Ass’n, Inc. v. Nigh</w:t>
      </w:r>
      <w:r>
        <w:t xml:space="preserve">, 642 P.2d 230 (Okla. 1982)</w:t>
      </w:r>
      <w:r>
        <w:t xml:space="preserve"> </w:t>
      </w:r>
      <w:r>
        <w:t xml:space="preserve">[@nigh-1982]</w:t>
      </w:r>
      <w:r>
        <w:t xml:space="preserve"> </w:t>
      </w:r>
      <w:r>
        <w:t xml:space="preserve">(legislature may not divert school trust revenues to non-school purposes);</w:t>
      </w:r>
      <w:r>
        <w:t xml:space="preserve"> </w:t>
      </w:r>
      <w:r>
        <w:rPr>
          <w:b/>
        </w:rPr>
        <w:t xml:space="preserve">South Dakota</w:t>
      </w:r>
      <w:r>
        <w:t xml:space="preserve"> </w:t>
      </w:r>
      <w:r>
        <w:t xml:space="preserve">—</w:t>
      </w:r>
      <w:r>
        <w:t xml:space="preserve"> </w:t>
      </w:r>
      <w:r>
        <w:rPr>
          <w:i/>
        </w:rPr>
        <w:t xml:space="preserve">Kanaly v. State ex rel. Janklow</w:t>
      </w:r>
      <w:r>
        <w:t xml:space="preserve">, 368 N.W.2d 819 (S.D. 1985)</w:t>
      </w:r>
      <w:r>
        <w:t xml:space="preserve"> </w:t>
      </w:r>
      <w:r>
        <w:t xml:space="preserve">[@kanaly-1985]</w:t>
      </w:r>
      <w:r>
        <w:t xml:space="preserve"> </w:t>
      </w:r>
      <w:r>
        <w:t xml:space="preserve">(uncompensated transfer to another state agency).</w:t>
      </w:r>
    </w:p>
  </w:footnote>
  <w:footnote w:id="247">
    <w:p>
      <w:pPr>
        <w:pStyle w:val="FootnoteText"/>
      </w:pPr>
      <w:r>
        <w:rPr>
          <w:rStyle w:val="FootnoteReference"/>
        </w:rPr>
        <w:footnoteRef/>
      </w:r>
      <w:r>
        <w:t xml:space="preserve"> </w:t>
      </w:r>
      <w:r>
        <w:rPr>
          <w:i/>
        </w:rPr>
        <w:t xml:space="preserve">County of Skamania v. State</w:t>
      </w:r>
      <w:r>
        <w:t xml:space="preserve">, 102 Wn.2d 127, 132, 685 P.2d 576 (1984)</w:t>
      </w:r>
      <w:r>
        <w:t xml:space="preserve"> </w:t>
      </w:r>
      <w:r>
        <w:t xml:space="preserve">[@skamania-1984]</w:t>
      </w:r>
      <w:r>
        <w:t xml:space="preserve">.</w:t>
      </w:r>
    </w:p>
  </w:footnote>
  <w:footnote w:id="248">
    <w:p>
      <w:pPr>
        <w:pStyle w:val="FootnoteText"/>
      </w:pPr>
      <w:r>
        <w:rPr>
          <w:rStyle w:val="FootnoteReference"/>
        </w:rPr>
        <w:footnoteRef/>
      </w:r>
      <w:r>
        <w:t xml:space="preserve"> </w:t>
      </w:r>
      <w:r>
        <w:t xml:space="preserve">Accord, collected by state:</w:t>
      </w:r>
      <w:r>
        <w:t xml:space="preserve"> </w:t>
      </w:r>
      <w:r>
        <w:rPr>
          <w:b/>
        </w:rPr>
        <w:t xml:space="preserve">Alaska</w:t>
      </w:r>
      <w:r>
        <w:t xml:space="preserve"> </w:t>
      </w:r>
      <w:r>
        <w:t xml:space="preserve">—</w:t>
      </w:r>
      <w:r>
        <w:t xml:space="preserve"> </w:t>
      </w:r>
      <w:r>
        <w:rPr>
          <w:i/>
        </w:rPr>
        <w:t xml:space="preserve">University of Alaska</w:t>
      </w:r>
      <w:r>
        <w:t xml:space="preserve">, 624 P.2d 807 (Alaska 1981)</w:t>
      </w:r>
      <w:r>
        <w:t xml:space="preserve"> </w:t>
      </w:r>
      <w:r>
        <w:t xml:space="preserve">[@university-of-alaska-1981]</w:t>
      </w:r>
      <w:r>
        <w:t xml:space="preserve"> </w:t>
      </w:r>
      <w:r>
        <w:t xml:space="preserve">(park designation served the public at the trust’s expense);</w:t>
      </w:r>
      <w:r>
        <w:t xml:space="preserve"> </w:t>
      </w:r>
      <w:r>
        <w:rPr>
          <w:b/>
        </w:rPr>
        <w:t xml:space="preserve">Idaho</w:t>
      </w:r>
      <w:r>
        <w:t xml:space="preserve"> </w:t>
      </w:r>
      <w:r>
        <w:t xml:space="preserve">—</w:t>
      </w:r>
      <w:r>
        <w:t xml:space="preserve"> </w:t>
      </w:r>
      <w:r>
        <w:rPr>
          <w:i/>
        </w:rPr>
        <w:t xml:space="preserve">IWP II</w:t>
      </w:r>
      <w:r>
        <w:t xml:space="preserve">, 133 Idaho 64, 982 P.2d 367 (1999)</w:t>
      </w:r>
      <w:r>
        <w:t xml:space="preserve"> </w:t>
      </w:r>
      <w:r>
        <w:t xml:space="preserve">[@idaho-watersheds-1999]</w:t>
      </w:r>
      <w:r>
        <w:t xml:space="preserve"> </w:t>
      </w:r>
      <w:r>
        <w:t xml:space="preserve">(statute serving the livestock industry alongside the schools);</w:t>
      </w:r>
      <w:r>
        <w:t xml:space="preserve"> </w:t>
      </w:r>
      <w:r>
        <w:rPr>
          <w:b/>
        </w:rPr>
        <w:t xml:space="preserve">Federal (New Mexico)</w:t>
      </w:r>
      <w:r>
        <w:t xml:space="preserve"> </w:t>
      </w:r>
      <w:r>
        <w:t xml:space="preserve">—</w:t>
      </w:r>
      <w:r>
        <w:t xml:space="preserve"> </w:t>
      </w:r>
      <w:r>
        <w:rPr>
          <w:i/>
        </w:rPr>
        <w:t xml:space="preserve">Ervien</w:t>
      </w:r>
      <w:r>
        <w:t xml:space="preserve">, 251 U.S. 41 (1919)</w:t>
      </w:r>
      <w:r>
        <w:t xml:space="preserve"> </w:t>
      </w:r>
      <w:r>
        <w:t xml:space="preserve">[@ervien-1919]</w:t>
      </w:r>
      <w:r>
        <w:t xml:space="preserve"> </w:t>
      </w:r>
      <w:r>
        <w:t xml:space="preserve">(promotional spending serving the state generally);</w:t>
      </w:r>
      <w:r>
        <w:t xml:space="preserve"> </w:t>
      </w:r>
      <w:r>
        <w:rPr>
          <w:b/>
        </w:rPr>
        <w:t xml:space="preserve">Nebraska</w:t>
      </w:r>
      <w:r>
        <w:t xml:space="preserve"> </w:t>
      </w:r>
      <w:r>
        <w:t xml:space="preserve">—</w:t>
      </w:r>
      <w:r>
        <w:t xml:space="preserve"> </w:t>
      </w:r>
      <w:r>
        <w:rPr>
          <w:i/>
        </w:rPr>
        <w:t xml:space="preserve">State ex rel. Ebke v. Board of Educational Lands &amp; Funds</w:t>
      </w:r>
      <w:r>
        <w:t xml:space="preserve">, 154 Neb. 244, 47 N.W.2d 520 (1951)</w:t>
      </w:r>
      <w:r>
        <w:t xml:space="preserve"> </w:t>
      </w:r>
      <w:r>
        <w:t xml:space="preserve">[@ebke-1951]</w:t>
      </w:r>
      <w:r>
        <w:t xml:space="preserve"> </w:t>
      </w:r>
      <w:r>
        <w:t xml:space="preserve">(lease renewals serving existing holders at below-market valuations).</w:t>
      </w:r>
    </w:p>
  </w:footnote>
  <w:footnote w:id="249">
    <w:p>
      <w:pPr>
        <w:pStyle w:val="FootnoteText"/>
      </w:pPr>
      <w:r>
        <w:rPr>
          <w:rStyle w:val="FootnoteReference"/>
        </w:rPr>
        <w:footnoteRef/>
      </w:r>
      <w:r>
        <w:t xml:space="preserve"> </w:t>
      </w:r>
      <w:r>
        <w:rPr>
          <w:i/>
        </w:rPr>
        <w:t xml:space="preserve">Conservation Northwest v. Commissioner of Public Lands</w:t>
      </w:r>
      <w:r>
        <w:t xml:space="preserve">, 200 Wn.2d 8 (Wash. 2022)</w:t>
      </w:r>
      <w:r>
        <w:t xml:space="preserve"> </w:t>
      </w:r>
      <w:r>
        <w:t xml:space="preserve">[@conservation-nw-2022]</w:t>
      </w:r>
      <w:r>
        <w:t xml:space="preserve"> </w:t>
      </w:r>
      <w:r>
        <w:t xml:space="preserve">(</w:t>
      </w:r>
      <w:r>
        <w:t xml:space="preserve">“</w:t>
      </w:r>
      <w:r>
        <w:t xml:space="preserve">Every court that has considered the issue has concluded that [Enabling Act land grants] are real, enforceable trusts that impose upon the State the same fiduciary duties applicable to private trustees.</w:t>
      </w:r>
      <w:r>
        <w:t xml:space="preserve">”</w:t>
      </w:r>
      <w:r>
        <w:t xml:space="preserve">).</w:t>
      </w:r>
    </w:p>
  </w:footnote>
  <w:footnote w:id="251">
    <w:p>
      <w:pPr>
        <w:pStyle w:val="FootnoteText"/>
      </w:pPr>
      <w:r>
        <w:rPr>
          <w:rStyle w:val="FootnoteReference"/>
        </w:rPr>
        <w:footnoteRef/>
      </w:r>
      <w:r>
        <w:t xml:space="preserve"> </w:t>
      </w:r>
      <w:r>
        <w:rPr>
          <w:i/>
        </w:rPr>
        <w:t xml:space="preserve">Idaho Watersheds Project v. State Bd. of Land Comm’rs (IWP II)</w:t>
      </w:r>
      <w:r>
        <w:t xml:space="preserve">, 133 Idaho 64, 982 P.2d 367 (1999)</w:t>
      </w:r>
      <w:r>
        <w:t xml:space="preserve"> </w:t>
      </w:r>
      <w:r>
        <w:t xml:space="preserve">[@idaho-watersheds-1999]</w:t>
      </w:r>
      <w:r>
        <w:t xml:space="preserve"> </w:t>
      </w:r>
      <w:r>
        <w:t xml:space="preserve">(the statute</w:t>
      </w:r>
      <w:r>
        <w:t xml:space="preserve"> </w:t>
      </w:r>
      <w:r>
        <w:t xml:space="preserve">“</w:t>
      </w:r>
      <w:r>
        <w:t xml:space="preserve">impermissibly direct[ed] the Board to focus on the schools, the state, and Idaho livestock industry</w:t>
      </w:r>
      <w:r>
        <w:t xml:space="preserve">”</w:t>
      </w:r>
      <w:r>
        <w:t xml:space="preserve">). The relationship between the two 1999</w:t>
      </w:r>
      <w:r>
        <w:t xml:space="preserve"> </w:t>
      </w:r>
      <w:r>
        <w:rPr>
          <w:i/>
        </w:rPr>
        <w:t xml:space="preserve">Idaho Watersheds</w:t>
      </w:r>
      <w:r>
        <w:t xml:space="preserve"> </w:t>
      </w:r>
      <w:r>
        <w:t xml:space="preserve">opinions was resolved in the verification pass of 2026-06-07: the companion opinion at 133 Idaho 55, 982 P.2d 358 (1999), is the separate H.J.R. 6 single-subject writ proceeding; the § 58-310B invalidation cited here is 133 Idaho 64, 982 P.2d 367.</w:t>
      </w:r>
    </w:p>
  </w:footnote>
  <w:footnote w:id="252">
    <w:p>
      <w:pPr>
        <w:pStyle w:val="FootnoteText"/>
      </w:pPr>
      <w:r>
        <w:rPr>
          <w:rStyle w:val="FootnoteReference"/>
        </w:rPr>
        <w:footnoteRef/>
      </w:r>
      <w:r>
        <w:t xml:space="preserve"> </w:t>
      </w:r>
      <w:r>
        <w:rPr>
          <w:i/>
        </w:rPr>
        <w:t xml:space="preserve">Montanans for the Responsible Use of the School Trust v. State</w:t>
      </w:r>
      <w:r>
        <w:t xml:space="preserve">, 1999 MT 263</w:t>
      </w:r>
      <w:r>
        <w:t xml:space="preserve"> </w:t>
      </w:r>
      <w:r>
        <w:t xml:space="preserve">[@montrust-1999]</w:t>
      </w:r>
      <w:r>
        <w:t xml:space="preserve">.</w:t>
      </w:r>
    </w:p>
  </w:footnote>
  <w:footnote w:id="253">
    <w:p>
      <w:pPr>
        <w:pStyle w:val="FootnoteText"/>
      </w:pPr>
      <w:r>
        <w:rPr>
          <w:rStyle w:val="FootnoteReference"/>
        </w:rPr>
        <w:footnoteRef/>
      </w:r>
      <w:r>
        <w:t xml:space="preserve"> </w:t>
      </w:r>
      <w:r>
        <w:rPr>
          <w:i/>
        </w:rPr>
        <w:t xml:space="preserve">State ex rel. Ebke v. Board of Educational Lands &amp; Funds</w:t>
      </w:r>
      <w:r>
        <w:t xml:space="preserve">, 154 Neb. 244, 47 N.W.2d 520 (1951)</w:t>
      </w:r>
      <w:r>
        <w:t xml:space="preserve"> </w:t>
      </w:r>
      <w:r>
        <w:t xml:space="preserve">[@ebke-1951]</w:t>
      </w:r>
      <w:r>
        <w:t xml:space="preserve"> </w:t>
      </w:r>
      <w:r>
        <w:t xml:space="preserve">(</w:t>
      </w:r>
      <w:r>
        <w:t xml:space="preserve">“</w:t>
      </w:r>
      <w:r>
        <w:t xml:space="preserve">the state in acting as a trustee is subject to the same standards</w:t>
      </w:r>
      <w:r>
        <w:t xml:space="preserve">”</w:t>
      </w:r>
      <w:r>
        <w:t xml:space="preserve">); the leasing-preference line is developed in Chapter 11.</w:t>
      </w:r>
    </w:p>
  </w:footnote>
  <w:footnote w:id="254">
    <w:p>
      <w:pPr>
        <w:pStyle w:val="FootnoteText"/>
      </w:pPr>
      <w:r>
        <w:rPr>
          <w:rStyle w:val="FootnoteReference"/>
        </w:rPr>
        <w:footnoteRef/>
      </w:r>
      <w:r>
        <w:t xml:space="preserve"> </w:t>
      </w:r>
      <w:r>
        <w:rPr>
          <w:i/>
        </w:rPr>
        <w:t xml:space="preserve">ASARCO Inc. v. Kadish</w:t>
      </w:r>
      <w:r>
        <w:t xml:space="preserve">, 490 U.S. 605, 626 (1989)</w:t>
      </w:r>
      <w:r>
        <w:t xml:space="preserve"> </w:t>
      </w:r>
      <w:r>
        <w:t xml:space="preserve">[@asarco-1989]</w:t>
      </w:r>
      <w:r>
        <w:t xml:space="preserve">; the void-statute consequence is collected at § 4.6(a).</w:t>
      </w:r>
    </w:p>
  </w:footnote>
  <w:footnote w:id="256">
    <w:p>
      <w:pPr>
        <w:pStyle w:val="FootnoteText"/>
      </w:pPr>
      <w:r>
        <w:rPr>
          <w:rStyle w:val="FootnoteReference"/>
        </w:rPr>
        <w:footnoteRef/>
      </w:r>
      <w:r>
        <w:t xml:space="preserve"> </w:t>
      </w:r>
      <w:r>
        <w:rPr>
          <w:i/>
        </w:rPr>
        <w:t xml:space="preserve">State ex rel. Dept. of Highways v. Burlingame</w:t>
      </w:r>
      <w:r>
        <w:t xml:space="preserve">, 597 P.2d 51 (Mont. 1979)</w:t>
      </w:r>
      <w:r>
        <w:t xml:space="preserve"> </w:t>
      </w:r>
      <w:r>
        <w:t xml:space="preserve">[@burlingame-1979]</w:t>
      </w:r>
      <w:r>
        <w:t xml:space="preserve"> </w:t>
      </w:r>
      <w:r>
        <w:t xml:space="preserve">(sustained yield; a preference right that does not further sustained yield cannot be given effect).</w:t>
      </w:r>
    </w:p>
  </w:footnote>
  <w:footnote w:id="257">
    <w:p>
      <w:pPr>
        <w:pStyle w:val="FootnoteText"/>
      </w:pPr>
      <w:r>
        <w:rPr>
          <w:rStyle w:val="FootnoteReference"/>
        </w:rPr>
        <w:footnoteRef/>
      </w:r>
      <w:r>
        <w:t xml:space="preserve"> </w:t>
      </w:r>
      <w:r>
        <w:t xml:space="preserve">36 Op Atty Gen 150 (Or. 1972)</w:t>
      </w:r>
      <w:r>
        <w:t xml:space="preserve"> </w:t>
      </w:r>
      <w:r>
        <w:t xml:space="preserve">[@ag-or-150-1972]</w:t>
      </w:r>
      <w:r>
        <w:t xml:space="preserve"> </w:t>
      </w:r>
      <w:r>
        <w:t xml:space="preserve">(as quoted in 46 Op Atty Gen 468 (Or. 1992)</w:t>
      </w:r>
      <w:r>
        <w:t xml:space="preserve"> </w:t>
      </w:r>
      <w:r>
        <w:t xml:space="preserve">[@ag-or-8223-1992]</w:t>
      </w:r>
      <w:r>
        <w:t xml:space="preserve">).</w:t>
      </w:r>
    </w:p>
  </w:footnote>
  <w:footnote w:id="258">
    <w:p>
      <w:pPr>
        <w:pStyle w:val="FootnoteText"/>
      </w:pPr>
      <w:r>
        <w:rPr>
          <w:rStyle w:val="FootnoteReference"/>
        </w:rPr>
        <w:footnoteRef/>
      </w:r>
      <w:r>
        <w:t xml:space="preserve"> </w:t>
      </w:r>
      <w:r>
        <w:t xml:space="preserve">38 Op Atty Gen 850, Op. No. 7450 (Or. 1977)</w:t>
      </w:r>
      <w:r>
        <w:t xml:space="preserve"> </w:t>
      </w:r>
      <w:r>
        <w:t xml:space="preserve">[@ag-or-7450-1977]</w:t>
      </w:r>
      <w:r>
        <w:t xml:space="preserve">. Accord, attorney-general authority in other states not yet collected; see Register G-7 (the 20-state AG-opinion sweep).</w:t>
      </w:r>
    </w:p>
  </w:footnote>
  <w:footnote w:id="259">
    <w:p>
      <w:pPr>
        <w:pStyle w:val="FootnoteText"/>
      </w:pPr>
      <w:r>
        <w:rPr>
          <w:rStyle w:val="FootnoteReference"/>
        </w:rPr>
        <w:footnoteRef/>
      </w:r>
      <w:r>
        <w:t xml:space="preserve"> </w:t>
      </w:r>
      <w:r>
        <w:rPr>
          <w:i/>
        </w:rPr>
        <w:t xml:space="preserve">National Parks &amp; Conservation Association v. Board of State Lands</w:t>
      </w:r>
      <w:r>
        <w:t xml:space="preserve">, 869 P.2d 909 (Utah 1993)</w:t>
      </w:r>
      <w:r>
        <w:t xml:space="preserve"> </w:t>
      </w:r>
      <w:r>
        <w:t xml:space="preserve">[@npca-1993]</w:t>
      </w:r>
      <w:r>
        <w:t xml:space="preserve">; Justice Durham, concurring, would have held that economic interests</w:t>
      </w:r>
      <w:r>
        <w:t xml:space="preserve"> </w:t>
      </w:r>
      <w:r>
        <w:t xml:space="preserve">“</w:t>
      </w:r>
      <w:r>
        <w:t xml:space="preserve">ordinarily will prevail</w:t>
      </w:r>
      <w:r>
        <w:t xml:space="preserve">”</w:t>
      </w:r>
      <w:r>
        <w:t xml:space="preserve"> </w:t>
      </w:r>
      <w:r>
        <w:t xml:space="preserve">while leaving room for other considerations with appropriate compensation.</w:t>
      </w:r>
    </w:p>
  </w:footnote>
  <w:footnote w:id="260">
    <w:p>
      <w:pPr>
        <w:pStyle w:val="FootnoteText"/>
      </w:pPr>
      <w:r>
        <w:rPr>
          <w:rStyle w:val="FootnoteReference"/>
        </w:rPr>
        <w:footnoteRef/>
      </w:r>
      <w:r>
        <w:t xml:space="preserve"> </w:t>
      </w:r>
      <w:r>
        <w:rPr>
          <w:i/>
        </w:rPr>
        <w:t xml:space="preserve">State v. University of Alaska</w:t>
      </w:r>
      <w:r>
        <w:t xml:space="preserve">, 624 P.2d 807, 813 (Alaska 1981)</w:t>
      </w:r>
      <w:r>
        <w:t xml:space="preserve"> </w:t>
      </w:r>
      <w:r>
        <w:t xml:space="preserve">[@university-of-alaska-1981]</w:t>
      </w:r>
      <w:r>
        <w:t xml:space="preserve"> </w:t>
      </w:r>
      <w:r>
        <w:t xml:space="preserve">(</w:t>
      </w:r>
      <w:r>
        <w:t xml:space="preserve">“</w:t>
      </w:r>
      <w:r>
        <w:t xml:space="preserve">The implied intent of the grant was to maximize the economic return from the land for the benefit of the university. This intent cannot be accomplished if the use of the land is restricted to any significant degree.</w:t>
      </w:r>
      <w:r>
        <w:t xml:space="preserve">”</w:t>
      </w:r>
      <w:r>
        <w:t xml:space="preserve">).</w:t>
      </w:r>
    </w:p>
  </w:footnote>
  <w:footnote w:id="261">
    <w:p>
      <w:pPr>
        <w:pStyle w:val="FootnoteText"/>
      </w:pPr>
      <w:r>
        <w:rPr>
          <w:rStyle w:val="FootnoteReference"/>
        </w:rPr>
        <w:footnoteRef/>
      </w:r>
      <w:r>
        <w:t xml:space="preserve"> </w:t>
      </w:r>
      <w:r>
        <w:rPr>
          <w:i/>
        </w:rPr>
        <w:t xml:space="preserve">Cascadia Wildlands v. Department of State Lands</w:t>
      </w:r>
      <w:r>
        <w:t xml:space="preserve">, 365 Or 750 (2019)</w:t>
      </w:r>
      <w:r>
        <w:t xml:space="preserve"> </w:t>
      </w:r>
      <w:r>
        <w:t xml:space="preserve">[@cascadia-2019]</w:t>
      </w:r>
      <w:r>
        <w:t xml:space="preserve">; the decision’s careful boundary — rejecting the asserted core function while reserving that the greatest-benefit mandate</w:t>
      </w:r>
      <w:r>
        <w:t xml:space="preserve"> </w:t>
      </w:r>
      <w:r>
        <w:t xml:space="preserve">“</w:t>
      </w:r>
      <w:r>
        <w:t xml:space="preserve">may require</w:t>
      </w:r>
      <w:r>
        <w:t xml:space="preserve">”</w:t>
      </w:r>
      <w:r>
        <w:t xml:space="preserve"> </w:t>
      </w:r>
      <w:r>
        <w:t xml:space="preserve">net-profit maximization in particular settings — is treated at §§ 4.5 and 7.7.</w:t>
      </w:r>
    </w:p>
  </w:footnote>
  <w:footnote w:id="263">
    <w:p>
      <w:pPr>
        <w:pStyle w:val="FootnoteText"/>
      </w:pPr>
      <w:r>
        <w:rPr>
          <w:rStyle w:val="FootnoteReference"/>
        </w:rPr>
        <w:footnoteRef/>
      </w:r>
      <w:r>
        <w:t xml:space="preserve"> </w:t>
      </w:r>
      <w:r>
        <w:t xml:space="preserve">Or. Const. art. VIII, § 5(2)</w:t>
      </w:r>
      <w:r>
        <w:t xml:space="preserve"> </w:t>
      </w:r>
      <w:r>
        <w:t xml:space="preserve">[@const-or-art8]</w:t>
      </w:r>
      <w:r>
        <w:t xml:space="preserve">;</w:t>
      </w:r>
      <w:r>
        <w:t xml:space="preserve"> </w:t>
      </w:r>
      <w:r>
        <w:rPr>
          <w:i/>
        </w:rPr>
        <w:t xml:space="preserve">Johnson v. Department of Revenue</w:t>
      </w:r>
      <w:r>
        <w:t xml:space="preserve">, 292 Or 373, 382 (1982)</w:t>
      </w:r>
      <w:r>
        <w:t xml:space="preserve"> </w:t>
      </w:r>
      <w:r>
        <w:t xml:space="preserve">[@johnson-1982]</w:t>
      </w:r>
      <w:r>
        <w:t xml:space="preserve">.</w:t>
      </w:r>
    </w:p>
  </w:footnote>
  <w:footnote w:id="264">
    <w:p>
      <w:pPr>
        <w:pStyle w:val="FootnoteText"/>
      </w:pPr>
      <w:r>
        <w:rPr>
          <w:rStyle w:val="FootnoteReference"/>
        </w:rPr>
        <w:footnoteRef/>
      </w:r>
      <w:r>
        <w:t xml:space="preserve"> </w:t>
      </w:r>
      <w:r>
        <w:rPr>
          <w:i/>
        </w:rPr>
        <w:t xml:space="preserve">Johnson</w:t>
      </w:r>
      <w:r>
        <w:t xml:space="preserve">, 292 Or 373 (1982)</w:t>
      </w:r>
      <w:r>
        <w:t xml:space="preserve"> </w:t>
      </w:r>
      <w:r>
        <w:t xml:space="preserve">[@johnson-1982]</w:t>
      </w:r>
      <w:r>
        <w:t xml:space="preserve">;</w:t>
      </w:r>
      <w:r>
        <w:t xml:space="preserve"> </w:t>
      </w:r>
      <w:r>
        <w:rPr>
          <w:i/>
        </w:rPr>
        <w:t xml:space="preserve">Cascadia Wildlands</w:t>
      </w:r>
      <w:r>
        <w:t xml:space="preserve">, 365 Or 750 (2019)</w:t>
      </w:r>
      <w:r>
        <w:t xml:space="preserve"> </w:t>
      </w:r>
      <w:r>
        <w:t xml:space="preserve">[@cascadia-2019]</w:t>
      </w:r>
      <w:r>
        <w:t xml:space="preserve">;</w:t>
      </w:r>
      <w:r>
        <w:t xml:space="preserve"> </w:t>
      </w:r>
      <w:r>
        <w:rPr>
          <w:i/>
        </w:rPr>
        <w:t xml:space="preserve">Branson School District RE-82 v. Romer</w:t>
      </w:r>
      <w:r>
        <w:t xml:space="preserve">, 161 F.3d 619 (10th Cir. 1998)</w:t>
      </w:r>
      <w:r>
        <w:t xml:space="preserve"> </w:t>
      </w:r>
      <w:r>
        <w:t xml:space="preserve">[@branson-1998]</w:t>
      </w:r>
      <w:r>
        <w:t xml:space="preserve">.</w:t>
      </w:r>
    </w:p>
  </w:footnote>
  <w:footnote w:id="265">
    <w:p>
      <w:pPr>
        <w:pStyle w:val="FootnoteText"/>
      </w:pPr>
      <w:r>
        <w:rPr>
          <w:rStyle w:val="FootnoteReference"/>
        </w:rPr>
        <w:footnoteRef/>
      </w:r>
      <w:r>
        <w:t xml:space="preserve"> </w:t>
      </w:r>
      <w:r>
        <w:rPr>
          <w:i/>
        </w:rPr>
        <w:t xml:space="preserve">Montanans for the Responsible Use of the School Trust v. Darkenwald</w:t>
      </w:r>
      <w:r>
        <w:t xml:space="preserve">, 2005 MT 190, 328 Mont. 105</w:t>
      </w:r>
      <w:r>
        <w:t xml:space="preserve"> </w:t>
      </w:r>
      <w:r>
        <w:t xml:space="preserve">[@darkenwald-2005]</w:t>
      </w:r>
      <w:r>
        <w:t xml:space="preserve">.</w:t>
      </w:r>
    </w:p>
  </w:footnote>
  <w:footnote w:id="266">
    <w:p>
      <w:pPr>
        <w:pStyle w:val="FootnoteText"/>
      </w:pPr>
      <w:r>
        <w:rPr>
          <w:rStyle w:val="FootnoteReference"/>
        </w:rPr>
        <w:footnoteRef/>
      </w:r>
      <w:r>
        <w:t xml:space="preserve"> </w:t>
      </w:r>
      <w:r>
        <w:t xml:space="preserve">46 Op Atty Gen 208, Op. No. 8201 (Or. 1989)</w:t>
      </w:r>
      <w:r>
        <w:t xml:space="preserve"> </w:t>
      </w:r>
      <w:r>
        <w:t xml:space="preserve">[@ag-or-8201-1989]</w:t>
      </w:r>
      <w:r>
        <w:t xml:space="preserve">.</w:t>
      </w:r>
    </w:p>
  </w:footnote>
  <w:footnote w:id="268">
    <w:p>
      <w:pPr>
        <w:pStyle w:val="FootnoteText"/>
      </w:pPr>
      <w:r>
        <w:rPr>
          <w:rStyle w:val="FootnoteReference"/>
        </w:rPr>
        <w:footnoteRef/>
      </w:r>
      <w:r>
        <w:t xml:space="preserve"> </w:t>
      </w:r>
      <w:r>
        <w:t xml:space="preserve">§§ 6.1–6.2 and the authorities collected at notes 2 and 5.</w:t>
      </w:r>
    </w:p>
  </w:footnote>
  <w:footnote w:id="269">
    <w:p>
      <w:pPr>
        <w:pStyle w:val="FootnoteText"/>
      </w:pPr>
      <w:r>
        <w:rPr>
          <w:rStyle w:val="FootnoteReference"/>
        </w:rPr>
        <w:footnoteRef/>
      </w:r>
      <w:r>
        <w:t xml:space="preserve"> </w:t>
      </w:r>
      <w:r>
        <w:t xml:space="preserve">§§ 6.2–6.3;</w:t>
      </w:r>
      <w:r>
        <w:t xml:space="preserve"> </w:t>
      </w:r>
      <w:r>
        <w:rPr>
          <w:i/>
        </w:rPr>
        <w:t xml:space="preserve">Ervien</w:t>
      </w:r>
      <w:r>
        <w:t xml:space="preserve">, 251 U.S. at 47</w:t>
      </w:r>
      <w:r>
        <w:t xml:space="preserve"> </w:t>
      </w:r>
      <w:r>
        <w:t xml:space="preserve">[@ervien-1919]</w:t>
      </w:r>
      <w:r>
        <w:t xml:space="preserve">;</w:t>
      </w:r>
      <w:r>
        <w:t xml:space="preserve"> </w:t>
      </w:r>
      <w:r>
        <w:rPr>
          <w:i/>
        </w:rPr>
        <w:t xml:space="preserve">Skamania</w:t>
      </w:r>
      <w:r>
        <w:t xml:space="preserve">, 102 Wn.2d 127</w:t>
      </w:r>
      <w:r>
        <w:t xml:space="preserve"> </w:t>
      </w:r>
      <w:r>
        <w:t xml:space="preserve">[@skamania-1984]</w:t>
      </w:r>
      <w:r>
        <w:t xml:space="preserve">.</w:t>
      </w:r>
    </w:p>
  </w:footnote>
  <w:footnote w:id="270">
    <w:p>
      <w:pPr>
        <w:pStyle w:val="FootnoteText"/>
      </w:pPr>
      <w:r>
        <w:rPr>
          <w:rStyle w:val="FootnoteReference"/>
        </w:rPr>
        <w:footnoteRef/>
      </w:r>
      <w:r>
        <w:t xml:space="preserve"> </w:t>
      </w:r>
      <w:r>
        <w:t xml:space="preserve">§ 6.4 and the authorities collected at notes 9–12.</w:t>
      </w:r>
    </w:p>
  </w:footnote>
  <w:footnote w:id="271">
    <w:p>
      <w:pPr>
        <w:pStyle w:val="FootnoteText"/>
      </w:pPr>
      <w:r>
        <w:rPr>
          <w:rStyle w:val="FootnoteReference"/>
        </w:rPr>
        <w:footnoteRef/>
      </w:r>
      <w:r>
        <w:t xml:space="preserve"> </w:t>
      </w:r>
      <w:r>
        <w:t xml:space="preserve">§ 6.5 and the authorities collected at notes 13–18.</w:t>
      </w:r>
    </w:p>
  </w:footnote>
  <w:footnote w:id="274">
    <w:p>
      <w:pPr>
        <w:pStyle w:val="FootnoteText"/>
      </w:pPr>
      <w:r>
        <w:rPr>
          <w:rStyle w:val="FootnoteReference"/>
        </w:rPr>
        <w:footnoteRef/>
      </w:r>
      <w:r>
        <w:t xml:space="preserve"> </w:t>
      </w:r>
      <w:r>
        <w:t xml:space="preserve">Restatement (Second) of Trusts § 181</w:t>
      </w:r>
      <w:r>
        <w:t xml:space="preserve"> </w:t>
      </w:r>
      <w:r>
        <w:t xml:space="preserve">[@restatement2d-trusts-181]</w:t>
      </w:r>
      <w:r>
        <w:t xml:space="preserve"> </w:t>
      </w:r>
      <w:r>
        <w:t xml:space="preserve">(duty to make trust property productive); the modern statement runs through the prudent-investor framework of the Restatement (Third) of Trusts</w:t>
      </w:r>
      <w:r>
        <w:t xml:space="preserve"> </w:t>
      </w:r>
      <w:r>
        <w:t xml:space="preserve">[@restatement3d-trusts]</w:t>
      </w:r>
      <w:r>
        <w:t xml:space="preserve">. Both are carried in the project files as briefing-layer authority; the state cases below are the operative law.</w:t>
      </w:r>
    </w:p>
  </w:footnote>
  <w:footnote w:id="275">
    <w:p>
      <w:pPr>
        <w:pStyle w:val="FootnoteText"/>
      </w:pPr>
      <w:r>
        <w:rPr>
          <w:rStyle w:val="FootnoteReference"/>
        </w:rPr>
        <w:footnoteRef/>
      </w:r>
      <w:r>
        <w:t xml:space="preserve"> </w:t>
      </w:r>
      <w:r>
        <w:rPr>
          <w:i/>
        </w:rPr>
        <w:t xml:space="preserve">Johnson v. Department of Revenue</w:t>
      </w:r>
      <w:r>
        <w:t xml:space="preserve">, 292 Or 373, 382 (1982)</w:t>
      </w:r>
      <w:r>
        <w:t xml:space="preserve"> </w:t>
      </w:r>
      <w:r>
        <w:t xml:space="preserve">[@johnson-1982]</w:t>
      </w:r>
      <w:r>
        <w:t xml:space="preserve">; § 7.2.</w:t>
      </w:r>
    </w:p>
  </w:footnote>
  <w:footnote w:id="276">
    <w:p>
      <w:pPr>
        <w:pStyle w:val="FootnoteText"/>
      </w:pPr>
      <w:r>
        <w:rPr>
          <w:rStyle w:val="FootnoteReference"/>
        </w:rPr>
        <w:footnoteRef/>
      </w:r>
      <w:r>
        <w:t xml:space="preserve"> </w:t>
      </w:r>
      <w:r>
        <w:t xml:space="preserve">43 Op Atty Gen 140, Op. No. 8135 (Or. 1983)</w:t>
      </w:r>
      <w:r>
        <w:t xml:space="preserve"> </w:t>
      </w:r>
      <w:r>
        <w:t xml:space="preserve">[@ag-or-8135-1983]</w:t>
      </w:r>
      <w:r>
        <w:t xml:space="preserve">; § 7.5.</w:t>
      </w:r>
    </w:p>
  </w:footnote>
  <w:footnote w:id="277">
    <w:p>
      <w:pPr>
        <w:pStyle w:val="FootnoteText"/>
      </w:pPr>
      <w:r>
        <w:rPr>
          <w:rStyle w:val="FootnoteReference"/>
        </w:rPr>
        <w:footnoteRef/>
      </w:r>
      <w:r>
        <w:t xml:space="preserve"> </w:t>
      </w:r>
      <w:r>
        <w:t xml:space="preserve">Idaho Const. art. IX, § 8</w:t>
      </w:r>
      <w:r>
        <w:t xml:space="preserve"> </w:t>
      </w:r>
      <w:r>
        <w:t xml:space="preserve">[@const-id-art9]</w:t>
      </w:r>
      <w:r>
        <w:t xml:space="preserve">;</w:t>
      </w:r>
      <w:r>
        <w:t xml:space="preserve"> </w:t>
      </w:r>
      <w:r>
        <w:rPr>
          <w:i/>
        </w:rPr>
        <w:t xml:space="preserve">Idaho Watersheds Project v. State Board of Land Commissioners</w:t>
      </w:r>
      <w:r>
        <w:t xml:space="preserve">, 133 Idaho 64, 982 P.2d 367 (1999)</w:t>
      </w:r>
      <w:r>
        <w:t xml:space="preserve"> </w:t>
      </w:r>
      <w:r>
        <w:t xml:space="preserve">[@idaho-watersheds-1999]</w:t>
      </w:r>
      <w:r>
        <w:t xml:space="preserve">; § 7.2.</w:t>
      </w:r>
    </w:p>
  </w:footnote>
  <w:footnote w:id="278">
    <w:p>
      <w:pPr>
        <w:pStyle w:val="FootnoteText"/>
      </w:pPr>
      <w:r>
        <w:rPr>
          <w:rStyle w:val="FootnoteReference"/>
        </w:rPr>
        <w:footnoteRef/>
      </w:r>
      <w:r>
        <w:t xml:space="preserve"> </w:t>
      </w:r>
      <w:r>
        <w:rPr>
          <w:i/>
        </w:rPr>
        <w:t xml:space="preserve">Oklahoma Education Ass’n, Inc. v. Nigh</w:t>
      </w:r>
      <w:r>
        <w:t xml:space="preserve">, 642 P.2d 230 (Okla. 1982)</w:t>
      </w:r>
      <w:r>
        <w:t xml:space="preserve"> </w:t>
      </w:r>
      <w:r>
        <w:t xml:space="preserve">[@nigh-1982]</w:t>
      </w:r>
      <w:r>
        <w:t xml:space="preserve">.</w:t>
      </w:r>
    </w:p>
  </w:footnote>
  <w:footnote w:id="279">
    <w:p>
      <w:pPr>
        <w:pStyle w:val="FootnoteText"/>
      </w:pPr>
      <w:r>
        <w:rPr>
          <w:rStyle w:val="FootnoteReference"/>
        </w:rPr>
        <w:footnoteRef/>
      </w:r>
      <w:r>
        <w:t xml:space="preserve"> </w:t>
      </w:r>
      <w:r>
        <w:rPr>
          <w:i/>
        </w:rPr>
        <w:t xml:space="preserve">National Parks &amp; Conservation Association v. Board of State Lands</w:t>
      </w:r>
      <w:r>
        <w:t xml:space="preserve">, 869 P.2d 909 (Utah 1993)</w:t>
      </w:r>
      <w:r>
        <w:t xml:space="preserve"> </w:t>
      </w:r>
      <w:r>
        <w:t xml:space="preserve">[@npca-1993]</w:t>
      </w:r>
      <w:r>
        <w:t xml:space="preserve">.</w:t>
      </w:r>
    </w:p>
  </w:footnote>
  <w:footnote w:id="281">
    <w:p>
      <w:pPr>
        <w:pStyle w:val="FootnoteText"/>
      </w:pPr>
      <w:r>
        <w:rPr>
          <w:rStyle w:val="FootnoteReference"/>
        </w:rPr>
        <w:footnoteRef/>
      </w:r>
      <w:r>
        <w:t xml:space="preserve"> </w:t>
      </w:r>
      <w:r>
        <w:rPr>
          <w:i/>
        </w:rPr>
        <w:t xml:space="preserve">National Parks &amp; Conservation Association v. Board of State Lands</w:t>
      </w:r>
      <w:r>
        <w:t xml:space="preserve">, 869 P.2d 909, 920, 922 (Utah 1993)</w:t>
      </w:r>
      <w:r>
        <w:t xml:space="preserve"> </w:t>
      </w:r>
      <w:r>
        <w:t xml:space="preserve">[@npca-1993]</w:t>
      </w:r>
      <w:r>
        <w:t xml:space="preserve"> </w:t>
      </w:r>
      <w:r>
        <w:t xml:space="preserve">(the trust binds</w:t>
      </w:r>
      <w:r>
        <w:t xml:space="preserve"> </w:t>
      </w:r>
      <w:r>
        <w:t xml:space="preserve">“</w:t>
      </w:r>
      <w:r>
        <w:t xml:space="preserve">the use of the land itself,</w:t>
      </w:r>
      <w:r>
        <w:t xml:space="preserve">”</w:t>
      </w:r>
      <w:r>
        <w:t xml:space="preserve"> </w:t>
      </w:r>
      <w:r>
        <w:t xml:space="preserve">at 920; purchaser-submitted appraisals</w:t>
      </w:r>
      <w:r>
        <w:t xml:space="preserve"> </w:t>
      </w:r>
      <w:r>
        <w:t xml:space="preserve">“</w:t>
      </w:r>
      <w:r>
        <w:t xml:space="preserve">suspect on its face,</w:t>
      </w:r>
      <w:r>
        <w:t xml:space="preserve">”</w:t>
      </w:r>
      <w:r>
        <w:t xml:space="preserve"> </w:t>
      </w:r>
      <w:r>
        <w:t xml:space="preserve">at 922 — quotations verified against the full opinion, 2026-06-07). Justice Durham concurred in the result on the narrower ground that economic interests</w:t>
      </w:r>
      <w:r>
        <w:t xml:space="preserve"> </w:t>
      </w:r>
      <w:r>
        <w:t xml:space="preserve">“</w:t>
      </w:r>
      <w:r>
        <w:t xml:space="preserve">ordinarily will prevail.</w:t>
      </w:r>
      <w:r>
        <w:t xml:space="preserve">”</w:t>
      </w:r>
    </w:p>
  </w:footnote>
  <w:footnote w:id="282">
    <w:p>
      <w:pPr>
        <w:pStyle w:val="FootnoteText"/>
      </w:pPr>
      <w:r>
        <w:rPr>
          <w:rStyle w:val="FootnoteReference"/>
        </w:rPr>
        <w:footnoteRef/>
      </w:r>
      <w:r>
        <w:t xml:space="preserve"> </w:t>
      </w:r>
      <w:r>
        <w:t xml:space="preserve">Accord, collected by state:</w:t>
      </w:r>
      <w:r>
        <w:t xml:space="preserve"> </w:t>
      </w:r>
      <w:r>
        <w:rPr>
          <w:b/>
        </w:rPr>
        <w:t xml:space="preserve">Oklahoma</w:t>
      </w:r>
      <w:r>
        <w:t xml:space="preserve"> </w:t>
      </w:r>
      <w:r>
        <w:t xml:space="preserve">—</w:t>
      </w:r>
      <w:r>
        <w:t xml:space="preserve"> </w:t>
      </w:r>
      <w:r>
        <w:rPr>
          <w:i/>
        </w:rPr>
        <w:t xml:space="preserve">Nigh</w:t>
      </w:r>
      <w:r>
        <w:t xml:space="preserve">, 642 P.2d 230 (Okla. 1982)</w:t>
      </w:r>
      <w:r>
        <w:t xml:space="preserve"> </w:t>
      </w:r>
      <w:r>
        <w:t xml:space="preserve">[@nigh-1982]</w:t>
      </w:r>
      <w:r>
        <w:t xml:space="preserve">;</w:t>
      </w:r>
      <w:r>
        <w:t xml:space="preserve"> </w:t>
      </w:r>
      <w:r>
        <w:rPr>
          <w:b/>
        </w:rPr>
        <w:t xml:space="preserve">Idaho</w:t>
      </w:r>
      <w:r>
        <w:t xml:space="preserve"> </w:t>
      </w:r>
      <w:r>
        <w:t xml:space="preserve">—</w:t>
      </w:r>
      <w:r>
        <w:t xml:space="preserve"> </w:t>
      </w:r>
      <w:r>
        <w:rPr>
          <w:i/>
        </w:rPr>
        <w:t xml:space="preserve">Idaho Watersheds Project</w:t>
      </w:r>
      <w:r>
        <w:t xml:space="preserve">, 133 Idaho 64, 982 P.2d 367 (1999)</w:t>
      </w:r>
      <w:r>
        <w:t xml:space="preserve"> </w:t>
      </w:r>
      <w:r>
        <w:t xml:space="preserve">[@idaho-watersheds-1999]</w:t>
      </w:r>
      <w:r>
        <w:t xml:space="preserve">;</w:t>
      </w:r>
      <w:r>
        <w:t xml:space="preserve"> </w:t>
      </w:r>
      <w:r>
        <w:rPr>
          <w:b/>
        </w:rPr>
        <w:t xml:space="preserve">Oregon</w:t>
      </w:r>
      <w:r>
        <w:t xml:space="preserve"> </w:t>
      </w:r>
      <w:r>
        <w:t xml:space="preserve">—</w:t>
      </w:r>
      <w:r>
        <w:t xml:space="preserve"> </w:t>
      </w:r>
      <w:r>
        <w:rPr>
          <w:i/>
        </w:rPr>
        <w:t xml:space="preserve">Johnson</w:t>
      </w:r>
      <w:r>
        <w:t xml:space="preserve">, 292 Or 373, 382 (1982)</w:t>
      </w:r>
      <w:r>
        <w:t xml:space="preserve"> </w:t>
      </w:r>
      <w:r>
        <w:t xml:space="preserve">[@johnson-1982]</w:t>
      </w:r>
      <w:r>
        <w:t xml:space="preserve"> </w:t>
      </w:r>
      <w:r>
        <w:t xml:space="preserve">(</w:t>
      </w:r>
      <w:r>
        <w:t xml:space="preserve">“</w:t>
      </w:r>
      <w:r>
        <w:t xml:space="preserve">greatest net profit</w:t>
      </w:r>
      <w:r>
        <w:t xml:space="preserve">”</w:t>
      </w:r>
      <w:r>
        <w:t xml:space="preserve">);</w:t>
      </w:r>
      <w:r>
        <w:t xml:space="preserve"> </w:t>
      </w:r>
      <w:r>
        <w:rPr>
          <w:b/>
        </w:rPr>
        <w:t xml:space="preserve">Utah</w:t>
      </w:r>
      <w:r>
        <w:t xml:space="preserve"> </w:t>
      </w:r>
      <w:r>
        <w:t xml:space="preserve">—</w:t>
      </w:r>
      <w:r>
        <w:t xml:space="preserve"> </w:t>
      </w:r>
      <w:r>
        <w:rPr>
          <w:i/>
        </w:rPr>
        <w:t xml:space="preserve">Plateau Mining Co. v. Utah Division of State Lands &amp; Forestry</w:t>
      </w:r>
      <w:r>
        <w:t xml:space="preserve">, 802 P.2d 720 (Utah 1990)</w:t>
      </w:r>
      <w:r>
        <w:t xml:space="preserve"> </w:t>
      </w:r>
      <w:r>
        <w:t xml:space="preserve">[@plateau-1990]</w:t>
      </w:r>
      <w:r>
        <w:t xml:space="preserve"> </w:t>
      </w:r>
      <w:r>
        <w:t xml:space="preserve">(the trust’s right to full contractual payment cannot be waived by the trustee’s prior acceptance of less);</w:t>
      </w:r>
      <w:r>
        <w:t xml:space="preserve"> </w:t>
      </w:r>
      <w:r>
        <w:rPr>
          <w:b/>
        </w:rPr>
        <w:t xml:space="preserve">Washington</w:t>
      </w:r>
      <w:r>
        <w:t xml:space="preserve"> </w:t>
      </w:r>
      <w:r>
        <w:t xml:space="preserve">—</w:t>
      </w:r>
      <w:r>
        <w:t xml:space="preserve"> </w:t>
      </w:r>
      <w:r>
        <w:rPr>
          <w:i/>
        </w:rPr>
        <w:t xml:space="preserve">Skamania</w:t>
      </w:r>
      <w:r>
        <w:t xml:space="preserve">, 102 Wn.2d 127 (1984)</w:t>
      </w:r>
      <w:r>
        <w:t xml:space="preserve"> </w:t>
      </w:r>
      <w:r>
        <w:t xml:space="preserve">[@skamania-1984]</w:t>
      </w:r>
      <w:r>
        <w:t xml:space="preserve"> </w:t>
      </w:r>
      <w:r>
        <w:t xml:space="preserve">(full value on transfer of trust assets, not to be sacrificed to other objectives).</w:t>
      </w:r>
    </w:p>
  </w:footnote>
  <w:footnote w:id="283">
    <w:p>
      <w:pPr>
        <w:pStyle w:val="FootnoteText"/>
      </w:pPr>
      <w:r>
        <w:rPr>
          <w:rStyle w:val="FootnoteReference"/>
        </w:rPr>
        <w:footnoteRef/>
      </w:r>
      <w:r>
        <w:t xml:space="preserve"> </w:t>
      </w:r>
      <w:r>
        <w:rPr>
          <w:i/>
        </w:rPr>
        <w:t xml:space="preserve">Oklahoma Education Ass’n, Inc. v. Nigh</w:t>
      </w:r>
      <w:r>
        <w:t xml:space="preserve">, 642 P.2d 230 (Okla. 1982)</w:t>
      </w:r>
      <w:r>
        <w:t xml:space="preserve"> </w:t>
      </w:r>
      <w:r>
        <w:t xml:space="preserve">[@nigh-1982]</w:t>
      </w:r>
      <w:r>
        <w:t xml:space="preserve"> </w:t>
      </w:r>
      <w:r>
        <w:t xml:space="preserve">(642 P.2d at 236; quotation L0-verified 2026-06-09 against the full opinion, CourtListener id 1187033).</w:t>
      </w:r>
    </w:p>
  </w:footnote>
  <w:footnote w:id="284">
    <w:p>
      <w:pPr>
        <w:pStyle w:val="FootnoteText"/>
      </w:pPr>
      <w:r>
        <w:rPr>
          <w:rStyle w:val="FootnoteReference"/>
        </w:rPr>
        <w:footnoteRef/>
      </w:r>
      <w:r>
        <w:t xml:space="preserve"> </w:t>
      </w:r>
      <w:r>
        <w:t xml:space="preserve">Idaho Const. art. IX, § 8</w:t>
      </w:r>
      <w:r>
        <w:t xml:space="preserve"> </w:t>
      </w:r>
      <w:r>
        <w:t xml:space="preserve">[@const-id-art9]</w:t>
      </w:r>
      <w:r>
        <w:t xml:space="preserve">;</w:t>
      </w:r>
      <w:r>
        <w:t xml:space="preserve"> </w:t>
      </w:r>
      <w:r>
        <w:rPr>
          <w:i/>
        </w:rPr>
        <w:t xml:space="preserve">Idaho Watersheds Project v. State Board of Land Commissioners</w:t>
      </w:r>
      <w:r>
        <w:t xml:space="preserve">, 133 Idaho 64, 982 P.2d 367 (1999)</w:t>
      </w:r>
      <w:r>
        <w:t xml:space="preserve"> </w:t>
      </w:r>
      <w:r>
        <w:t xml:space="preserve">[@idaho-watersheds-1999]</w:t>
      </w:r>
      <w:r>
        <w:t xml:space="preserve">. The relationship between the two 1999</w:t>
      </w:r>
      <w:r>
        <w:t xml:space="preserve"> </w:t>
      </w:r>
      <w:r>
        <w:rPr>
          <w:i/>
        </w:rPr>
        <w:t xml:space="preserve">Idaho Watersheds</w:t>
      </w:r>
      <w:r>
        <w:t xml:space="preserve"> </w:t>
      </w:r>
      <w:r>
        <w:t xml:space="preserve">opinions was resolved in the verification pass of 2026-06-07: the companion opinion at 133 Idaho 55, 982 P.2d 358 (1999), is the separate H.J.R. 6 single-subject writ proceeding; the § 58-310B invalidation and competitive-auction holding cited here are at 133 Idaho 64, 982 P.2d 367.</w:t>
      </w:r>
    </w:p>
  </w:footnote>
  <w:footnote w:id="285">
    <w:p>
      <w:pPr>
        <w:pStyle w:val="FootnoteText"/>
      </w:pPr>
      <w:r>
        <w:rPr>
          <w:rStyle w:val="FootnoteReference"/>
        </w:rPr>
        <w:footnoteRef/>
      </w:r>
      <w:r>
        <w:t xml:space="preserve"> </w:t>
      </w:r>
      <w:r>
        <w:rPr>
          <w:i/>
        </w:rPr>
        <w:t xml:space="preserve">Johnson v. Department of Revenue</w:t>
      </w:r>
      <w:r>
        <w:t xml:space="preserve">, 292 Or 373, 382 (1982)</w:t>
      </w:r>
      <w:r>
        <w:t xml:space="preserve"> </w:t>
      </w:r>
      <w:r>
        <w:t xml:space="preserve">[@johnson-1982]</w:t>
      </w:r>
      <w:r>
        <w:t xml:space="preserve">.</w:t>
      </w:r>
    </w:p>
  </w:footnote>
  <w:footnote w:id="286">
    <w:p>
      <w:pPr>
        <w:pStyle w:val="FootnoteText"/>
      </w:pPr>
      <w:r>
        <w:rPr>
          <w:rStyle w:val="FootnoteReference"/>
        </w:rPr>
        <w:footnoteRef/>
      </w:r>
      <w:r>
        <w:t xml:space="preserve"> </w:t>
      </w:r>
      <w:r>
        <w:rPr>
          <w:i/>
        </w:rPr>
        <w:t xml:space="preserve">Cascadia Wildlands v. Department of State Lands</w:t>
      </w:r>
      <w:r>
        <w:t xml:space="preserve">, 365 Or 750, 766 (2019)</w:t>
      </w:r>
      <w:r>
        <w:t xml:space="preserve"> </w:t>
      </w:r>
      <w:r>
        <w:t xml:space="preserve">[@cascadia-2019]</w:t>
      </w:r>
      <w:r>
        <w:t xml:space="preserve">.</w:t>
      </w:r>
    </w:p>
  </w:footnote>
  <w:footnote w:id="288">
    <w:p>
      <w:pPr>
        <w:pStyle w:val="FootnoteText"/>
      </w:pPr>
      <w:r>
        <w:rPr>
          <w:rStyle w:val="FootnoteReference"/>
        </w:rPr>
        <w:footnoteRef/>
      </w:r>
      <w:r>
        <w:t xml:space="preserve"> </w:t>
      </w:r>
      <w:r>
        <w:rPr>
          <w:i/>
        </w:rPr>
        <w:t xml:space="preserve">State ex rel. Dept. of Highways v. Burlingame</w:t>
      </w:r>
      <w:r>
        <w:t xml:space="preserve">, 597 P.2d 51 (Mont. 1979)</w:t>
      </w:r>
      <w:r>
        <w:t xml:space="preserve"> </w:t>
      </w:r>
      <w:r>
        <w:t xml:space="preserve">[@burlingame-1979]</w:t>
      </w:r>
      <w:r>
        <w:t xml:space="preserve">. Accord cases not yet collected by state; see Architecture § C, verification wave 2.</w:t>
      </w:r>
    </w:p>
  </w:footnote>
  <w:footnote w:id="289">
    <w:p>
      <w:pPr>
        <w:pStyle w:val="FootnoteText"/>
      </w:pPr>
      <w:r>
        <w:rPr>
          <w:rStyle w:val="FootnoteReference"/>
        </w:rPr>
        <w:footnoteRef/>
      </w:r>
      <w:r>
        <w:t xml:space="preserve"> </w:t>
      </w:r>
      <w:r>
        <w:t xml:space="preserve">Idaho Const. art. IX, § 8</w:t>
      </w:r>
      <w:r>
        <w:t xml:space="preserve"> </w:t>
      </w:r>
      <w:r>
        <w:t xml:space="preserve">[@const-id-art9]</w:t>
      </w:r>
      <w:r>
        <w:t xml:space="preserve">; 43 Op Atty Gen 140 (Or. 1983)</w:t>
      </w:r>
      <w:r>
        <w:t xml:space="preserve"> </w:t>
      </w:r>
      <w:r>
        <w:t xml:space="preserve">[@ag-or-8135-1983]</w:t>
      </w:r>
      <w:r>
        <w:t xml:space="preserve">; 36 Op Atty Gen 150 (Or. 1972)</w:t>
      </w:r>
      <w:r>
        <w:t xml:space="preserve"> </w:t>
      </w:r>
      <w:r>
        <w:t xml:space="preserve">[@ag-or-150-1972]</w:t>
      </w:r>
      <w:r>
        <w:t xml:space="preserve"> </w:t>
      </w:r>
      <w:r>
        <w:t xml:space="preserve">(as quoted in the 1992 opinion).</w:t>
      </w:r>
    </w:p>
  </w:footnote>
  <w:footnote w:id="290">
    <w:p>
      <w:pPr>
        <w:pStyle w:val="FootnoteText"/>
      </w:pPr>
      <w:r>
        <w:rPr>
          <w:rStyle w:val="FootnoteReference"/>
        </w:rPr>
        <w:footnoteRef/>
      </w:r>
      <w:r>
        <w:t xml:space="preserve"> </w:t>
      </w:r>
      <w:r>
        <w:t xml:space="preserve">46 Op Atty Gen 468, Op. No. 8223 (Or. July 24, 1992)</w:t>
      </w:r>
      <w:r>
        <w:t xml:space="preserve"> </w:t>
      </w:r>
      <w:r>
        <w:t xml:space="preserve">[@ag-or-8223-1992]</w:t>
      </w:r>
      <w:r>
        <w:t xml:space="preserve"> </w:t>
      </w:r>
      <w:r>
        <w:t xml:space="preserve">(Crookham, A.G.) (</w:t>
      </w:r>
      <w:r>
        <w:t xml:space="preserve">“</w:t>
      </w:r>
      <w:r>
        <w:t xml:space="preserve">The important point is that the obligations are binding. They cannot be disregarded.</w:t>
      </w:r>
      <w:r>
        <w:t xml:space="preserve">”</w:t>
      </w:r>
      <w:r>
        <w:t xml:space="preserve">). The signatory is confirmed against the L0 PDF: the opinion is signed CHARLES S. CROOKHAM, Attorney General; the quoted sentence is verbatim.</w:t>
      </w:r>
    </w:p>
  </w:footnote>
  <w:footnote w:id="292">
    <w:p>
      <w:pPr>
        <w:pStyle w:val="FootnoteText"/>
      </w:pPr>
      <w:r>
        <w:rPr>
          <w:rStyle w:val="FootnoteReference"/>
        </w:rPr>
        <w:footnoteRef/>
      </w:r>
      <w:r>
        <w:t xml:space="preserve"> </w:t>
      </w:r>
      <w:r>
        <w:rPr>
          <w:i/>
        </w:rPr>
        <w:t xml:space="preserve">Johnson</w:t>
      </w:r>
      <w:r>
        <w:t xml:space="preserve">, 292 Or 373, 382 (1982)</w:t>
      </w:r>
      <w:r>
        <w:t xml:space="preserve"> </w:t>
      </w:r>
      <w:r>
        <w:t xml:space="preserve">[@johnson-1982]</w:t>
      </w:r>
      <w:r>
        <w:t xml:space="preserve">.</w:t>
      </w:r>
    </w:p>
  </w:footnote>
  <w:footnote w:id="293">
    <w:p>
      <w:pPr>
        <w:pStyle w:val="FootnoteText"/>
      </w:pPr>
      <w:r>
        <w:rPr>
          <w:rStyle w:val="FootnoteReference"/>
        </w:rPr>
        <w:footnoteRef/>
      </w:r>
      <w:r>
        <w:t xml:space="preserve"> </w:t>
      </w:r>
      <w:r>
        <w:t xml:space="preserve">37 Op Atty Gen 569 (Or. 1975)</w:t>
      </w:r>
      <w:r>
        <w:t xml:space="preserve"> </w:t>
      </w:r>
      <w:r>
        <w:t xml:space="preserve">[@ag-or-569-1975]</w:t>
      </w:r>
      <w:r>
        <w:t xml:space="preserve"> </w:t>
      </w:r>
      <w:r>
        <w:t xml:space="preserve">(full market value for Common School Forest timber; not subordinate to other policy goals); 38 Op Atty Gen 850, Op. No. 7450 (Or. 1977)</w:t>
      </w:r>
      <w:r>
        <w:t xml:space="preserve"> </w:t>
      </w:r>
      <w:r>
        <w:t xml:space="preserve">[@ag-or-7450-1977]</w:t>
      </w:r>
      <w:r>
        <w:t xml:space="preserve"> </w:t>
      </w:r>
      <w:r>
        <w:t xml:space="preserve">(no-diminution condition); 42 Op Atty Gen 260, Op. No. 8097 (Or. 1982)</w:t>
      </w:r>
      <w:r>
        <w:t xml:space="preserve"> </w:t>
      </w:r>
      <w:r>
        <w:t xml:space="preserve">[@ag-or-8097-1982]</w:t>
      </w:r>
      <w:r>
        <w:t xml:space="preserve"> </w:t>
      </w:r>
      <w:r>
        <w:t xml:space="preserve">(the State Land Board, not the forestry agency, holds final policy authority over the trust forest lands).</w:t>
      </w:r>
    </w:p>
  </w:footnote>
  <w:footnote w:id="294">
    <w:p>
      <w:pPr>
        <w:pStyle w:val="FootnoteText"/>
      </w:pPr>
      <w:r>
        <w:rPr>
          <w:rStyle w:val="FootnoteReference"/>
        </w:rPr>
        <w:footnoteRef/>
      </w:r>
      <w:r>
        <w:t xml:space="preserve"> </w:t>
      </w:r>
      <w:r>
        <w:t xml:space="preserve">Accord cases on below-cost management not yet collected; see Architecture § C, verification wave 2, and Register G-7 (whether other states’ AG canons address the question).</w:t>
      </w:r>
    </w:p>
  </w:footnote>
  <w:footnote w:id="295">
    <w:p>
      <w:pPr>
        <w:pStyle w:val="FootnoteText"/>
      </w:pPr>
      <w:r>
        <w:rPr>
          <w:rStyle w:val="FootnoteReference"/>
        </w:rPr>
        <w:footnoteRef/>
      </w:r>
      <w:r>
        <w:t xml:space="preserve"> </w:t>
      </w:r>
      <w:r>
        <w:rPr>
          <w:i/>
        </w:rPr>
        <w:t xml:space="preserve">Siuslaw School District 97J v. State of Oregon</w:t>
      </w:r>
      <w:r>
        <w:t xml:space="preserve">, Coos County Circuit Court No. 24CV38372; positions per the public filings (Defendants’ Motion for Summary Judgment, May 13, 2026; Plaintiffs’ Response and Cross-Motion, May 29, 2026).</w:t>
      </w:r>
    </w:p>
  </w:footnote>
  <w:footnote w:id="297">
    <w:p>
      <w:pPr>
        <w:pStyle w:val="FootnoteText"/>
      </w:pPr>
      <w:r>
        <w:rPr>
          <w:rStyle w:val="FootnoteReference"/>
        </w:rPr>
        <w:footnoteRef/>
      </w:r>
      <w:r>
        <w:t xml:space="preserve"> </w:t>
      </w:r>
      <w:r>
        <w:rPr>
          <w:i/>
        </w:rPr>
        <w:t xml:space="preserve">State ex rel. Ebke v. Board of Educational Lands &amp; Funds</w:t>
      </w:r>
      <w:r>
        <w:t xml:space="preserve">, 154 Neb. 244, 47 N.W.2d 520 (1951)</w:t>
      </w:r>
      <w:r>
        <w:t xml:space="preserve"> </w:t>
      </w:r>
      <w:r>
        <w:t xml:space="preserve">[@ebke-1951]</w:t>
      </w:r>
      <w:r>
        <w:t xml:space="preserve">.</w:t>
      </w:r>
    </w:p>
  </w:footnote>
  <w:footnote w:id="298">
    <w:p>
      <w:pPr>
        <w:pStyle w:val="FootnoteText"/>
      </w:pPr>
      <w:r>
        <w:rPr>
          <w:rStyle w:val="FootnoteReference"/>
        </w:rPr>
        <w:footnoteRef/>
      </w:r>
      <w:r>
        <w:t xml:space="preserve"> </w:t>
      </w:r>
      <w:r>
        <w:rPr>
          <w:i/>
        </w:rPr>
        <w:t xml:space="preserve">Jerke v. State Dept. of Lands</w:t>
      </w:r>
      <w:r>
        <w:t xml:space="preserve">, 597 P.2d 49 (Mont. 1979)</w:t>
      </w:r>
      <w:r>
        <w:t xml:space="preserve"> </w:t>
      </w:r>
      <w:r>
        <w:t xml:space="preserve">[@jerke-1979]</w:t>
      </w:r>
      <w:r>
        <w:t xml:space="preserve">.</w:t>
      </w:r>
    </w:p>
  </w:footnote>
  <w:footnote w:id="299">
    <w:p>
      <w:pPr>
        <w:pStyle w:val="FootnoteText"/>
      </w:pPr>
      <w:r>
        <w:rPr>
          <w:rStyle w:val="FootnoteReference"/>
        </w:rPr>
        <w:footnoteRef/>
      </w:r>
      <w:r>
        <w:t xml:space="preserve"> </w:t>
      </w:r>
      <w:r>
        <w:rPr>
          <w:i/>
        </w:rPr>
        <w:t xml:space="preserve">Idaho Watersheds Project</w:t>
      </w:r>
      <w:r>
        <w:t xml:space="preserve">, 133 Idaho 64, 982 P.2d 367 (1999)</w:t>
      </w:r>
      <w:r>
        <w:t xml:space="preserve"> </w:t>
      </w:r>
      <w:r>
        <w:t xml:space="preserve">[@idaho-watersheds-1999]</w:t>
      </w:r>
      <w:r>
        <w:t xml:space="preserve">. The competitive-disposition default and its appraisal machinery are developed in Chapters 9 and 11.</w:t>
      </w:r>
    </w:p>
  </w:footnote>
  <w:footnote w:id="301">
    <w:p>
      <w:pPr>
        <w:pStyle w:val="FootnoteText"/>
      </w:pPr>
      <w:r>
        <w:rPr>
          <w:rStyle w:val="FootnoteReference"/>
        </w:rPr>
        <w:footnoteRef/>
      </w:r>
      <w:r>
        <w:t xml:space="preserve"> </w:t>
      </w:r>
      <w:r>
        <w:rPr>
          <w:i/>
        </w:rPr>
        <w:t xml:space="preserve">Cascadia Wildlands</w:t>
      </w:r>
      <w:r>
        <w:t xml:space="preserve">, 365 Or 750 (2019)</w:t>
      </w:r>
      <w:r>
        <w:t xml:space="preserve"> </w:t>
      </w:r>
      <w:r>
        <w:t xml:space="preserve">[@cascadia-2019]</w:t>
      </w:r>
      <w:r>
        <w:t xml:space="preserve">.</w:t>
      </w:r>
    </w:p>
  </w:footnote>
  <w:footnote w:id="302">
    <w:p>
      <w:pPr>
        <w:pStyle w:val="FootnoteText"/>
      </w:pPr>
      <w:r>
        <w:rPr>
          <w:rStyle w:val="FootnoteReference"/>
        </w:rPr>
        <w:footnoteRef/>
      </w:r>
      <w:r>
        <w:t xml:space="preserve"> </w:t>
      </w:r>
      <w:r>
        <w:rPr>
          <w:i/>
        </w:rPr>
        <w:t xml:space="preserve">Id.</w:t>
      </w:r>
      <w:r>
        <w:t xml:space="preserve"> </w:t>
      </w:r>
      <w:r>
        <w:t xml:space="preserve">at 766</w:t>
      </w:r>
      <w:r>
        <w:t xml:space="preserve"> </w:t>
      </w:r>
      <w:r>
        <w:t xml:space="preserve">[@cascadia-2019]</w:t>
      </w:r>
      <w:r>
        <w:t xml:space="preserve">; § 7.2.</w:t>
      </w:r>
    </w:p>
  </w:footnote>
  <w:footnote w:id="303">
    <w:p>
      <w:pPr>
        <w:pStyle w:val="FootnoteText"/>
      </w:pPr>
      <w:r>
        <w:rPr>
          <w:rStyle w:val="FootnoteReference"/>
        </w:rPr>
        <w:footnoteRef/>
      </w:r>
      <w:r>
        <w:t xml:space="preserve"> </w:t>
      </w:r>
      <w:r>
        <w:rPr>
          <w:i/>
        </w:rPr>
        <w:t xml:space="preserve">Johnson</w:t>
      </w:r>
      <w:r>
        <w:t xml:space="preserve">, 292 Or 373, 382 (1982)</w:t>
      </w:r>
      <w:r>
        <w:t xml:space="preserve"> </w:t>
      </w:r>
      <w:r>
        <w:t xml:space="preserve">[@johnson-1982]</w:t>
      </w:r>
      <w:r>
        <w:t xml:space="preserve">; 42 Op Atty Gen 260 (Or. 1982)</w:t>
      </w:r>
      <w:r>
        <w:t xml:space="preserve"> </w:t>
      </w:r>
      <w:r>
        <w:t xml:space="preserve">[@ag-or-8097-1982]</w:t>
      </w:r>
      <w:r>
        <w:t xml:space="preserve">; 38 Op Atty Gen 850 (Or. 1977)</w:t>
      </w:r>
      <w:r>
        <w:t xml:space="preserve"> </w:t>
      </w:r>
      <w:r>
        <w:t xml:space="preserve">[@ag-or-7450-1977]</w:t>
      </w:r>
      <w:r>
        <w:t xml:space="preserve">.</w:t>
      </w:r>
    </w:p>
  </w:footnote>
  <w:footnote w:id="304">
    <w:p>
      <w:pPr>
        <w:pStyle w:val="FootnoteText"/>
      </w:pPr>
      <w:r>
        <w:rPr>
          <w:rStyle w:val="FootnoteReference"/>
        </w:rPr>
        <w:footnoteRef/>
      </w:r>
      <w:r>
        <w:t xml:space="preserve"> </w:t>
      </w:r>
      <w:r>
        <w:rPr>
          <w:i/>
        </w:rPr>
        <w:t xml:space="preserve">NPCA</w:t>
      </w:r>
      <w:r>
        <w:t xml:space="preserve">, 869 P.2d 909 (Utah 1993)</w:t>
      </w:r>
      <w:r>
        <w:t xml:space="preserve"> </w:t>
      </w:r>
      <w:r>
        <w:t xml:space="preserve">[@npca-1993]</w:t>
      </w:r>
      <w:r>
        <w:t xml:space="preserve">.</w:t>
      </w:r>
    </w:p>
  </w:footnote>
  <w:footnote w:id="305">
    <w:p>
      <w:pPr>
        <w:pStyle w:val="FootnoteText"/>
      </w:pPr>
      <w:r>
        <w:rPr>
          <w:rStyle w:val="FootnoteReference"/>
        </w:rPr>
        <w:footnoteRef/>
      </w:r>
      <w:r>
        <w:t xml:space="preserve"> </w:t>
      </w:r>
      <w:r>
        <w:t xml:space="preserve">46 Op Atty Gen 208, Op. No. 8201 (Or. 1989)</w:t>
      </w:r>
      <w:r>
        <w:t xml:space="preserve"> </w:t>
      </w:r>
      <w:r>
        <w:t xml:space="preserve">[@ag-or-8201-1989]</w:t>
      </w:r>
      <w:r>
        <w:t xml:space="preserve">; the title analysis is § 5.2.</w:t>
      </w:r>
    </w:p>
  </w:footnote>
  <w:footnote w:id="307">
    <w:p>
      <w:pPr>
        <w:pStyle w:val="FootnoteText"/>
      </w:pPr>
      <w:r>
        <w:rPr>
          <w:rStyle w:val="FootnoteReference"/>
        </w:rPr>
        <w:footnoteRef/>
      </w:r>
      <w:r>
        <w:t xml:space="preserve"> </w:t>
      </w:r>
      <w:r>
        <w:t xml:space="preserve">§ 7.1 and the authorities collected at notes 1–6.</w:t>
      </w:r>
    </w:p>
  </w:footnote>
  <w:footnote w:id="308">
    <w:p>
      <w:pPr>
        <w:pStyle w:val="FootnoteText"/>
      </w:pPr>
      <w:r>
        <w:rPr>
          <w:rStyle w:val="FootnoteReference"/>
        </w:rPr>
        <w:footnoteRef/>
      </w:r>
      <w:r>
        <w:t xml:space="preserve"> </w:t>
      </w:r>
      <w:r>
        <w:t xml:space="preserve">§ 7.2 and the authorities collected at note 8.</w:t>
      </w:r>
    </w:p>
  </w:footnote>
  <w:footnote w:id="309">
    <w:p>
      <w:pPr>
        <w:pStyle w:val="FootnoteText"/>
      </w:pPr>
      <w:r>
        <w:rPr>
          <w:rStyle w:val="FootnoteReference"/>
        </w:rPr>
        <w:footnoteRef/>
      </w:r>
      <w:r>
        <w:t xml:space="preserve"> </w:t>
      </w:r>
      <w:r>
        <w:t xml:space="preserve">§ 7.3 and the authorities collected at notes 13–15.</w:t>
      </w:r>
    </w:p>
  </w:footnote>
  <w:footnote w:id="310">
    <w:p>
      <w:pPr>
        <w:pStyle w:val="FootnoteText"/>
      </w:pPr>
      <w:r>
        <w:rPr>
          <w:rStyle w:val="FootnoteReference"/>
        </w:rPr>
        <w:footnoteRef/>
      </w:r>
      <w:r>
        <w:t xml:space="preserve"> </w:t>
      </w:r>
      <w:r>
        <w:t xml:space="preserve">§§ 7.4–7.5 and the authorities collected at notes 16–22.</w:t>
      </w:r>
    </w:p>
  </w:footnote>
  <w:footnote w:id="311">
    <w:p>
      <w:pPr>
        <w:pStyle w:val="FootnoteText"/>
      </w:pPr>
      <w:r>
        <w:rPr>
          <w:rStyle w:val="FootnoteReference"/>
        </w:rPr>
        <w:footnoteRef/>
      </w:r>
      <w:r>
        <w:t xml:space="preserve"> </w:t>
      </w:r>
      <w:r>
        <w:t xml:space="preserve">§ 7.6 and the authorities collected at notes 23–27.</w:t>
      </w:r>
    </w:p>
  </w:footnote>
  <w:footnote w:id="314">
    <w:p>
      <w:pPr>
        <w:pStyle w:val="FootnoteText"/>
      </w:pPr>
      <w:r>
        <w:rPr>
          <w:rStyle w:val="FootnoteReference"/>
        </w:rPr>
        <w:footnoteRef/>
      </w:r>
      <w:r>
        <w:t xml:space="preserve"> </w:t>
      </w:r>
      <w:r>
        <w:rPr>
          <w:i/>
        </w:rPr>
        <w:t xml:space="preserve">Andrus v. Utah</w:t>
      </w:r>
      <w:r>
        <w:t xml:space="preserve">, 446 U.S. 500, 522-23 (1980) (Powell, J., dissenting)</w:t>
      </w:r>
      <w:r>
        <w:t xml:space="preserve"> </w:t>
      </w:r>
      <w:r>
        <w:t xml:space="preserve">[@andrus-1980]</w:t>
      </w:r>
      <w:r>
        <w:t xml:space="preserve">; the majority’s framing — a</w:t>
      </w:r>
      <w:r>
        <w:t xml:space="preserve"> </w:t>
      </w:r>
      <w:r>
        <w:t xml:space="preserve">“</w:t>
      </w:r>
      <w:r>
        <w:t xml:space="preserve">solemn agreement</w:t>
      </w:r>
      <w:r>
        <w:t xml:space="preserve">”</w:t>
      </w:r>
      <w:r>
        <w:t xml:space="preserve"> </w:t>
      </w:r>
      <w:r>
        <w:t xml:space="preserve">whose indemnity right gives the state</w:t>
      </w:r>
      <w:r>
        <w:t xml:space="preserve"> </w:t>
      </w:r>
      <w:r>
        <w:t xml:space="preserve">“</w:t>
      </w:r>
      <w:r>
        <w:t xml:space="preserve">the benefit of the bargain</w:t>
      </w:r>
      <w:r>
        <w:t xml:space="preserve">”</w:t>
      </w:r>
      <w:r>
        <w:t xml:space="preserve"> </w:t>
      </w:r>
      <w:r>
        <w:t xml:space="preserve">— carries the same permanence. The Powell formulation entered Oregon doctrine through</w:t>
      </w:r>
      <w:r>
        <w:t xml:space="preserve"> </w:t>
      </w:r>
      <w:r>
        <w:rPr>
          <w:i/>
        </w:rPr>
        <w:t xml:space="preserve">Cascadia Wildlands v. Department of State Lands</w:t>
      </w:r>
      <w:r>
        <w:t xml:space="preserve">, 365 Or 750, 752 n.1 (2019)</w:t>
      </w:r>
      <w:r>
        <w:t xml:space="preserve"> </w:t>
      </w:r>
      <w:r>
        <w:t xml:space="preserve">[@cascadia-2019]</w:t>
      </w:r>
      <w:r>
        <w:t xml:space="preserve">.</w:t>
      </w:r>
    </w:p>
  </w:footnote>
  <w:footnote w:id="315">
    <w:p>
      <w:pPr>
        <w:pStyle w:val="FootnoteText"/>
      </w:pPr>
      <w:r>
        <w:rPr>
          <w:rStyle w:val="FootnoteReference"/>
        </w:rPr>
        <w:footnoteRef/>
      </w:r>
      <w:r>
        <w:t xml:space="preserve"> </w:t>
      </w:r>
      <w:r>
        <w:t xml:space="preserve">The perpetual-obligation framing, collected by state:</w:t>
      </w:r>
      <w:r>
        <w:t xml:space="preserve"> </w:t>
      </w:r>
      <w:r>
        <w:rPr>
          <w:b/>
        </w:rPr>
        <w:t xml:space="preserve">South Dakota</w:t>
      </w:r>
      <w:r>
        <w:t xml:space="preserve"> </w:t>
      </w:r>
      <w:r>
        <w:t xml:space="preserve">—</w:t>
      </w:r>
      <w:r>
        <w:t xml:space="preserve"> </w:t>
      </w:r>
      <w:r>
        <w:rPr>
          <w:i/>
        </w:rPr>
        <w:t xml:space="preserve">Kanaly v. State ex rel. Janklow</w:t>
      </w:r>
      <w:r>
        <w:t xml:space="preserve">, 368 N.W.2d 819, 823 (S.D. 1985)</w:t>
      </w:r>
      <w:r>
        <w:t xml:space="preserve"> </w:t>
      </w:r>
      <w:r>
        <w:t xml:space="preserve">[@kanaly-1985]</w:t>
      </w:r>
      <w:r>
        <w:t xml:space="preserve">;</w:t>
      </w:r>
      <w:r>
        <w:t xml:space="preserve"> </w:t>
      </w:r>
      <w:r>
        <w:rPr>
          <w:b/>
        </w:rPr>
        <w:t xml:space="preserve">Nebraska</w:t>
      </w:r>
      <w:r>
        <w:t xml:space="preserve"> </w:t>
      </w:r>
      <w:r>
        <w:t xml:space="preserve">—</w:t>
      </w:r>
      <w:r>
        <w:t xml:space="preserve"> </w:t>
      </w:r>
      <w:r>
        <w:rPr>
          <w:i/>
        </w:rPr>
        <w:t xml:space="preserve">State v. Platte Valley Public Power &amp; Irrigation District</w:t>
      </w:r>
      <w:r>
        <w:t xml:space="preserve">, 147 Neb. 289, 296, 23 N.W.2d 300 (1946)</w:t>
      </w:r>
      <w:r>
        <w:t xml:space="preserve"> </w:t>
      </w:r>
      <w:r>
        <w:t xml:space="preserve">[@platte-valley-1946]</w:t>
      </w:r>
      <w:r>
        <w:t xml:space="preserve"> </w:t>
      </w:r>
      <w:r>
        <w:t xml:space="preserve">(school lands</w:t>
      </w:r>
      <w:r>
        <w:t xml:space="preserve"> </w:t>
      </w:r>
      <w:r>
        <w:t xml:space="preserve">“</w:t>
      </w:r>
      <w:r>
        <w:t xml:space="preserve">held in trust by the state under a contractual and constitutional obligation,</w:t>
      </w:r>
      <w:r>
        <w:t xml:space="preserve">”</w:t>
      </w:r>
      <w:r>
        <w:t xml:space="preserve"> </w:t>
      </w:r>
      <w:r>
        <w:t xml:space="preserve">147 Neb. at 296);</w:t>
      </w:r>
      <w:r>
        <w:t xml:space="preserve"> </w:t>
      </w:r>
      <w:r>
        <w:rPr>
          <w:b/>
        </w:rPr>
        <w:t xml:space="preserve">Federal (Utah)</w:t>
      </w:r>
      <w:r>
        <w:t xml:space="preserve"> </w:t>
      </w:r>
      <w:r>
        <w:t xml:space="preserve">—</w:t>
      </w:r>
      <w:r>
        <w:t xml:space="preserve"> </w:t>
      </w:r>
      <w:r>
        <w:rPr>
          <w:i/>
        </w:rPr>
        <w:t xml:space="preserve">State of Utah v. Kleppe</w:t>
      </w:r>
      <w:r>
        <w:t xml:space="preserve">, 586 F.2d 756 (10th Cir. 1978)</w:t>
      </w:r>
      <w:r>
        <w:t xml:space="preserve"> </w:t>
      </w:r>
      <w:r>
        <w:t xml:space="preserve">[@kleppe-1978]</w:t>
      </w:r>
      <w:r>
        <w:t xml:space="preserve"> </w:t>
      </w:r>
      <w:r>
        <w:t xml:space="preserve">(the grants</w:t>
      </w:r>
      <w:r>
        <w:t xml:space="preserve"> </w:t>
      </w:r>
      <w:r>
        <w:t xml:space="preserve">“</w:t>
      </w:r>
      <w:r>
        <w:t xml:space="preserve">created a binding permanent trust which would generate financial aid to support the public school systems</w:t>
      </w:r>
      <w:r>
        <w:t xml:space="preserve">”</w:t>
      </w:r>
      <w:r>
        <w:t xml:space="preserve">);</w:t>
      </w:r>
      <w:r>
        <w:t xml:space="preserve"> </w:t>
      </w:r>
      <w:r>
        <w:rPr>
          <w:b/>
        </w:rPr>
        <w:t xml:space="preserve">Oklahoma</w:t>
      </w:r>
      <w:r>
        <w:t xml:space="preserve"> </w:t>
      </w:r>
      <w:r>
        <w:t xml:space="preserve">—</w:t>
      </w:r>
      <w:r>
        <w:t xml:space="preserve"> </w:t>
      </w:r>
      <w:r>
        <w:rPr>
          <w:i/>
        </w:rPr>
        <w:t xml:space="preserve">Oklahoma Education Ass’n, Inc. v. Nigh</w:t>
      </w:r>
      <w:r>
        <w:t xml:space="preserve">, 642 P.2d 230 (Okla. 1982)</w:t>
      </w:r>
      <w:r>
        <w:t xml:space="preserve"> </w:t>
      </w:r>
      <w:r>
        <w:t xml:space="preserve">[@nigh-1982]</w:t>
      </w:r>
      <w:r>
        <w:t xml:space="preserve"> </w:t>
      </w:r>
      <w:r>
        <w:t xml:space="preserve">(a perpetual covenant binding successive legislatures).</w:t>
      </w:r>
    </w:p>
  </w:footnote>
  <w:footnote w:id="316">
    <w:p>
      <w:pPr>
        <w:pStyle w:val="FootnoteText"/>
      </w:pPr>
      <w:r>
        <w:rPr>
          <w:rStyle w:val="FootnoteReference"/>
        </w:rPr>
        <w:footnoteRef/>
      </w:r>
      <w:r>
        <w:t xml:space="preserve"> </w:t>
      </w:r>
      <w:r>
        <w:rPr>
          <w:i/>
        </w:rPr>
        <w:t xml:space="preserve">Kanaly v. State ex rel. Janklow</w:t>
      </w:r>
      <w:r>
        <w:t xml:space="preserve">, 368 N.W.2d 819, 823 (S.D. 1985)</w:t>
      </w:r>
      <w:r>
        <w:t xml:space="preserve"> </w:t>
      </w:r>
      <w:r>
        <w:t xml:space="preserve">[@kanaly-1985]</w:t>
      </w:r>
      <w:r>
        <w:t xml:space="preserve">.</w:t>
      </w:r>
    </w:p>
  </w:footnote>
  <w:footnote w:id="318">
    <w:p>
      <w:pPr>
        <w:pStyle w:val="FootnoteText"/>
      </w:pPr>
      <w:r>
        <w:rPr>
          <w:rStyle w:val="FootnoteReference"/>
        </w:rPr>
        <w:footnoteRef/>
      </w:r>
      <w:r>
        <w:t xml:space="preserve"> </w:t>
      </w:r>
      <w:r>
        <w:t xml:space="preserve">Omnibus Enabling Act of Feb. 22, 1889, 25 Stat. 676</w:t>
      </w:r>
      <w:r>
        <w:t xml:space="preserve"> </w:t>
      </w:r>
      <w:r>
        <w:t xml:space="preserve">[@act-omnibus-1889]</w:t>
      </w:r>
      <w:r>
        <w:t xml:space="preserve"> </w:t>
      </w:r>
      <w:r>
        <w:t xml:space="preserve">(Montana, North Dakota, South Dakota, Washington); accord Utah Enabling Act of July 16, 1894, 28 Stat. 107</w:t>
      </w:r>
      <w:r>
        <w:t xml:space="preserve"> </w:t>
      </w:r>
      <w:r>
        <w:t xml:space="preserve">[@act-utah-1894]</w:t>
      </w:r>
      <w:r>
        <w:t xml:space="preserve"> </w:t>
      </w:r>
      <w:r>
        <w:t xml:space="preserve">(perpetual fund); Oklahoma Enabling Act of June 16, 1906, 34 Stat. 267</w:t>
      </w:r>
      <w:r>
        <w:t xml:space="preserve"> </w:t>
      </w:r>
      <w:r>
        <w:t xml:space="preserve">[@act-oklahoma-1906]</w:t>
      </w:r>
      <w:r>
        <w:t xml:space="preserve"> </w:t>
      </w:r>
      <w:r>
        <w:t xml:space="preserve">(permanent fund). The instrument survey is Chapter 2; the parallel instruments are collected in Appendix B.</w:t>
      </w:r>
    </w:p>
  </w:footnote>
  <w:footnote w:id="319">
    <w:p>
      <w:pPr>
        <w:pStyle w:val="FootnoteText"/>
      </w:pPr>
      <w:r>
        <w:rPr>
          <w:rStyle w:val="FootnoteReference"/>
        </w:rPr>
        <w:footnoteRef/>
      </w:r>
      <w:r>
        <w:t xml:space="preserve"> </w:t>
      </w:r>
      <w:r>
        <w:t xml:space="preserve">Mont. Const. art. X, § 3</w:t>
      </w:r>
      <w:r>
        <w:t xml:space="preserve"> </w:t>
      </w:r>
      <w:r>
        <w:t xml:space="preserve">[@const-mt-art10]</w:t>
      </w:r>
      <w:r>
        <w:t xml:space="preserve">.</w:t>
      </w:r>
    </w:p>
  </w:footnote>
  <w:footnote w:id="320">
    <w:p>
      <w:pPr>
        <w:pStyle w:val="FootnoteText"/>
      </w:pPr>
      <w:r>
        <w:rPr>
          <w:rStyle w:val="FootnoteReference"/>
        </w:rPr>
        <w:footnoteRef/>
      </w:r>
      <w:r>
        <w:t xml:space="preserve"> </w:t>
      </w:r>
      <w:r>
        <w:t xml:space="preserve">Or. Const. art. VIII, § 2</w:t>
      </w:r>
      <w:r>
        <w:t xml:space="preserve"> </w:t>
      </w:r>
      <w:r>
        <w:t xml:space="preserve">[@const-or-art8]</w:t>
      </w:r>
      <w:r>
        <w:t xml:space="preserve">.</w:t>
      </w:r>
    </w:p>
  </w:footnote>
  <w:footnote w:id="321">
    <w:p>
      <w:pPr>
        <w:pStyle w:val="FootnoteText"/>
      </w:pPr>
      <w:r>
        <w:rPr>
          <w:rStyle w:val="FootnoteReference"/>
        </w:rPr>
        <w:footnoteRef/>
      </w:r>
      <w:r>
        <w:t xml:space="preserve"> </w:t>
      </w:r>
      <w:r>
        <w:t xml:space="preserve">Idaho Const. art. IX, § 4</w:t>
      </w:r>
      <w:r>
        <w:t xml:space="preserve"> </w:t>
      </w:r>
      <w:r>
        <w:t xml:space="preserve">[@const-id-art9]</w:t>
      </w:r>
      <w:r>
        <w:t xml:space="preserve">.</w:t>
      </w:r>
    </w:p>
  </w:footnote>
  <w:footnote w:id="322">
    <w:p>
      <w:pPr>
        <w:pStyle w:val="FootnoteText"/>
      </w:pPr>
      <w:r>
        <w:rPr>
          <w:rStyle w:val="FootnoteReference"/>
        </w:rPr>
        <w:footnoteRef/>
      </w:r>
      <w:r>
        <w:t xml:space="preserve"> </w:t>
      </w:r>
      <w:r>
        <w:t xml:space="preserve">Neb. Const. art. VII, § 9</w:t>
      </w:r>
      <w:r>
        <w:t xml:space="preserve"> </w:t>
      </w:r>
      <w:r>
        <w:t xml:space="preserve">[@const-ne-art7]</w:t>
      </w:r>
      <w:r>
        <w:t xml:space="preserve"> </w:t>
      </w:r>
      <w:r>
        <w:t xml:space="preserve">(renumbering noted in the project files);</w:t>
      </w:r>
      <w:r>
        <w:t xml:space="preserve"> </w:t>
      </w:r>
      <w:r>
        <w:rPr>
          <w:i/>
        </w:rPr>
        <w:t xml:space="preserve">State ex rel. Ebke v. Board of Educational Lands &amp; Funds</w:t>
      </w:r>
      <w:r>
        <w:t xml:space="preserve">, 154 Neb. 244, 47 N.W.2d 520 (1951)</w:t>
      </w:r>
      <w:r>
        <w:t xml:space="preserve"> </w:t>
      </w:r>
      <w:r>
        <w:t xml:space="preserve">[@ebke-1951]</w:t>
      </w:r>
      <w:r>
        <w:t xml:space="preserve">; § 4.3.</w:t>
      </w:r>
    </w:p>
  </w:footnote>
  <w:footnote w:id="323">
    <w:p>
      <w:pPr>
        <w:pStyle w:val="FootnoteText"/>
      </w:pPr>
      <w:r>
        <w:rPr>
          <w:rStyle w:val="FootnoteReference"/>
        </w:rPr>
        <w:footnoteRef/>
      </w:r>
      <w:r>
        <w:t xml:space="preserve"> </w:t>
      </w:r>
      <w:r>
        <w:rPr>
          <w:i/>
        </w:rPr>
        <w:t xml:space="preserve">Alamo Land &amp; Cattle Co. v. Arizona</w:t>
      </w:r>
      <w:r>
        <w:t xml:space="preserve">, 424 U.S. 295 (1976)</w:t>
      </w:r>
      <w:r>
        <w:t xml:space="preserve"> </w:t>
      </w:r>
      <w:r>
        <w:t xml:space="preserve">[@alamo-1976]</w:t>
      </w:r>
      <w:r>
        <w:t xml:space="preserve">; New Mexico–Arizona Enabling Act § 10, 36 Stat. 557 (1910)</w:t>
      </w:r>
      <w:r>
        <w:t xml:space="preserve"> </w:t>
      </w:r>
      <w:r>
        <w:t xml:space="preserve">[@act-nm-az-1910]</w:t>
      </w:r>
      <w:r>
        <w:t xml:space="preserve"> </w:t>
      </w:r>
      <w:r>
        <w:t xml:space="preserve">(proceeds</w:t>
      </w:r>
      <w:r>
        <w:t xml:space="preserve"> </w:t>
      </w:r>
      <w:r>
        <w:t xml:space="preserve">“</w:t>
      </w:r>
      <w:r>
        <w:t xml:space="preserve">subject to the same trusts as the lands producing the same</w:t>
      </w:r>
      <w:r>
        <w:t xml:space="preserve">”</w:t>
      </w:r>
      <w:r>
        <w:t xml:space="preserve">); § 4.6(f).</w:t>
      </w:r>
    </w:p>
  </w:footnote>
  <w:footnote w:id="324">
    <w:p>
      <w:pPr>
        <w:pStyle w:val="FootnoteText"/>
      </w:pPr>
      <w:r>
        <w:rPr>
          <w:rStyle w:val="FootnoteReference"/>
        </w:rPr>
        <w:footnoteRef/>
      </w:r>
      <w:r>
        <w:t xml:space="preserve"> </w:t>
      </w:r>
      <w:r>
        <w:rPr>
          <w:i/>
        </w:rPr>
        <w:t xml:space="preserve">State v. Platte Valley Public Power &amp; Irrigation District</w:t>
      </w:r>
      <w:r>
        <w:t xml:space="preserve">, 147 Neb. 289, 23 N.W.2d 300 (1946)</w:t>
      </w:r>
      <w:r>
        <w:t xml:space="preserve"> </w:t>
      </w:r>
      <w:r>
        <w:t xml:space="preserve">[@platte-valley-1946]</w:t>
      </w:r>
      <w:r>
        <w:t xml:space="preserve"> </w:t>
      </w:r>
      <w:r>
        <w:t xml:space="preserve">(L0 stub; full opinion not yet pulled).</w:t>
      </w:r>
    </w:p>
  </w:footnote>
  <w:footnote w:id="325">
    <w:p>
      <w:pPr>
        <w:pStyle w:val="FootnoteText"/>
      </w:pPr>
      <w:r>
        <w:rPr>
          <w:rStyle w:val="FootnoteReference"/>
        </w:rPr>
        <w:footnoteRef/>
      </w:r>
      <w:r>
        <w:t xml:space="preserve"> </w:t>
      </w:r>
      <w:r>
        <w:t xml:space="preserve">Op. No. 8279 (Or. Att’y Gen. 2003)</w:t>
      </w:r>
      <w:r>
        <w:t xml:space="preserve"> </w:t>
      </w:r>
      <w:r>
        <w:t xml:space="preserve">[@ag-or-8279-2003]</w:t>
      </w:r>
      <w:r>
        <w:t xml:space="preserve">. A 1989 Oregon opinion on investment income and operating expenses (46 Op Atty Gen 306) is identified in the project files but not yet pulled [VERIFY on pull; Register § 4.2].</w:t>
      </w:r>
    </w:p>
  </w:footnote>
  <w:footnote w:id="327">
    <w:p>
      <w:pPr>
        <w:pStyle w:val="FootnoteText"/>
      </w:pPr>
      <w:r>
        <w:rPr>
          <w:rStyle w:val="FootnoteReference"/>
        </w:rPr>
        <w:footnoteRef/>
      </w:r>
      <w:r>
        <w:t xml:space="preserve"> </w:t>
      </w:r>
      <w:r>
        <w:rPr>
          <w:i/>
        </w:rPr>
        <w:t xml:space="preserve">Montanans for the Responsible Use of the School Trust v. Darkenwald</w:t>
      </w:r>
      <w:r>
        <w:t xml:space="preserve">, 2005 MT 190, 328 Mont. 105, 119 P.3d 27</w:t>
      </w:r>
      <w:r>
        <w:t xml:space="preserve"> </w:t>
      </w:r>
      <w:r>
        <w:t xml:space="preserve">[@darkenwald-2005]</w:t>
      </w:r>
      <w:r>
        <w:t xml:space="preserve"> </w:t>
      </w:r>
      <w:r>
        <w:t xml:space="preserve">(Nelson, J., dissenting, joined by Cotter, J.). The</w:t>
      </w:r>
      <w:r>
        <w:t xml:space="preserve"> </w:t>
      </w:r>
      <w:r>
        <w:t xml:space="preserve">“</w:t>
      </w:r>
      <w:r>
        <w:t xml:space="preserve">robs Peter … to pay Paul</w:t>
      </w:r>
      <w:r>
        <w:t xml:space="preserve">”</w:t>
      </w:r>
      <w:r>
        <w:t xml:space="preserve"> </w:t>
      </w:r>
      <w:r>
        <w:t xml:space="preserve">language is at ¶ 71; the dissent’s documented net loss is $94,695,764 (¶ 85), characterized as</w:t>
      </w:r>
      <w:r>
        <w:t xml:space="preserve"> </w:t>
      </w:r>
      <w:r>
        <w:t xml:space="preserve">“</w:t>
      </w:r>
      <w:r>
        <w:t xml:space="preserve">over $94.6 million in a thirty year period</w:t>
      </w:r>
      <w:r>
        <w:t xml:space="preserve">”</w:t>
      </w:r>
      <w:r>
        <w:t xml:space="preserve"> </w:t>
      </w:r>
      <w:r>
        <w:t xml:space="preserve">(¶ 89) and dissipation</w:t>
      </w:r>
      <w:r>
        <w:t xml:space="preserve"> </w:t>
      </w:r>
      <w:r>
        <w:t xml:space="preserve">“</w:t>
      </w:r>
      <w:r>
        <w:t xml:space="preserve">over a period of thirty years … in excess of $94.6 million</w:t>
      </w:r>
      <w:r>
        <w:t xml:space="preserve">”</w:t>
      </w:r>
      <w:r>
        <w:t xml:space="preserve"> </w:t>
      </w:r>
      <w:r>
        <w:t xml:space="preserve">(¶ 93). Verified against the full dissent (appended to the L0 entry; CourtListener dissent opinion ID 9511444). The majority (Morris, J.) sustained the transaction; the figures and the impartiality framing are the dissent’s.</w:t>
      </w:r>
    </w:p>
  </w:footnote>
  <w:footnote w:id="328">
    <w:p>
      <w:pPr>
        <w:pStyle w:val="FootnoteText"/>
      </w:pPr>
      <w:r>
        <w:rPr>
          <w:rStyle w:val="FootnoteReference"/>
        </w:rPr>
        <w:footnoteRef/>
      </w:r>
      <w:r>
        <w:t xml:space="preserve"> </w:t>
      </w:r>
      <w:r>
        <w:t xml:space="preserve">Counter-authority collected by state (statutes struck rather than sustained):</w:t>
      </w:r>
      <w:r>
        <w:t xml:space="preserve"> </w:t>
      </w:r>
      <w:r>
        <w:rPr>
          <w:b/>
        </w:rPr>
        <w:t xml:space="preserve">Montana</w:t>
      </w:r>
      <w:r>
        <w:t xml:space="preserve"> </w:t>
      </w:r>
      <w:r>
        <w:t xml:space="preserve">—</w:t>
      </w:r>
      <w:r>
        <w:t xml:space="preserve"> </w:t>
      </w:r>
      <w:r>
        <w:rPr>
          <w:i/>
        </w:rPr>
        <w:t xml:space="preserve">Montanans for the Responsible Use of the School Trust v. State</w:t>
      </w:r>
      <w:r>
        <w:t xml:space="preserve">, 1999 MT 263</w:t>
      </w:r>
      <w:r>
        <w:t xml:space="preserve"> </w:t>
      </w:r>
      <w:r>
        <w:t xml:space="preserve">[@montrust-1999]</w:t>
      </w:r>
      <w:r>
        <w:t xml:space="preserve">;</w:t>
      </w:r>
      <w:r>
        <w:t xml:space="preserve"> </w:t>
      </w:r>
      <w:r>
        <w:rPr>
          <w:b/>
        </w:rPr>
        <w:t xml:space="preserve">Nebraska</w:t>
      </w:r>
      <w:r>
        <w:t xml:space="preserve"> </w:t>
      </w:r>
      <w:r>
        <w:t xml:space="preserve">—</w:t>
      </w:r>
      <w:r>
        <w:t xml:space="preserve"> </w:t>
      </w:r>
      <w:r>
        <w:rPr>
          <w:i/>
        </w:rPr>
        <w:t xml:space="preserve">Ebke</w:t>
      </w:r>
      <w:r>
        <w:t xml:space="preserve">, 154 Neb. 244 (1951)</w:t>
      </w:r>
      <w:r>
        <w:t xml:space="preserve"> </w:t>
      </w:r>
      <w:r>
        <w:t xml:space="preserve">[@ebke-1951]</w:t>
      </w:r>
      <w:r>
        <w:t xml:space="preserve">;</w:t>
      </w:r>
      <w:r>
        <w:t xml:space="preserve"> </w:t>
      </w:r>
      <w:r>
        <w:rPr>
          <w:b/>
        </w:rPr>
        <w:t xml:space="preserve">South Dakota</w:t>
      </w:r>
      <w:r>
        <w:t xml:space="preserve"> </w:t>
      </w:r>
      <w:r>
        <w:t xml:space="preserve">—</w:t>
      </w:r>
      <w:r>
        <w:t xml:space="preserve"> </w:t>
      </w:r>
      <w:r>
        <w:rPr>
          <w:i/>
        </w:rPr>
        <w:t xml:space="preserve">Kanaly</w:t>
      </w:r>
      <w:r>
        <w:t xml:space="preserve">, 368 N.W.2d 819 (S.D. 1985)</w:t>
      </w:r>
      <w:r>
        <w:t xml:space="preserve"> </w:t>
      </w:r>
      <w:r>
        <w:t xml:space="preserve">[@kanaly-1985]</w:t>
      </w:r>
      <w:r>
        <w:t xml:space="preserve"> </w:t>
      </w:r>
      <w:r>
        <w:t xml:space="preserve">(uncompensated inter-agency transfer);</w:t>
      </w:r>
      <w:r>
        <w:t xml:space="preserve"> </w:t>
      </w:r>
      <w:r>
        <w:rPr>
          <w:b/>
        </w:rPr>
        <w:t xml:space="preserve">Oklahoma</w:t>
      </w:r>
      <w:r>
        <w:t xml:space="preserve"> </w:t>
      </w:r>
      <w:r>
        <w:t xml:space="preserve">—</w:t>
      </w:r>
      <w:r>
        <w:t xml:space="preserve"> </w:t>
      </w:r>
      <w:r>
        <w:rPr>
          <w:i/>
        </w:rPr>
        <w:t xml:space="preserve">Nigh</w:t>
      </w:r>
      <w:r>
        <w:t xml:space="preserve">, 642 P.2d 230 (Okla. 1982)</w:t>
      </w:r>
      <w:r>
        <w:t xml:space="preserve"> </w:t>
      </w:r>
      <w:r>
        <w:t xml:space="preserve">[@nigh-1982]</w:t>
      </w:r>
      <w:r>
        <w:t xml:space="preserve">.</w:t>
      </w:r>
    </w:p>
  </w:footnote>
  <w:footnote w:id="329">
    <w:p>
      <w:pPr>
        <w:pStyle w:val="FootnoteText"/>
      </w:pPr>
      <w:r>
        <w:rPr>
          <w:rStyle w:val="FootnoteReference"/>
        </w:rPr>
        <w:footnoteRef/>
      </w:r>
      <w:r>
        <w:t xml:space="preserve"> </w:t>
      </w:r>
      <w:r>
        <w:rPr>
          <w:i/>
        </w:rPr>
        <w:t xml:space="preserve">Montanans for the Responsible Use of the School Trust v. State</w:t>
      </w:r>
      <w:r>
        <w:t xml:space="preserve">, 1999 MT 263</w:t>
      </w:r>
      <w:r>
        <w:t xml:space="preserve"> </w:t>
      </w:r>
      <w:r>
        <w:t xml:space="preserve">[@montrust-1999]</w:t>
      </w:r>
      <w:r>
        <w:t xml:space="preserve">.</w:t>
      </w:r>
    </w:p>
  </w:footnote>
  <w:footnote w:id="330">
    <w:p>
      <w:pPr>
        <w:pStyle w:val="FootnoteText"/>
      </w:pPr>
      <w:r>
        <w:rPr>
          <w:rStyle w:val="FootnoteReference"/>
        </w:rPr>
        <w:footnoteRef/>
      </w:r>
      <w:r>
        <w:t xml:space="preserve"> </w:t>
      </w:r>
      <w:r>
        <w:t xml:space="preserve">Accord cases on commingling-with-reconciliation not yet collected; see Architecture § C, verification wave 2.</w:t>
      </w:r>
    </w:p>
  </w:footnote>
  <w:footnote w:id="332">
    <w:p>
      <w:pPr>
        <w:pStyle w:val="FootnoteText"/>
      </w:pPr>
      <w:r>
        <w:rPr>
          <w:rStyle w:val="FootnoteReference"/>
        </w:rPr>
        <w:footnoteRef/>
      </w:r>
      <w:r>
        <w:t xml:space="preserve"> </w:t>
      </w:r>
      <w:r>
        <w:rPr>
          <w:i/>
        </w:rPr>
        <w:t xml:space="preserve">State v. Weiss</w:t>
      </w:r>
      <w:r>
        <w:t xml:space="preserve">, 706 P.2d 681, 683 (Alaska 1985)</w:t>
      </w:r>
      <w:r>
        <w:t xml:space="preserve"> </w:t>
      </w:r>
      <w:r>
        <w:t xml:space="preserve">[@weiss-1985]</w:t>
      </w:r>
      <w:r>
        <w:t xml:space="preserve"> </w:t>
      </w:r>
      <w:r>
        <w:t xml:space="preserve">(mental-health lands trust; corpus-preservation authority bridging to school-lands principles via its fn.3).</w:t>
      </w:r>
    </w:p>
  </w:footnote>
  <w:footnote w:id="333">
    <w:p>
      <w:pPr>
        <w:pStyle w:val="FootnoteText"/>
      </w:pPr>
      <w:r>
        <w:rPr>
          <w:rStyle w:val="FootnoteReference"/>
        </w:rPr>
        <w:footnoteRef/>
      </w:r>
      <w:r>
        <w:t xml:space="preserve"> </w:t>
      </w:r>
      <w:r>
        <w:t xml:space="preserve">Accord cases not yet collected by state; see Architecture § C, verification wave 2. Cognate authority:</w:t>
      </w:r>
      <w:r>
        <w:t xml:space="preserve"> </w:t>
      </w:r>
      <w:r>
        <w:rPr>
          <w:b/>
        </w:rPr>
        <w:t xml:space="preserve">Nebraska</w:t>
      </w:r>
      <w:r>
        <w:t xml:space="preserve"> </w:t>
      </w:r>
      <w:r>
        <w:t xml:space="preserve">—</w:t>
      </w:r>
      <w:r>
        <w:t xml:space="preserve"> </w:t>
      </w:r>
      <w:r>
        <w:rPr>
          <w:i/>
        </w:rPr>
        <w:t xml:space="preserve">Propst v. Board of Educational Lands &amp; Funds</w:t>
      </w:r>
      <w:r>
        <w:t xml:space="preserve">, 156 Neb. 226, 55 N.W.2d 653 (1952)</w:t>
      </w:r>
      <w:r>
        <w:t xml:space="preserve"> </w:t>
      </w:r>
      <w:r>
        <w:t xml:space="preserve">[@propst-1952]</w:t>
      </w:r>
      <w:r>
        <w:t xml:space="preserve"> </w:t>
      </w:r>
      <w:r>
        <w:t xml:space="preserve">(title held</w:t>
      </w:r>
      <w:r>
        <w:t xml:space="preserve"> </w:t>
      </w:r>
      <w:r>
        <w:t xml:space="preserve">“</w:t>
      </w:r>
      <w:r>
        <w:t xml:space="preserve">upon an express trust … with no right or power of the state to use, dispose of, or alienate the lands or any part thereof, except as allowed by the Enabling Act and the Constitution</w:t>
      </w:r>
      <w:r>
        <w:t xml:space="preserve">”</w:t>
      </w:r>
      <w:r>
        <w:t xml:space="preserve">).</w:t>
      </w:r>
    </w:p>
  </w:footnote>
  <w:footnote w:id="334">
    <w:p>
      <w:pPr>
        <w:pStyle w:val="FootnoteText"/>
      </w:pPr>
      <w:r>
        <w:rPr>
          <w:rStyle w:val="FootnoteReference"/>
        </w:rPr>
        <w:footnoteRef/>
      </w:r>
      <w:r>
        <w:t xml:space="preserve"> </w:t>
      </w:r>
      <w:r>
        <w:rPr>
          <w:i/>
        </w:rPr>
        <w:t xml:space="preserve">Weiss</w:t>
      </w:r>
      <w:r>
        <w:t xml:space="preserve">, 706 P.2d at 683</w:t>
      </w:r>
      <w:r>
        <w:t xml:space="preserve"> </w:t>
      </w:r>
      <w:r>
        <w:t xml:space="preserve">[@weiss-1985]</w:t>
      </w:r>
      <w:r>
        <w:t xml:space="preserve">; the remedial arc is treated with the remedies doctrine in Chapter 18. On the reconstitution: the litigation concluded in a comprehensive settlement implemented by the Alaska legislature, which reconstituted the trust’s land and cash corpus and created the Alaska Mental Health Trust Authority to administer it, Alaska Stat. § 47.30.011</w:t>
      </w:r>
      <w:r>
        <w:t xml:space="preserve"> </w:t>
      </w:r>
      <w:r>
        <w:t xml:space="preserve">[@alaska-stat-47-30-011]</w:t>
      </w:r>
      <w:r>
        <w:t xml:space="preserve"> </w:t>
      </w:r>
      <w:r>
        <w:t xml:space="preserve">[VERIFY pin and the session-law citation for the 1994 settlement legislation]; the settlement instrument itself [NEEDS-SOURCE — the 1994 settlement’s primary documents are not yet in L0].</w:t>
      </w:r>
    </w:p>
  </w:footnote>
  <w:footnote w:id="336">
    <w:p>
      <w:pPr>
        <w:pStyle w:val="FootnoteText"/>
      </w:pPr>
      <w:r>
        <w:rPr>
          <w:rStyle w:val="FootnoteReference"/>
        </w:rPr>
        <w:footnoteRef/>
      </w:r>
      <w:r>
        <w:t xml:space="preserve"> </w:t>
      </w:r>
      <w:r>
        <w:t xml:space="preserve">Idaho Const. art. IX, § 8</w:t>
      </w:r>
      <w:r>
        <w:t xml:space="preserve"> </w:t>
      </w:r>
      <w:r>
        <w:t xml:space="preserve">[@const-id-art9]</w:t>
      </w:r>
      <w:r>
        <w:t xml:space="preserve">.</w:t>
      </w:r>
    </w:p>
  </w:footnote>
  <w:footnote w:id="337">
    <w:p>
      <w:pPr>
        <w:pStyle w:val="FootnoteText"/>
      </w:pPr>
      <w:r>
        <w:rPr>
          <w:rStyle w:val="FootnoteReference"/>
        </w:rPr>
        <w:footnoteRef/>
      </w:r>
      <w:r>
        <w:t xml:space="preserve"> </w:t>
      </w:r>
      <w:r>
        <w:t xml:space="preserve">43 Op Atty Gen 140, Op. No. 8135 (Or. 1983)</w:t>
      </w:r>
      <w:r>
        <w:t xml:space="preserve"> </w:t>
      </w:r>
      <w:r>
        <w:t xml:space="preserve">[@ag-or-8135-1983]</w:t>
      </w:r>
      <w:r>
        <w:t xml:space="preserve">.</w:t>
      </w:r>
    </w:p>
  </w:footnote>
  <w:footnote w:id="338">
    <w:p>
      <w:pPr>
        <w:pStyle w:val="FootnoteText"/>
      </w:pPr>
      <w:r>
        <w:rPr>
          <w:rStyle w:val="FootnoteReference"/>
        </w:rPr>
        <w:footnoteRef/>
      </w:r>
      <w:r>
        <w:t xml:space="preserve"> </w:t>
      </w:r>
      <w:r>
        <w:t xml:space="preserve">46 Op Atty Gen 468, Op. No. 8223 (Or. 1992)</w:t>
      </w:r>
      <w:r>
        <w:t xml:space="preserve"> </w:t>
      </w:r>
      <w:r>
        <w:t xml:space="preserve">[@ag-or-8223-1992]</w:t>
      </w:r>
      <w:r>
        <w:t xml:space="preserve">.</w:t>
      </w:r>
    </w:p>
  </w:footnote>
  <w:footnote w:id="339">
    <w:p>
      <w:pPr>
        <w:pStyle w:val="FootnoteText"/>
      </w:pPr>
      <w:r>
        <w:rPr>
          <w:rStyle w:val="FootnoteReference"/>
        </w:rPr>
        <w:footnoteRef/>
      </w:r>
      <w:r>
        <w:t xml:space="preserve"> </w:t>
      </w:r>
      <w:r>
        <w:rPr>
          <w:i/>
        </w:rPr>
        <w:t xml:space="preserve">State ex rel. Dept. of Highways v. Burlingame</w:t>
      </w:r>
      <w:r>
        <w:t xml:space="preserve">, 597 P.2d 51 (Mont. 1979)</w:t>
      </w:r>
      <w:r>
        <w:t xml:space="preserve"> </w:t>
      </w:r>
      <w:r>
        <w:t xml:space="preserve">[@burlingame-1979]</w:t>
      </w:r>
      <w:r>
        <w:t xml:space="preserve">; § 7.3.</w:t>
      </w:r>
    </w:p>
  </w:footnote>
  <w:footnote w:id="341">
    <w:p>
      <w:pPr>
        <w:pStyle w:val="FootnoteText"/>
      </w:pPr>
      <w:r>
        <w:rPr>
          <w:rStyle w:val="FootnoteReference"/>
        </w:rPr>
        <w:footnoteRef/>
      </w:r>
      <w:r>
        <w:t xml:space="preserve"> </w:t>
      </w:r>
      <w:r>
        <w:t xml:space="preserve">Accord cases not yet collected; see Architecture § C, verification wave 2, and Register G-7 (state AG canons on distribution policy remain unsurveyed outside Oregon).</w:t>
      </w:r>
    </w:p>
  </w:footnote>
  <w:footnote w:id="342">
    <w:p>
      <w:pPr>
        <w:pStyle w:val="FootnoteText"/>
      </w:pPr>
      <w:r>
        <w:rPr>
          <w:rStyle w:val="FootnoteReference"/>
        </w:rPr>
        <w:footnoteRef/>
      </w:r>
      <w:r>
        <w:t xml:space="preserve"> </w:t>
      </w:r>
      <w:r>
        <w:t xml:space="preserve">N.M. Const. art. XII (permanent fund); the 2022 early-childhood amendment and its congressional-consent requirement are carried in the project files</w:t>
      </w:r>
      <w:r>
        <w:t xml:space="preserve"> </w:t>
      </w:r>
      <w:r>
        <w:t xml:space="preserve">[@const-nm-art12]</w:t>
      </w:r>
      <w:r>
        <w:t xml:space="preserve"> </w:t>
      </w:r>
      <w:r>
        <w:t xml:space="preserve">[VERIFY the consenting federal enactment’s citation before publication]. The reform-era treatment is Chapter 19.</w:t>
      </w:r>
    </w:p>
  </w:footnote>
  <w:footnote w:id="344">
    <w:p>
      <w:pPr>
        <w:pStyle w:val="FootnoteText"/>
      </w:pPr>
      <w:r>
        <w:rPr>
          <w:rStyle w:val="FootnoteReference"/>
        </w:rPr>
        <w:footnoteRef/>
      </w:r>
      <w:r>
        <w:t xml:space="preserve"> </w:t>
      </w:r>
      <w:r>
        <w:t xml:space="preserve">§ 8.1 and the authorities collected at note 2.</w:t>
      </w:r>
    </w:p>
  </w:footnote>
  <w:footnote w:id="345">
    <w:p>
      <w:pPr>
        <w:pStyle w:val="FootnoteText"/>
      </w:pPr>
      <w:r>
        <w:rPr>
          <w:rStyle w:val="FootnoteReference"/>
        </w:rPr>
        <w:footnoteRef/>
      </w:r>
      <w:r>
        <w:t xml:space="preserve"> </w:t>
      </w:r>
      <w:r>
        <w:t xml:space="preserve">§ 8.2 and the authorities collected at notes 4–11.</w:t>
      </w:r>
    </w:p>
  </w:footnote>
  <w:footnote w:id="346">
    <w:p>
      <w:pPr>
        <w:pStyle w:val="FootnoteText"/>
      </w:pPr>
      <w:r>
        <w:rPr>
          <w:rStyle w:val="FootnoteReference"/>
        </w:rPr>
        <w:footnoteRef/>
      </w:r>
      <w:r>
        <w:t xml:space="preserve"> </w:t>
      </w:r>
      <w:r>
        <w:t xml:space="preserve">§ 8.3;</w:t>
      </w:r>
      <w:r>
        <w:t xml:space="preserve"> </w:t>
      </w:r>
      <w:r>
        <w:rPr>
          <w:i/>
        </w:rPr>
        <w:t xml:space="preserve">Darkenwald</w:t>
      </w:r>
      <w:r>
        <w:t xml:space="preserve">, 2005 MT 190</w:t>
      </w:r>
      <w:r>
        <w:t xml:space="preserve"> </w:t>
      </w:r>
      <w:r>
        <w:t xml:space="preserve">[@darkenwald-2005]</w:t>
      </w:r>
      <w:r>
        <w:t xml:space="preserve">.</w:t>
      </w:r>
    </w:p>
  </w:footnote>
  <w:footnote w:id="347">
    <w:p>
      <w:pPr>
        <w:pStyle w:val="FootnoteText"/>
      </w:pPr>
      <w:r>
        <w:rPr>
          <w:rStyle w:val="FootnoteReference"/>
        </w:rPr>
        <w:footnoteRef/>
      </w:r>
      <w:r>
        <w:t xml:space="preserve"> </w:t>
      </w:r>
      <w:r>
        <w:t xml:space="preserve">§ 8.4;</w:t>
      </w:r>
      <w:r>
        <w:t xml:space="preserve"> </w:t>
      </w:r>
      <w:r>
        <w:rPr>
          <w:i/>
        </w:rPr>
        <w:t xml:space="preserve">Weiss</w:t>
      </w:r>
      <w:r>
        <w:t xml:space="preserve">, 706 P.2d 681, 683 (Alaska 1985)</w:t>
      </w:r>
      <w:r>
        <w:t xml:space="preserve"> </w:t>
      </w:r>
      <w:r>
        <w:t xml:space="preserve">[@weiss-1985]</w:t>
      </w:r>
      <w:r>
        <w:t xml:space="preserve">.</w:t>
      </w:r>
    </w:p>
  </w:footnote>
  <w:footnote w:id="348">
    <w:p>
      <w:pPr>
        <w:pStyle w:val="FootnoteText"/>
      </w:pPr>
      <w:r>
        <w:rPr>
          <w:rStyle w:val="FootnoteReference"/>
        </w:rPr>
        <w:footnoteRef/>
      </w:r>
      <w:r>
        <w:t xml:space="preserve"> </w:t>
      </w:r>
      <w:r>
        <w:t xml:space="preserve">§§ 8.5–8.6 and the authorities collected there.</w:t>
      </w:r>
    </w:p>
  </w:footnote>
  <w:footnote w:id="351">
    <w:p>
      <w:pPr>
        <w:pStyle w:val="FootnoteText"/>
      </w:pPr>
      <w:r>
        <w:rPr>
          <w:rStyle w:val="FootnoteReference"/>
        </w:rPr>
        <w:footnoteRef/>
      </w:r>
      <w:r>
        <w:t xml:space="preserve"> </w:t>
      </w:r>
      <w:r>
        <w:rPr>
          <w:i/>
        </w:rPr>
        <w:t xml:space="preserve">Lassen v. Arizona ex rel. Arizona Highway Department</w:t>
      </w:r>
      <w:r>
        <w:t xml:space="preserve">, 385 U.S. 458, 466-67 (1967)</w:t>
      </w:r>
      <w:r>
        <w:t xml:space="preserve"> </w:t>
      </w:r>
      <w:r>
        <w:t xml:space="preserve">[@lassen-1967]</w:t>
      </w:r>
      <w:r>
        <w:t xml:space="preserve"> </w:t>
      </w:r>
      <w:r>
        <w:t xml:space="preserve">(Arizona must compensate the trust at full appraised value when a state agency takes trust land;</w:t>
      </w:r>
      <w:r>
        <w:t xml:space="preserve"> </w:t>
      </w:r>
      <w:r>
        <w:t xml:space="preserve">“</w:t>
      </w:r>
      <w:r>
        <w:t xml:space="preserve">the grants provide the most substantial support possible to the beneficiaries and that only those beneficiaries profit from the trust</w:t>
      </w:r>
      <w:r>
        <w:t xml:space="preserve">”</w:t>
      </w:r>
      <w:r>
        <w:t xml:space="preserve">).</w:t>
      </w:r>
    </w:p>
  </w:footnote>
  <w:footnote w:id="352">
    <w:p>
      <w:pPr>
        <w:pStyle w:val="FootnoteText"/>
      </w:pPr>
      <w:r>
        <w:rPr>
          <w:rStyle w:val="FootnoteReference"/>
        </w:rPr>
        <w:footnoteRef/>
      </w:r>
      <w:r>
        <w:t xml:space="preserve"> </w:t>
      </w:r>
      <w:r>
        <w:t xml:space="preserve">Accord, collected by state:</w:t>
      </w:r>
      <w:r>
        <w:t xml:space="preserve"> </w:t>
      </w:r>
      <w:r>
        <w:rPr>
          <w:b/>
        </w:rPr>
        <w:t xml:space="preserve">Mississippi</w:t>
      </w:r>
      <w:r>
        <w:t xml:space="preserve"> </w:t>
      </w:r>
      <w:r>
        <w:t xml:space="preserve">—</w:t>
      </w:r>
      <w:r>
        <w:t xml:space="preserve"> </w:t>
      </w:r>
      <w:r>
        <w:rPr>
          <w:i/>
        </w:rPr>
        <w:t xml:space="preserve">Clark v. Stephen D. Lee Foundation</w:t>
      </w:r>
      <w:r>
        <w:t xml:space="preserve">, 887 So. 2d 798 (Miss. 2004)</w:t>
      </w:r>
      <w:r>
        <w:t xml:space="preserve"> </w:t>
      </w:r>
      <w:r>
        <w:t xml:space="preserve">[@clark-2004]</w:t>
      </w:r>
      <w:r>
        <w:t xml:space="preserve"> </w:t>
      </w:r>
      <w:r>
        <w:t xml:space="preserve">(trust consideration</w:t>
      </w:r>
      <w:r>
        <w:t xml:space="preserve"> </w:t>
      </w:r>
      <w:r>
        <w:t xml:space="preserve">“</w:t>
      </w:r>
      <w:r>
        <w:t xml:space="preserve">must be deemed sufficient based on the reasonable market value of the leased land</w:t>
      </w:r>
      <w:r>
        <w:t xml:space="preserve">”</w:t>
      </w:r>
      <w:r>
        <w:t xml:space="preserve">);</w:t>
      </w:r>
      <w:r>
        <w:t xml:space="preserve"> </w:t>
      </w:r>
      <w:r>
        <w:rPr>
          <w:b/>
        </w:rPr>
        <w:t xml:space="preserve">Nebraska</w:t>
      </w:r>
      <w:r>
        <w:t xml:space="preserve"> </w:t>
      </w:r>
      <w:r>
        <w:t xml:space="preserve">—</w:t>
      </w:r>
      <w:r>
        <w:t xml:space="preserve"> </w:t>
      </w:r>
      <w:r>
        <w:rPr>
          <w:i/>
        </w:rPr>
        <w:t xml:space="preserve">State v. Platte Valley Public Power &amp; Irrigation District</w:t>
      </w:r>
      <w:r>
        <w:t xml:space="preserve">, 147 Neb. 289, 23 N.W.2d 300 (1946)</w:t>
      </w:r>
      <w:r>
        <w:t xml:space="preserve"> </w:t>
      </w:r>
      <w:r>
        <w:t xml:space="preserve">[@platte-valley-1946]</w:t>
      </w:r>
      <w:r>
        <w:t xml:space="preserve"> </w:t>
      </w:r>
      <w:r>
        <w:t xml:space="preserve">(the state cannot alienate the lands or their use without receiving full value);</w:t>
      </w:r>
      <w:r>
        <w:t xml:space="preserve"> </w:t>
      </w:r>
      <w:r>
        <w:rPr>
          <w:b/>
        </w:rPr>
        <w:t xml:space="preserve">New Mexico</w:t>
      </w:r>
      <w:r>
        <w:t xml:space="preserve"> </w:t>
      </w:r>
      <w:r>
        <w:t xml:space="preserve">—</w:t>
      </w:r>
      <w:r>
        <w:t xml:space="preserve"> </w:t>
      </w:r>
      <w:r>
        <w:rPr>
          <w:i/>
        </w:rPr>
        <w:t xml:space="preserve">State ex rel. King v. Lyons</w:t>
      </w:r>
      <w:r>
        <w:t xml:space="preserve">, 2011-NMSC-004, 248 P.3d 878</w:t>
      </w:r>
      <w:r>
        <w:t xml:space="preserve"> </w:t>
      </w:r>
      <w:r>
        <w:t xml:space="preserve">[@lyons-2011]</w:t>
      </w:r>
      <w:r>
        <w:t xml:space="preserve"> </w:t>
      </w:r>
      <w:r>
        <w:t xml:space="preserve">(dispositions bypassing the public-auction and highest-best-bidder requirements void);</w:t>
      </w:r>
      <w:r>
        <w:t xml:space="preserve"> </w:t>
      </w:r>
      <w:r>
        <w:rPr>
          <w:b/>
        </w:rPr>
        <w:t xml:space="preserve">Utah</w:t>
      </w:r>
      <w:r>
        <w:t xml:space="preserve"> </w:t>
      </w:r>
      <w:r>
        <w:t xml:space="preserve">—</w:t>
      </w:r>
      <w:r>
        <w:t xml:space="preserve"> </w:t>
      </w:r>
      <w:r>
        <w:rPr>
          <w:i/>
        </w:rPr>
        <w:t xml:space="preserve">National Parks &amp; Conservation Association v. Board of State Lands</w:t>
      </w:r>
      <w:r>
        <w:t xml:space="preserve">, 869 P.2d 909 (Utah 1993)</w:t>
      </w:r>
      <w:r>
        <w:t xml:space="preserve"> </w:t>
      </w:r>
      <w:r>
        <w:t xml:space="preserve">[@npca-1993]</w:t>
      </w:r>
      <w:r>
        <w:t xml:space="preserve"> </w:t>
      </w:r>
      <w:r>
        <w:t xml:space="preserve">(deviation from income maximization requires compensation to the trust);</w:t>
      </w:r>
      <w:r>
        <w:t xml:space="preserve"> </w:t>
      </w:r>
      <w:r>
        <w:rPr>
          <w:b/>
        </w:rPr>
        <w:t xml:space="preserve">Washington</w:t>
      </w:r>
      <w:r>
        <w:t xml:space="preserve"> </w:t>
      </w:r>
      <w:r>
        <w:t xml:space="preserve">—</w:t>
      </w:r>
      <w:r>
        <w:t xml:space="preserve"> </w:t>
      </w:r>
      <w:r>
        <w:rPr>
          <w:i/>
        </w:rPr>
        <w:t xml:space="preserve">County of Skamania v. State</w:t>
      </w:r>
      <w:r>
        <w:t xml:space="preserve">, 102 Wn.2d 127, 685 P.2d 576 (1984)</w:t>
      </w:r>
      <w:r>
        <w:t xml:space="preserve"> </w:t>
      </w:r>
      <w:r>
        <w:t xml:space="preserve">[@skamania-1984]</w:t>
      </w:r>
      <w:r>
        <w:t xml:space="preserve"> </w:t>
      </w:r>
      <w:r>
        <w:t xml:space="preserve">(</w:t>
      </w:r>
      <w:r>
        <w:t xml:space="preserve">“</w:t>
      </w:r>
      <w:r>
        <w:t xml:space="preserve">When the State transfers trust assets such as contract rights it must seek full value for the assets, and it may not sacrifice this goal to pursue other objectives, no matter how laudable those objectives may be.</w:t>
      </w:r>
      <w:r>
        <w:t xml:space="preserve">”</w:t>
      </w:r>
      <w:r>
        <w:t xml:space="preserve">).</w:t>
      </w:r>
    </w:p>
  </w:footnote>
  <w:footnote w:id="354">
    <w:p>
      <w:pPr>
        <w:pStyle w:val="FootnoteText"/>
      </w:pPr>
      <w:r>
        <w:rPr>
          <w:rStyle w:val="FootnoteReference"/>
        </w:rPr>
        <w:footnoteRef/>
      </w:r>
      <w:r>
        <w:t xml:space="preserve"> </w:t>
      </w:r>
      <w:r>
        <w:t xml:space="preserve">Omnibus Enabling Act of Feb. 22, 1889, 25 Stat. 676</w:t>
      </w:r>
      <w:r>
        <w:t xml:space="preserve"> </w:t>
      </w:r>
      <w:r>
        <w:t xml:space="preserve">[@act-omnibus-1889]</w:t>
      </w:r>
      <w:r>
        <w:t xml:space="preserve"> </w:t>
      </w:r>
      <w:r>
        <w:t xml:space="preserve">(in-trust grant; permanent fund; appraisal; minimum price). The 1889 Act is the field’s most-litigated instrument.</w:t>
      </w:r>
    </w:p>
  </w:footnote>
  <w:footnote w:id="355">
    <w:p>
      <w:pPr>
        <w:pStyle w:val="FootnoteText"/>
      </w:pPr>
      <w:r>
        <w:rPr>
          <w:rStyle w:val="FootnoteReference"/>
        </w:rPr>
        <w:footnoteRef/>
      </w:r>
      <w:r>
        <w:t xml:space="preserve"> </w:t>
      </w:r>
      <w:r>
        <w:t xml:space="preserve">Parallel instrument floors, collected by state:</w:t>
      </w:r>
      <w:r>
        <w:t xml:space="preserve"> </w:t>
      </w:r>
      <w:r>
        <w:rPr>
          <w:b/>
        </w:rPr>
        <w:t xml:space="preserve">Utah</w:t>
      </w:r>
      <w:r>
        <w:t xml:space="preserve"> </w:t>
      </w:r>
      <w:r>
        <w:t xml:space="preserve">— Enabling Act of July 16, 1894, 28 Stat. 107</w:t>
      </w:r>
      <w:r>
        <w:t xml:space="preserve"> </w:t>
      </w:r>
      <w:r>
        <w:t xml:space="preserve">[@act-utah-1894]</w:t>
      </w:r>
      <w:r>
        <w:t xml:space="preserve"> </w:t>
      </w:r>
      <w:r>
        <w:t xml:space="preserve">(no disposition at less than appraised value);</w:t>
      </w:r>
      <w:r>
        <w:t xml:space="preserve"> </w:t>
      </w:r>
      <w:r>
        <w:rPr>
          <w:b/>
        </w:rPr>
        <w:t xml:space="preserve">Oklahoma</w:t>
      </w:r>
      <w:r>
        <w:t xml:space="preserve"> </w:t>
      </w:r>
      <w:r>
        <w:t xml:space="preserve">— Enabling Act of June 16, 1906, 34 Stat. 267</w:t>
      </w:r>
      <w:r>
        <w:t xml:space="preserve"> </w:t>
      </w:r>
      <w:r>
        <w:t xml:space="preserve">[@act-oklahoma-1906]</w:t>
      </w:r>
      <w:r>
        <w:t xml:space="preserve"> </w:t>
      </w:r>
      <w:r>
        <w:t xml:space="preserve">(no disposition at less than appraised value);</w:t>
      </w:r>
      <w:r>
        <w:t xml:space="preserve"> </w:t>
      </w:r>
      <w:r>
        <w:rPr>
          <w:b/>
        </w:rPr>
        <w:t xml:space="preserve">Arizona / New Mexico</w:t>
      </w:r>
      <w:r>
        <w:t xml:space="preserve"> </w:t>
      </w:r>
      <w:r>
        <w:t xml:space="preserve">— Enabling Act of June 20, 1910, 36 Stat. 557, § 10 (Arizona covenants at § 28)</w:t>
      </w:r>
      <w:r>
        <w:t xml:space="preserve"> </w:t>
      </w:r>
      <w:r>
        <w:t xml:space="preserve">[@act-nm-az-1910]</w:t>
      </w:r>
      <w:r>
        <w:t xml:space="preserve"> </w:t>
      </w:r>
      <w:r>
        <w:t xml:space="preserve">(appraisal; public auction; nullity; federal enforcement).</w:t>
      </w:r>
    </w:p>
  </w:footnote>
  <w:footnote w:id="356">
    <w:p>
      <w:pPr>
        <w:pStyle w:val="FootnoteText"/>
      </w:pPr>
      <w:r>
        <w:rPr>
          <w:rStyle w:val="FootnoteReference"/>
        </w:rPr>
        <w:footnoteRef/>
      </w:r>
      <w:r>
        <w:t xml:space="preserve"> </w:t>
      </w:r>
      <w:r>
        <w:t xml:space="preserve">New Mexico–Arizona Enabling Act of June 20, 1910, § 10, 36 Stat. 557</w:t>
      </w:r>
      <w:r>
        <w:t xml:space="preserve"> </w:t>
      </w:r>
      <w:r>
        <w:t xml:space="preserve">[@act-nm-az-1910]</w:t>
      </w:r>
      <w:r>
        <w:t xml:space="preserve"> </w:t>
      </w:r>
      <w:r>
        <w:t xml:space="preserve">(</w:t>
      </w:r>
      <w:r>
        <w:t xml:space="preserve">“</w:t>
      </w:r>
      <w:r>
        <w:t xml:space="preserve">All lands hereby granted … shall be by the said State held in trust, to be disposed of in whole or in part only in manner as herein provided … and … the natural products and money proceeds of any of said lands shall be subject to the same trusts as the lands producing the same. … Every sale, lease, conveyance, or contract of or concerning any of the lands hereby granted or confirmed, or the use thereof or the natural products thereof, not made in substantial conformity with the provisions of this Act shall be null and void.</w:t>
      </w:r>
      <w:r>
        <w:t xml:space="preserve">”</w:t>
      </w:r>
      <w:r>
        <w:t xml:space="preserve"> </w:t>
      </w:r>
      <w:r>
        <w:t xml:space="preserve">(text as carried in the verified files)).</w:t>
      </w:r>
    </w:p>
  </w:footnote>
  <w:footnote w:id="357">
    <w:p>
      <w:pPr>
        <w:pStyle w:val="FootnoteText"/>
      </w:pPr>
      <w:r>
        <w:rPr>
          <w:rStyle w:val="FootnoteReference"/>
        </w:rPr>
        <w:footnoteRef/>
      </w:r>
      <w:r>
        <w:t xml:space="preserve"> </w:t>
      </w:r>
      <w:r>
        <w:rPr>
          <w:i/>
        </w:rPr>
        <w:t xml:space="preserve">ASARCO Inc. v. Kadish</w:t>
      </w:r>
      <w:r>
        <w:t xml:space="preserve">, 490 U.S. 605, 626 (1989)</w:t>
      </w:r>
      <w:r>
        <w:t xml:space="preserve"> </w:t>
      </w:r>
      <w:r>
        <w:t xml:space="preserve">[@asarco-1989]</w:t>
      </w:r>
      <w:r>
        <w:t xml:space="preserve">.</w:t>
      </w:r>
    </w:p>
  </w:footnote>
  <w:footnote w:id="358">
    <w:p>
      <w:pPr>
        <w:pStyle w:val="FootnoteText"/>
      </w:pPr>
      <w:r>
        <w:rPr>
          <w:rStyle w:val="FootnoteReference"/>
        </w:rPr>
        <w:footnoteRef/>
      </w:r>
      <w:r>
        <w:t xml:space="preserve"> </w:t>
      </w:r>
      <w:r>
        <w:t xml:space="preserve">Statutes and transactions non-conforming with disposition safeguards held void, collected by state:</w:t>
      </w:r>
      <w:r>
        <w:t xml:space="preserve"> </w:t>
      </w:r>
      <w:r>
        <w:rPr>
          <w:b/>
        </w:rPr>
        <w:t xml:space="preserve">Nebraska</w:t>
      </w:r>
      <w:r>
        <w:t xml:space="preserve"> </w:t>
      </w:r>
      <w:r>
        <w:t xml:space="preserve">—</w:t>
      </w:r>
      <w:r>
        <w:t xml:space="preserve"> </w:t>
      </w:r>
      <w:r>
        <w:rPr>
          <w:i/>
        </w:rPr>
        <w:t xml:space="preserve">State ex rel. Ebke v. Board of Educational Lands &amp; Funds</w:t>
      </w:r>
      <w:r>
        <w:t xml:space="preserve">, 154 Neb. 244, 47 N.W.2d 520 (1951)</w:t>
      </w:r>
      <w:r>
        <w:t xml:space="preserve"> </w:t>
      </w:r>
      <w:r>
        <w:t xml:space="preserve">[@ebke-1951]</w:t>
      </w:r>
      <w:r>
        <w:t xml:space="preserve"> </w:t>
      </w:r>
      <w:r>
        <w:t xml:space="preserve">(breach of constitutionally fixed trust duty</w:t>
      </w:r>
      <w:r>
        <w:t xml:space="preserve"> </w:t>
      </w:r>
      <w:r>
        <w:t xml:space="preserve">“</w:t>
      </w:r>
      <w:r>
        <w:t xml:space="preserve">has the effect of invalidating the legislation authorizing the breach</w:t>
      </w:r>
      <w:r>
        <w:t xml:space="preserve">”</w:t>
      </w:r>
      <w:r>
        <w:t xml:space="preserve">);</w:t>
      </w:r>
      <w:r>
        <w:t xml:space="preserve"> </w:t>
      </w:r>
      <w:r>
        <w:rPr>
          <w:i/>
        </w:rPr>
        <w:t xml:space="preserve">Propst v. Board of Educational Lands &amp; Funds</w:t>
      </w:r>
      <w:r>
        <w:t xml:space="preserve">, 156 Neb. 226, 55 N.W.2d 653 (1952)</w:t>
      </w:r>
      <w:r>
        <w:t xml:space="preserve"> </w:t>
      </w:r>
      <w:r>
        <w:t xml:space="preserve">[@propst-1952]</w:t>
      </w:r>
      <w:r>
        <w:t xml:space="preserve"> </w:t>
      </w:r>
      <w:r>
        <w:t xml:space="preserve">(an unconstitutional statute</w:t>
      </w:r>
      <w:r>
        <w:t xml:space="preserve"> </w:t>
      </w:r>
      <w:r>
        <w:t xml:space="preserve">“</w:t>
      </w:r>
      <w:r>
        <w:t xml:space="preserve">is a nullity, is void from its enactment, and is incapable of creating any rights or obligations</w:t>
      </w:r>
      <w:r>
        <w:t xml:space="preserve">”</w:t>
      </w:r>
      <w:r>
        <w:t xml:space="preserve">);</w:t>
      </w:r>
      <w:r>
        <w:t xml:space="preserve"> </w:t>
      </w:r>
      <w:r>
        <w:rPr>
          <w:b/>
        </w:rPr>
        <w:t xml:space="preserve">New Mexico</w:t>
      </w:r>
      <w:r>
        <w:t xml:space="preserve"> </w:t>
      </w:r>
      <w:r>
        <w:t xml:space="preserve">—</w:t>
      </w:r>
      <w:r>
        <w:t xml:space="preserve"> </w:t>
      </w:r>
      <w:r>
        <w:rPr>
          <w:i/>
        </w:rPr>
        <w:t xml:space="preserve">Lyons</w:t>
      </w:r>
      <w:r>
        <w:t xml:space="preserve">, 2011-NMSC-004</w:t>
      </w:r>
      <w:r>
        <w:t xml:space="preserve"> </w:t>
      </w:r>
      <w:r>
        <w:t xml:space="preserve">[@lyons-2011]</w:t>
      </w:r>
      <w:r>
        <w:t xml:space="preserve"> </w:t>
      </w:r>
      <w:r>
        <w:t xml:space="preserve">(exchanges cancelled or unwound by mandamus);</w:t>
      </w:r>
      <w:r>
        <w:t xml:space="preserve"> </w:t>
      </w:r>
      <w:r>
        <w:rPr>
          <w:b/>
        </w:rPr>
        <w:t xml:space="preserve">Oregon</w:t>
      </w:r>
      <w:r>
        <w:t xml:space="preserve"> </w:t>
      </w:r>
      <w:r>
        <w:t xml:space="preserve">—</w:t>
      </w:r>
      <w:r>
        <w:t xml:space="preserve"> </w:t>
      </w:r>
      <w:r>
        <w:rPr>
          <w:i/>
        </w:rPr>
        <w:t xml:space="preserve">State v. Warner Valley Stock Co.</w:t>
      </w:r>
      <w:r>
        <w:t xml:space="preserve">, 56 Or 283 (1910)</w:t>
      </w:r>
      <w:r>
        <w:t xml:space="preserve"> </w:t>
      </w:r>
      <w:r>
        <w:t xml:space="preserve">[@warner-valley-1910]</w:t>
      </w:r>
      <w:r>
        <w:t xml:space="preserve"> </w:t>
      </w:r>
      <w:r>
        <w:t xml:space="preserve">(deeds issued in violation of the statutory disposition procedure void; swamp-lands context, carried via the recitation in</w:t>
      </w:r>
      <w:r>
        <w:t xml:space="preserve"> </w:t>
      </w:r>
      <w:r>
        <w:rPr>
          <w:i/>
        </w:rPr>
        <w:t xml:space="preserve">Cascadia Wildlands v. Department of State Lands</w:t>
      </w:r>
      <w:r>
        <w:t xml:space="preserve">, 365 Or 750 (2019)</w:t>
      </w:r>
      <w:r>
        <w:t xml:space="preserve"> </w:t>
      </w:r>
      <w:r>
        <w:t xml:space="preserve">[@cascadia-2019]</w:t>
      </w:r>
      <w:r>
        <w:t xml:space="preserve">).</w:t>
      </w:r>
    </w:p>
  </w:footnote>
  <w:footnote w:id="359">
    <w:p>
      <w:pPr>
        <w:pStyle w:val="FootnoteText"/>
      </w:pPr>
      <w:r>
        <w:rPr>
          <w:rStyle w:val="FootnoteReference"/>
        </w:rPr>
        <w:footnoteRef/>
      </w:r>
      <w:r>
        <w:t xml:space="preserve"> </w:t>
      </w:r>
      <w:r>
        <w:rPr>
          <w:i/>
        </w:rPr>
        <w:t xml:space="preserve">State v. Platte Valley Public Power &amp; Irrigation District</w:t>
      </w:r>
      <w:r>
        <w:t xml:space="preserve">, 147 Neb. 289, 23 N.W.2d 300 (1946)</w:t>
      </w:r>
      <w:r>
        <w:t xml:space="preserve"> </w:t>
      </w:r>
      <w:r>
        <w:t xml:space="preserve">[@platte-valley-1946]</w:t>
      </w:r>
      <w:r>
        <w:t xml:space="preserve">.</w:t>
      </w:r>
    </w:p>
  </w:footnote>
  <w:footnote w:id="360">
    <w:p>
      <w:pPr>
        <w:pStyle w:val="FootnoteText"/>
      </w:pPr>
      <w:r>
        <w:rPr>
          <w:rStyle w:val="FootnoteReference"/>
        </w:rPr>
        <w:footnoteRef/>
      </w:r>
      <w:r>
        <w:t xml:space="preserve"> </w:t>
      </w:r>
      <w:r>
        <w:t xml:space="preserve">Full value derived from trust character without an instrument clause, collected by state:</w:t>
      </w:r>
      <w:r>
        <w:t xml:space="preserve"> </w:t>
      </w:r>
      <w:r>
        <w:rPr>
          <w:b/>
        </w:rPr>
        <w:t xml:space="preserve">Mississippi</w:t>
      </w:r>
      <w:r>
        <w:t xml:space="preserve"> </w:t>
      </w:r>
      <w:r>
        <w:t xml:space="preserve">—</w:t>
      </w:r>
      <w:r>
        <w:t xml:space="preserve"> </w:t>
      </w:r>
      <w:r>
        <w:rPr>
          <w:i/>
        </w:rPr>
        <w:t xml:space="preserve">Clark</w:t>
      </w:r>
      <w:r>
        <w:t xml:space="preserve">, 887 So. 2d 798 (Miss. 2004)</w:t>
      </w:r>
      <w:r>
        <w:t xml:space="preserve"> </w:t>
      </w:r>
      <w:r>
        <w:t xml:space="preserve">[@clark-2004]</w:t>
      </w:r>
      <w:r>
        <w:t xml:space="preserve"> </w:t>
      </w:r>
      <w:r>
        <w:t xml:space="preserve">(1817 single-section instrument; consideration benchmarked to</w:t>
      </w:r>
      <w:r>
        <w:t xml:space="preserve"> </w:t>
      </w:r>
      <w:r>
        <w:t xml:space="preserve">“</w:t>
      </w:r>
      <w:r>
        <w:t xml:space="preserve">the reasonable market value of the leased land</w:t>
      </w:r>
      <w:r>
        <w:t xml:space="preserve">”</w:t>
      </w:r>
      <w:r>
        <w:t xml:space="preserve">);</w:t>
      </w:r>
      <w:r>
        <w:t xml:space="preserve"> </w:t>
      </w:r>
      <w:r>
        <w:rPr>
          <w:b/>
        </w:rPr>
        <w:t xml:space="preserve">Louisiana</w:t>
      </w:r>
      <w:r>
        <w:t xml:space="preserve"> </w:t>
      </w:r>
      <w:r>
        <w:t xml:space="preserve">—</w:t>
      </w:r>
      <w:r>
        <w:t xml:space="preserve"> </w:t>
      </w:r>
      <w:r>
        <w:rPr>
          <w:i/>
        </w:rPr>
        <w:t xml:space="preserve">State ex rel. Plaquemines Parish School Board v. Plaquemines Parish Government</w:t>
      </w:r>
      <w:r>
        <w:t xml:space="preserve">, 652 So. 2d 1 (La. App. 4 Cir. 1994)</w:t>
      </w:r>
      <w:r>
        <w:t xml:space="preserve"> </w:t>
      </w:r>
      <w:r>
        <w:t xml:space="preserve">[@plaquemines-1994]</w:t>
      </w:r>
      <w:r>
        <w:t xml:space="preserve"> </w:t>
      </w:r>
      <w:r>
        <w:t xml:space="preserve">(school trust lands</w:t>
      </w:r>
      <w:r>
        <w:t xml:space="preserve"> </w:t>
      </w:r>
      <w:r>
        <w:t xml:space="preserve">“</w:t>
      </w:r>
      <w:r>
        <w:t xml:space="preserve">can be alienated only where it is of benefit to school in some manner such as payment of the sale or lease price to the school fund or school board</w:t>
      </w:r>
      <w:r>
        <w:t xml:space="preserve">”</w:t>
      </w:r>
      <w:r>
        <w:t xml:space="preserve">);</w:t>
      </w:r>
      <w:r>
        <w:t xml:space="preserve"> </w:t>
      </w:r>
      <w:r>
        <w:rPr>
          <w:b/>
        </w:rPr>
        <w:t xml:space="preserve">Oregon (Attorney General)</w:t>
      </w:r>
      <w:r>
        <w:t xml:space="preserve"> </w:t>
      </w:r>
      <w:r>
        <w:t xml:space="preserve">— 37 Op Atty Gen 569 (Or. 1975)</w:t>
      </w:r>
      <w:r>
        <w:t xml:space="preserve"> </w:t>
      </w:r>
      <w:r>
        <w:t xml:space="preserve">[@ag-or-569-1975]</w:t>
      </w:r>
      <w:r>
        <w:t xml:space="preserve"> </w:t>
      </w:r>
      <w:r>
        <w:t xml:space="preserve">(fiduciary duty to obtain full market value on Common School Forest timber; the duty is not subordinate to other state policy goals).</w:t>
      </w:r>
    </w:p>
  </w:footnote>
  <w:footnote w:id="362">
    <w:p>
      <w:pPr>
        <w:pStyle w:val="FootnoteText"/>
      </w:pPr>
      <w:r>
        <w:rPr>
          <w:rStyle w:val="FootnoteReference"/>
        </w:rPr>
        <w:footnoteRef/>
      </w:r>
      <w:r>
        <w:t xml:space="preserve"> </w:t>
      </w:r>
      <w:r>
        <w:rPr>
          <w:i/>
        </w:rPr>
        <w:t xml:space="preserve">Deer Valley Unified School District No. 97 v. Superior Court</w:t>
      </w:r>
      <w:r>
        <w:t xml:space="preserve">, 157 Ariz. 537, 760 P.2d 537 (1988)</w:t>
      </w:r>
      <w:r>
        <w:t xml:space="preserve"> </w:t>
      </w:r>
      <w:r>
        <w:t xml:space="preserve">[@deer-valley-1988]</w:t>
      </w:r>
      <w:r>
        <w:t xml:space="preserve"> </w:t>
      </w:r>
      <w:r>
        <w:t xml:space="preserve">(condemnation by any state actor, including a beneficiary school district, barred; the auction protects the trust’s opportunity to realize more than appraised value).</w:t>
      </w:r>
    </w:p>
  </w:footnote>
  <w:footnote w:id="363">
    <w:p>
      <w:pPr>
        <w:pStyle w:val="FootnoteText"/>
      </w:pPr>
      <w:r>
        <w:rPr>
          <w:rStyle w:val="FootnoteReference"/>
        </w:rPr>
        <w:footnoteRef/>
      </w:r>
      <w:r>
        <w:t xml:space="preserve"> </w:t>
      </w:r>
      <w:r>
        <w:t xml:space="preserve">Accord cases for the floor-not-ceiling proposition not yet collected by state; see Architecture § C, verification wave 2. The proposition is implicit wherever auction commands coexist with appraisal floors (note 4).</w:t>
      </w:r>
    </w:p>
  </w:footnote>
  <w:footnote w:id="364">
    <w:p>
      <w:pPr>
        <w:pStyle w:val="FootnoteText"/>
      </w:pPr>
      <w:r>
        <w:rPr>
          <w:rStyle w:val="FootnoteReference"/>
        </w:rPr>
        <w:footnoteRef/>
      </w:r>
      <w:r>
        <w:t xml:space="preserve"> </w:t>
      </w:r>
      <w:r>
        <w:rPr>
          <w:i/>
        </w:rPr>
        <w:t xml:space="preserve">National Parks &amp; Conservation Association v. Board of State Lands</w:t>
      </w:r>
      <w:r>
        <w:t xml:space="preserve">, 869 P.2d 909, 922 (Utah 1993)</w:t>
      </w:r>
      <w:r>
        <w:t xml:space="preserve"> </w:t>
      </w:r>
      <w:r>
        <w:t xml:space="preserve">[@npca-1993]</w:t>
      </w:r>
      <w:r>
        <w:t xml:space="preserve"> </w:t>
      </w:r>
      <w:r>
        <w:t xml:space="preserve">(quotation verified against the full opinion, 2026-06-07).</w:t>
      </w:r>
    </w:p>
  </w:footnote>
  <w:footnote w:id="365">
    <w:p>
      <w:pPr>
        <w:pStyle w:val="FootnoteText"/>
      </w:pPr>
      <w:r>
        <w:rPr>
          <w:rStyle w:val="FootnoteReference"/>
        </w:rPr>
        <w:footnoteRef/>
      </w:r>
      <w:r>
        <w:t xml:space="preserve"> </w:t>
      </w:r>
      <w:r>
        <w:t xml:space="preserve">Accord cases on buyer-procured appraisals not yet collected; see Architecture § C, verification wave 2. Cognate authority:</w:t>
      </w:r>
      <w:r>
        <w:t xml:space="preserve"> </w:t>
      </w:r>
      <w:r>
        <w:rPr>
          <w:b/>
        </w:rPr>
        <w:t xml:space="preserve">Nebraska</w:t>
      </w:r>
      <w:r>
        <w:t xml:space="preserve"> </w:t>
      </w:r>
      <w:r>
        <w:t xml:space="preserve">—</w:t>
      </w:r>
      <w:r>
        <w:t xml:space="preserve"> </w:t>
      </w:r>
      <w:r>
        <w:rPr>
          <w:i/>
        </w:rPr>
        <w:t xml:space="preserve">Propst</w:t>
      </w:r>
      <w:r>
        <w:t xml:space="preserve">, 156 Neb. 226 (1952)</w:t>
      </w:r>
      <w:r>
        <w:t xml:space="preserve"> </w:t>
      </w:r>
      <w:r>
        <w:t xml:space="preserve">[@propst-1952]</w:t>
      </w:r>
      <w:r>
        <w:t xml:space="preserve"> </w:t>
      </w:r>
      <w:r>
        <w:t xml:space="preserve">(</w:t>
      </w:r>
      <w:r>
        <w:t xml:space="preserve">“</w:t>
      </w:r>
      <w:r>
        <w:t xml:space="preserve">Anyone dealing with the school lands must do so with knowledge of and subject to the trust obligation of the state.</w:t>
      </w:r>
      <w:r>
        <w:t xml:space="preserve">”</w:t>
      </w:r>
      <w:r>
        <w:t xml:space="preserve">), which charges the acquiring party — including a public one — with notice that valuation shortcuts are taken at its peril.</w:t>
      </w:r>
    </w:p>
  </w:footnote>
  <w:footnote w:id="367">
    <w:p>
      <w:pPr>
        <w:pStyle w:val="FootnoteText"/>
      </w:pPr>
      <w:r>
        <w:rPr>
          <w:rStyle w:val="FootnoteReference"/>
        </w:rPr>
        <w:footnoteRef/>
      </w:r>
      <w:r>
        <w:t xml:space="preserve"> </w:t>
      </w:r>
      <w:r>
        <w:rPr>
          <w:i/>
        </w:rPr>
        <w:t xml:space="preserve">State ex rel. Ebke v. Board of Educational Lands &amp; Funds</w:t>
      </w:r>
      <w:r>
        <w:t xml:space="preserve">, 154 Neb. 244, 47 N.W.2d 520 (1951)</w:t>
      </w:r>
      <w:r>
        <w:t xml:space="preserve"> </w:t>
      </w:r>
      <w:r>
        <w:t xml:space="preserve">[@ebke-1951]</w:t>
      </w:r>
      <w:r>
        <w:t xml:space="preserve">.</w:t>
      </w:r>
    </w:p>
  </w:footnote>
  <w:footnote w:id="368">
    <w:p>
      <w:pPr>
        <w:pStyle w:val="FootnoteText"/>
      </w:pPr>
      <w:r>
        <w:rPr>
          <w:rStyle w:val="FootnoteReference"/>
        </w:rPr>
        <w:footnoteRef/>
      </w:r>
      <w:r>
        <w:t xml:space="preserve"> </w:t>
      </w:r>
      <w:r>
        <w:rPr>
          <w:i/>
        </w:rPr>
        <w:t xml:space="preserve">Jerke v. State Department of Lands</w:t>
      </w:r>
      <w:r>
        <w:t xml:space="preserve">, 597 P.2d 49 (Mont. 1979)</w:t>
      </w:r>
      <w:r>
        <w:t xml:space="preserve"> </w:t>
      </w:r>
      <w:r>
        <w:t xml:space="preserve">[@jerke-1979]</w:t>
      </w:r>
      <w:r>
        <w:t xml:space="preserve">.</w:t>
      </w:r>
    </w:p>
  </w:footnote>
  <w:footnote w:id="369">
    <w:p>
      <w:pPr>
        <w:pStyle w:val="FootnoteText"/>
      </w:pPr>
      <w:r>
        <w:rPr>
          <w:rStyle w:val="FootnoteReference"/>
        </w:rPr>
        <w:footnoteRef/>
      </w:r>
      <w:r>
        <w:t xml:space="preserve"> </w:t>
      </w:r>
      <w:r>
        <w:rPr>
          <w:i/>
        </w:rPr>
        <w:t xml:space="preserve">Idaho Watersheds Project v. State Board of Land Commissioners</w:t>
      </w:r>
      <w:r>
        <w:t xml:space="preserve">, 133 Idaho 64, 982 P.2d 367 (1999)</w:t>
      </w:r>
      <w:r>
        <w:t xml:space="preserve"> </w:t>
      </w:r>
      <w:r>
        <w:t xml:space="preserve">[@idaho-watersheds-1999]</w:t>
      </w:r>
      <w:r>
        <w:t xml:space="preserve">. The relationship between the two 1999</w:t>
      </w:r>
      <w:r>
        <w:t xml:space="preserve"> </w:t>
      </w:r>
      <w:r>
        <w:rPr>
          <w:i/>
        </w:rPr>
        <w:t xml:space="preserve">Idaho Watersheds</w:t>
      </w:r>
      <w:r>
        <w:t xml:space="preserve"> </w:t>
      </w:r>
      <w:r>
        <w:t xml:space="preserve">opinions was resolved in the verification pass of 2026-06-07: the companion opinion at 133 Idaho 55, 982 P.2d 358 (1999), is the separate H.J.R. 6 single-subject writ proceeding; the § 58-310B invalidation and competitive-auction holding cited here are at 133 Idaho 64, 982 P.2d 367.</w:t>
      </w:r>
    </w:p>
  </w:footnote>
  <w:footnote w:id="370">
    <w:p>
      <w:pPr>
        <w:pStyle w:val="FootnoteText"/>
      </w:pPr>
      <w:r>
        <w:rPr>
          <w:rStyle w:val="FootnoteReference"/>
        </w:rPr>
        <w:footnoteRef/>
      </w:r>
      <w:r>
        <w:t xml:space="preserve"> </w:t>
      </w:r>
      <w:r>
        <w:t xml:space="preserve">The competitive default, collected by state:</w:t>
      </w:r>
      <w:r>
        <w:t xml:space="preserve"> </w:t>
      </w:r>
      <w:r>
        <w:rPr>
          <w:b/>
        </w:rPr>
        <w:t xml:space="preserve">Arizona (federal)</w:t>
      </w:r>
      <w:r>
        <w:t xml:space="preserve"> </w:t>
      </w:r>
      <w:r>
        <w:t xml:space="preserve">—</w:t>
      </w:r>
      <w:r>
        <w:t xml:space="preserve"> </w:t>
      </w:r>
      <w:r>
        <w:rPr>
          <w:i/>
        </w:rPr>
        <w:t xml:space="preserve">ASARCO</w:t>
      </w:r>
      <w:r>
        <w:t xml:space="preserve">, 490 U.S. 605 (1989)</w:t>
      </w:r>
      <w:r>
        <w:t xml:space="preserve"> </w:t>
      </w:r>
      <w:r>
        <w:t xml:space="preserve">[@asarco-1989]</w:t>
      </w:r>
      <w:r>
        <w:t xml:space="preserve"> </w:t>
      </w:r>
      <w:r>
        <w:t xml:space="preserve">(statute permitting disposition without auction protections void);</w:t>
      </w:r>
      <w:r>
        <w:t xml:space="preserve"> </w:t>
      </w:r>
      <w:r>
        <w:rPr>
          <w:b/>
        </w:rPr>
        <w:t xml:space="preserve">New Mexico</w:t>
      </w:r>
      <w:r>
        <w:t xml:space="preserve"> </w:t>
      </w:r>
      <w:r>
        <w:t xml:space="preserve">—</w:t>
      </w:r>
      <w:r>
        <w:t xml:space="preserve"> </w:t>
      </w:r>
      <w:r>
        <w:rPr>
          <w:i/>
        </w:rPr>
        <w:t xml:space="preserve">Lyons</w:t>
      </w:r>
      <w:r>
        <w:t xml:space="preserve">, 2011-NMSC-004</w:t>
      </w:r>
      <w:r>
        <w:t xml:space="preserve"> </w:t>
      </w:r>
      <w:r>
        <w:t xml:space="preserve">[@lyons-2011]</w:t>
      </w:r>
      <w:r>
        <w:t xml:space="preserve"> </w:t>
      </w:r>
      <w:r>
        <w:t xml:space="preserve">(public-auction and highest-best-bidder requirements not evadable);</w:t>
      </w:r>
      <w:r>
        <w:t xml:space="preserve"> </w:t>
      </w:r>
      <w:r>
        <w:rPr>
          <w:b/>
        </w:rPr>
        <w:t xml:space="preserve">Nebraska</w:t>
      </w:r>
      <w:r>
        <w:t xml:space="preserve"> </w:t>
      </w:r>
      <w:r>
        <w:t xml:space="preserve">—</w:t>
      </w:r>
      <w:r>
        <w:t xml:space="preserve"> </w:t>
      </w:r>
      <w:r>
        <w:rPr>
          <w:i/>
        </w:rPr>
        <w:t xml:space="preserve">Ebke</w:t>
      </w:r>
      <w:r>
        <w:t xml:space="preserve">, 154 Neb. 244 (1951)</w:t>
      </w:r>
      <w:r>
        <w:t xml:space="preserve"> </w:t>
      </w:r>
      <w:r>
        <w:t xml:space="preserve">[@ebke-1951]</w:t>
      </w:r>
      <w:r>
        <w:t xml:space="preserve">;</w:t>
      </w:r>
      <w:r>
        <w:t xml:space="preserve"> </w:t>
      </w:r>
      <w:r>
        <w:rPr>
          <w:i/>
        </w:rPr>
        <w:t xml:space="preserve">Propst</w:t>
      </w:r>
      <w:r>
        <w:t xml:space="preserve">, 156 Neb. 226 (1952)</w:t>
      </w:r>
      <w:r>
        <w:t xml:space="preserve"> </w:t>
      </w:r>
      <w:r>
        <w:t xml:space="preserve">[@propst-1952]</w:t>
      </w:r>
      <w:r>
        <w:t xml:space="preserve"> </w:t>
      </w:r>
      <w:r>
        <w:t xml:space="preserve">(re-auction of the sections affirmed);</w:t>
      </w:r>
      <w:r>
        <w:t xml:space="preserve"> </w:t>
      </w:r>
      <w:r>
        <w:rPr>
          <w:b/>
        </w:rPr>
        <w:t xml:space="preserve">Montana</w:t>
      </w:r>
      <w:r>
        <w:t xml:space="preserve"> </w:t>
      </w:r>
      <w:r>
        <w:t xml:space="preserve">—</w:t>
      </w:r>
      <w:r>
        <w:t xml:space="preserve"> </w:t>
      </w:r>
      <w:r>
        <w:rPr>
          <w:i/>
        </w:rPr>
        <w:t xml:space="preserve">Jerke</w:t>
      </w:r>
      <w:r>
        <w:t xml:space="preserve">, 597 P.2d 49 (Mont. 1979)</w:t>
      </w:r>
      <w:r>
        <w:t xml:space="preserve"> </w:t>
      </w:r>
      <w:r>
        <w:t xml:space="preserve">[@jerke-1979]</w:t>
      </w:r>
      <w:r>
        <w:t xml:space="preserve">;</w:t>
      </w:r>
      <w:r>
        <w:t xml:space="preserve"> </w:t>
      </w:r>
      <w:r>
        <w:rPr>
          <w:b/>
        </w:rPr>
        <w:t xml:space="preserve">Idaho</w:t>
      </w:r>
      <w:r>
        <w:t xml:space="preserve"> </w:t>
      </w:r>
      <w:r>
        <w:t xml:space="preserve">—</w:t>
      </w:r>
      <w:r>
        <w:t xml:space="preserve"> </w:t>
      </w:r>
      <w:r>
        <w:rPr>
          <w:i/>
        </w:rPr>
        <w:t xml:space="preserve">Idaho Watersheds Project</w:t>
      </w:r>
      <w:r>
        <w:t xml:space="preserve">, 133 Idaho 64 (1999)</w:t>
      </w:r>
      <w:r>
        <w:t xml:space="preserve"> </w:t>
      </w:r>
      <w:r>
        <w:t xml:space="preserve">[@idaho-watersheds-1999]</w:t>
      </w:r>
      <w:r>
        <w:t xml:space="preserve">;</w:t>
      </w:r>
      <w:r>
        <w:t xml:space="preserve"> </w:t>
      </w:r>
      <w:r>
        <w:rPr>
          <w:b/>
        </w:rPr>
        <w:t xml:space="preserve">Mississippi</w:t>
      </w:r>
      <w:r>
        <w:t xml:space="preserve"> </w:t>
      </w:r>
      <w:r>
        <w:t xml:space="preserve">—</w:t>
      </w:r>
      <w:r>
        <w:t xml:space="preserve"> </w:t>
      </w:r>
      <w:r>
        <w:rPr>
          <w:i/>
        </w:rPr>
        <w:t xml:space="preserve">Clark</w:t>
      </w:r>
      <w:r>
        <w:t xml:space="preserve">, 887 So. 2d 798 (Miss. 2004)</w:t>
      </w:r>
      <w:r>
        <w:t xml:space="preserve"> </w:t>
      </w:r>
      <w:r>
        <w:t xml:space="preserve">[@clark-2004]</w:t>
      </w:r>
      <w:r>
        <w:t xml:space="preserve"> </w:t>
      </w:r>
      <w:r>
        <w:t xml:space="preserve">(market-value benchmark where competitive disposition is not the practice).</w:t>
      </w:r>
    </w:p>
  </w:footnote>
  <w:footnote w:id="372">
    <w:p>
      <w:pPr>
        <w:pStyle w:val="FootnoteText"/>
      </w:pPr>
      <w:r>
        <w:rPr>
          <w:rStyle w:val="FootnoteReference"/>
        </w:rPr>
        <w:footnoteRef/>
      </w:r>
      <w:r>
        <w:t xml:space="preserve"> </w:t>
      </w:r>
      <w:r>
        <w:rPr>
          <w:i/>
        </w:rPr>
        <w:t xml:space="preserve">State ex rel. King v. Lyons</w:t>
      </w:r>
      <w:r>
        <w:t xml:space="preserve">, 2011-NMSC-004, 248 P.3d 878</w:t>
      </w:r>
      <w:r>
        <w:t xml:space="preserve"> </w:t>
      </w:r>
      <w:r>
        <w:t xml:space="preserve">[@lyons-2011]</w:t>
      </w:r>
      <w:r>
        <w:t xml:space="preserve">.</w:t>
      </w:r>
    </w:p>
  </w:footnote>
  <w:footnote w:id="373">
    <w:p>
      <w:pPr>
        <w:pStyle w:val="FootnoteText"/>
      </w:pPr>
      <w:r>
        <w:rPr>
          <w:rStyle w:val="FootnoteReference"/>
        </w:rPr>
        <w:footnoteRef/>
      </w:r>
      <w:r>
        <w:t xml:space="preserve"> </w:t>
      </w:r>
      <w:r>
        <w:t xml:space="preserve">Accord, collected by state:</w:t>
      </w:r>
      <w:r>
        <w:t xml:space="preserve"> </w:t>
      </w:r>
      <w:r>
        <w:rPr>
          <w:b/>
        </w:rPr>
        <w:t xml:space="preserve">Federal (Arizona)</w:t>
      </w:r>
      <w:r>
        <w:t xml:space="preserve"> </w:t>
      </w:r>
      <w:r>
        <w:t xml:space="preserve">—</w:t>
      </w:r>
      <w:r>
        <w:t xml:space="preserve"> </w:t>
      </w:r>
      <w:r>
        <w:rPr>
          <w:i/>
        </w:rPr>
        <w:t xml:space="preserve">Lassen</w:t>
      </w:r>
      <w:r>
        <w:t xml:space="preserve">, 385 U.S. 458 (1967)</w:t>
      </w:r>
      <w:r>
        <w:t xml:space="preserve"> </w:t>
      </w:r>
      <w:r>
        <w:t xml:space="preserve">[@lassen-1967]</w:t>
      </w:r>
      <w:r>
        <w:t xml:space="preserve"> </w:t>
      </w:r>
      <w:r>
        <w:t xml:space="preserve">(internal transfer between state agencies carries no exemption from trust compensation);</w:t>
      </w:r>
      <w:r>
        <w:t xml:space="preserve"> </w:t>
      </w:r>
      <w:r>
        <w:rPr>
          <w:b/>
        </w:rPr>
        <w:t xml:space="preserve">Washington</w:t>
      </w:r>
      <w:r>
        <w:t xml:space="preserve"> </w:t>
      </w:r>
      <w:r>
        <w:t xml:space="preserve">—</w:t>
      </w:r>
      <w:r>
        <w:t xml:space="preserve"> </w:t>
      </w:r>
      <w:r>
        <w:rPr>
          <w:i/>
        </w:rPr>
        <w:t xml:space="preserve">Skamania</w:t>
      </w:r>
      <w:r>
        <w:t xml:space="preserve">, 102 Wn.2d 127 (1984)</w:t>
      </w:r>
      <w:r>
        <w:t xml:space="preserve"> </w:t>
      </w:r>
      <w:r>
        <w:t xml:space="preserve">[@skamania-1984]</w:t>
      </w:r>
      <w:r>
        <w:t xml:space="preserve"> </w:t>
      </w:r>
      <w:r>
        <w:t xml:space="preserve">(contract rights are trust assets; legislative release is a transfer requiring full value);</w:t>
      </w:r>
      <w:r>
        <w:t xml:space="preserve"> </w:t>
      </w:r>
      <w:r>
        <w:rPr>
          <w:b/>
        </w:rPr>
        <w:t xml:space="preserve">Arizona</w:t>
      </w:r>
      <w:r>
        <w:t xml:space="preserve"> </w:t>
      </w:r>
      <w:r>
        <w:t xml:space="preserve">—</w:t>
      </w:r>
      <w:r>
        <w:t xml:space="preserve"> </w:t>
      </w:r>
      <w:r>
        <w:rPr>
          <w:i/>
        </w:rPr>
        <w:t xml:space="preserve">Deer Valley</w:t>
      </w:r>
      <w:r>
        <w:t xml:space="preserve">, 157 Ariz. 537 (1988)</w:t>
      </w:r>
      <w:r>
        <w:t xml:space="preserve"> </w:t>
      </w:r>
      <w:r>
        <w:t xml:space="preserve">[@deer-valley-1988]</w:t>
      </w:r>
      <w:r>
        <w:t xml:space="preserve">;</w:t>
      </w:r>
      <w:r>
        <w:t xml:space="preserve"> </w:t>
      </w:r>
      <w:r>
        <w:rPr>
          <w:b/>
        </w:rPr>
        <w:t xml:space="preserve">Oregon</w:t>
      </w:r>
      <w:r>
        <w:t xml:space="preserve"> </w:t>
      </w:r>
      <w:r>
        <w:t xml:space="preserve">—</w:t>
      </w:r>
      <w:r>
        <w:t xml:space="preserve"> </w:t>
      </w:r>
      <w:r>
        <w:rPr>
          <w:i/>
        </w:rPr>
        <w:t xml:space="preserve">Warner Valley</w:t>
      </w:r>
      <w:r>
        <w:t xml:space="preserve">, 56 Or 283 (1910)</w:t>
      </w:r>
      <w:r>
        <w:t xml:space="preserve"> </w:t>
      </w:r>
      <w:r>
        <w:t xml:space="preserve">[@warner-valley-1910]</w:t>
      </w:r>
      <w:r>
        <w:t xml:space="preserve">;</w:t>
      </w:r>
      <w:r>
        <w:t xml:space="preserve"> </w:t>
      </w:r>
      <w:r>
        <w:rPr>
          <w:b/>
        </w:rPr>
        <w:t xml:space="preserve">Wyoming</w:t>
      </w:r>
      <w:r>
        <w:t xml:space="preserve"> </w:t>
      </w:r>
      <w:r>
        <w:t xml:space="preserve">—</w:t>
      </w:r>
      <w:r>
        <w:t xml:space="preserve"> </w:t>
      </w:r>
      <w:r>
        <w:rPr>
          <w:i/>
        </w:rPr>
        <w:t xml:space="preserve">Director of the Office of State Lands &amp; Investments v. Merbanco, Inc.</w:t>
      </w:r>
      <w:r>
        <w:t xml:space="preserve">, 2003 WY 73, 70 P.3d 241 (Wyo. 2003)</w:t>
      </w:r>
      <w:r>
        <w:t xml:space="preserve"> </w:t>
      </w:r>
      <w:r>
        <w:t xml:space="preserve">[@merbanco-2003]</w:t>
      </w:r>
      <w:r>
        <w:t xml:space="preserve"> </w:t>
      </w:r>
      <w:r>
        <w:t xml:space="preserve">(within the body of law recognizing enforceable school trusts; the Wyoming Constitution requires public auction for</w:t>
      </w:r>
      <w:r>
        <w:t xml:space="preserve"> </w:t>
      </w:r>
      <w:r>
        <w:rPr>
          <w:i/>
        </w:rPr>
        <w:t xml:space="preserve">sales</w:t>
      </w:r>
      <w:r>
        <w:t xml:space="preserve"> </w:t>
      </w:r>
      <w:r>
        <w:t xml:space="preserve">of school lands, though the court held that</w:t>
      </w:r>
      <w:r>
        <w:t xml:space="preserve"> </w:t>
      </w:r>
      <w:r>
        <w:rPr>
          <w:i/>
        </w:rPr>
        <w:t xml:space="preserve">exchanges</w:t>
      </w:r>
      <w:r>
        <w:t xml:space="preserve"> </w:t>
      </w:r>
      <w:r>
        <w:t xml:space="preserve">of equal value are not</w:t>
      </w:r>
      <w:r>
        <w:t xml:space="preserve"> </w:t>
      </w:r>
      <w:r>
        <w:t xml:space="preserve">“</w:t>
      </w:r>
      <w:r>
        <w:t xml:space="preserve">sales</w:t>
      </w:r>
      <w:r>
        <w:t xml:space="preserve">”</w:t>
      </w:r>
      <w:r>
        <w:t xml:space="preserve"> </w:t>
      </w:r>
      <w:r>
        <w:t xml:space="preserve">and may proceed without auction — verified against the primary, L0; CourtListener cluster 2639445).</w:t>
      </w:r>
    </w:p>
  </w:footnote>
  <w:footnote w:id="375">
    <w:p>
      <w:pPr>
        <w:pStyle w:val="FootnoteText"/>
      </w:pPr>
      <w:r>
        <w:rPr>
          <w:rStyle w:val="FootnoteReference"/>
        </w:rPr>
        <w:footnoteRef/>
      </w:r>
      <w:r>
        <w:t xml:space="preserve"> </w:t>
      </w:r>
      <w:r>
        <w:rPr>
          <w:i/>
        </w:rPr>
        <w:t xml:space="preserve">State of Louisiana ex rel. Plaquemines Parish School Board v. Plaquemines Parish Government</w:t>
      </w:r>
      <w:r>
        <w:t xml:space="preserve">, 652 So. 2d 1 (La. App. 4 Cir. Dec. 15, 1994; supplemented on rehearing Apr. 7, 1995)</w:t>
      </w:r>
      <w:r>
        <w:t xml:space="preserve"> </w:t>
      </w:r>
      <w:r>
        <w:t xml:space="preserve">[@plaquemines-1994]</w:t>
      </w:r>
      <w:r>
        <w:t xml:space="preserve"> </w:t>
      </w:r>
      <w:r>
        <w:t xml:space="preserve">(No. 93-CA-2339). Full opinion verified against the primary (L0; CourtListener cluster 1113910); the quoted alienation rule appears in the opinion: school trust lands</w:t>
      </w:r>
      <w:r>
        <w:t xml:space="preserve"> </w:t>
      </w:r>
      <w:r>
        <w:t xml:space="preserve">“</w:t>
      </w:r>
      <w:r>
        <w:t xml:space="preserve">can be alienated only where it is of benefit to school in some manner such as payment of the sale or lease price to the school fund or school board.</w:t>
      </w:r>
      <w:r>
        <w:t xml:space="preserve">”</w:t>
      </w:r>
    </w:p>
  </w:footnote>
  <w:footnote w:id="376">
    <w:p>
      <w:pPr>
        <w:pStyle w:val="FootnoteText"/>
      </w:pPr>
      <w:r>
        <w:rPr>
          <w:rStyle w:val="FootnoteReference"/>
        </w:rPr>
        <w:footnoteRef/>
      </w:r>
      <w:r>
        <w:t xml:space="preserve"> </w:t>
      </w:r>
      <w:r>
        <w:t xml:space="preserve">Accord cases for the township-trust benefit floor not yet collected beyond Louisiana and Mississippi; see Architecture § C, verification wave 2.</w:t>
      </w:r>
    </w:p>
  </w:footnote>
  <w:footnote w:id="377">
    <w:p>
      <w:pPr>
        <w:pStyle w:val="FootnoteText"/>
      </w:pPr>
      <w:r>
        <w:rPr>
          <w:rStyle w:val="FootnoteReference"/>
        </w:rPr>
        <w:footnoteRef/>
      </w:r>
      <w:r>
        <w:t xml:space="preserve"> </w:t>
      </w:r>
      <w:r>
        <w:rPr>
          <w:i/>
        </w:rPr>
        <w:t xml:space="preserve">Clark v. Stephen D. Lee Foundation</w:t>
      </w:r>
      <w:r>
        <w:t xml:space="preserve">, 887 So. 2d 798 (Miss. 2004)</w:t>
      </w:r>
      <w:r>
        <w:t xml:space="preserve"> </w:t>
      </w:r>
      <w:r>
        <w:t xml:space="preserve">[@clark-2004]</w:t>
      </w:r>
      <w:r>
        <w:t xml:space="preserve">.</w:t>
      </w:r>
    </w:p>
  </w:footnote>
  <w:footnote w:id="379">
    <w:p>
      <w:pPr>
        <w:pStyle w:val="FootnoteText"/>
      </w:pPr>
      <w:r>
        <w:rPr>
          <w:rStyle w:val="FootnoteReference"/>
        </w:rPr>
        <w:footnoteRef/>
      </w:r>
      <w:r>
        <w:t xml:space="preserve"> </w:t>
      </w:r>
      <w:r>
        <w:rPr>
          <w:i/>
        </w:rPr>
        <w:t xml:space="preserve">Cascadia Wildlands v. Department of State Lands</w:t>
      </w:r>
      <w:r>
        <w:t xml:space="preserve">, 365 Or 750, 765-66 (2019)</w:t>
      </w:r>
      <w:r>
        <w:t xml:space="preserve"> </w:t>
      </w:r>
      <w:r>
        <w:t xml:space="preserve">[@cascadia-2019]</w:t>
      </w:r>
      <w:r>
        <w:t xml:space="preserve"> </w:t>
      </w:r>
      <w:r>
        <w:t xml:space="preserve">(no</w:t>
      </w:r>
      <w:r>
        <w:t xml:space="preserve"> </w:t>
      </w:r>
      <w:r>
        <w:t xml:space="preserve">“</w:t>
      </w:r>
      <w:r>
        <w:t xml:space="preserve">core function</w:t>
      </w:r>
      <w:r>
        <w:t xml:space="preserve">”</w:t>
      </w:r>
      <w:r>
        <w:t xml:space="preserve"> </w:t>
      </w:r>
      <w:r>
        <w:t xml:space="preserve">of revenue maximization invalidating a withdrawal statute, while observing that</w:t>
      </w:r>
      <w:r>
        <w:t xml:space="preserve"> </w:t>
      </w:r>
      <w:r>
        <w:t xml:space="preserve">“</w:t>
      </w:r>
      <w:r>
        <w:t xml:space="preserve">the</w:t>
      </w:r>
      <w:r>
        <w:t xml:space="preserve"> </w:t>
      </w:r>
      <w:r>
        <w:t xml:space="preserve">‘</w:t>
      </w:r>
      <w:r>
        <w:t xml:space="preserve">greatest benefit</w:t>
      </w:r>
      <w:r>
        <w:t xml:space="preserve">’</w:t>
      </w:r>
      <w:r>
        <w:t xml:space="preserve"> </w:t>
      </w:r>
      <w:r>
        <w:t xml:space="preserve">mandate may require the State Land Board to maximize net profit, for example, by obtaining the best price for the authorized sale of timber on common school lands</w:t>
      </w:r>
      <w:r>
        <w:t xml:space="preserve">”</w:t>
      </w:r>
      <w:r>
        <w:t xml:space="preserve">).</w:t>
      </w:r>
    </w:p>
  </w:footnote>
  <w:footnote w:id="380">
    <w:p>
      <w:pPr>
        <w:pStyle w:val="FootnoteText"/>
      </w:pPr>
      <w:r>
        <w:rPr>
          <w:rStyle w:val="FootnoteReference"/>
        </w:rPr>
        <w:footnoteRef/>
      </w:r>
      <w:r>
        <w:t xml:space="preserve"> </w:t>
      </w:r>
      <w:r>
        <w:t xml:space="preserve">Accord on legislative design authority, collected by state:</w:t>
      </w:r>
      <w:r>
        <w:t xml:space="preserve"> </w:t>
      </w:r>
      <w:r>
        <w:rPr>
          <w:b/>
        </w:rPr>
        <w:t xml:space="preserve">Oregon</w:t>
      </w:r>
      <w:r>
        <w:t xml:space="preserve"> </w:t>
      </w:r>
      <w:r>
        <w:t xml:space="preserve">—</w:t>
      </w:r>
      <w:r>
        <w:t xml:space="preserve"> </w:t>
      </w:r>
      <w:r>
        <w:rPr>
          <w:i/>
        </w:rPr>
        <w:t xml:space="preserve">Johnson v. Department of Revenue</w:t>
      </w:r>
      <w:r>
        <w:t xml:space="preserve">, 292 Or 373, 382 (1982)</w:t>
      </w:r>
      <w:r>
        <w:t xml:space="preserve"> </w:t>
      </w:r>
      <w:r>
        <w:t xml:space="preserve">[@johnson-1982]</w:t>
      </w:r>
      <w:r>
        <w:t xml:space="preserve"> </w:t>
      </w:r>
      <w:r>
        <w:t xml:space="preserve">(use of common school funds a legislative determination,</w:t>
      </w:r>
      <w:r>
        <w:t xml:space="preserve"> </w:t>
      </w:r>
      <w:r>
        <w:t xml:space="preserve">“</w:t>
      </w:r>
      <w:r>
        <w:t xml:space="preserve">subject to the overall requirement</w:t>
      </w:r>
      <w:r>
        <w:t xml:space="preserve">”</w:t>
      </w:r>
      <w:r>
        <w:t xml:space="preserve"> </w:t>
      </w:r>
      <w:r>
        <w:t xml:space="preserve">of beneficiary benefit and the duty</w:t>
      </w:r>
      <w:r>
        <w:t xml:space="preserve"> </w:t>
      </w:r>
      <w:r>
        <w:t xml:space="preserve">“</w:t>
      </w:r>
      <w:r>
        <w:t xml:space="preserve">to derive the greatest net profit</w:t>
      </w:r>
      <w:r>
        <w:t xml:space="preserve">”</w:t>
      </w:r>
      <w:r>
        <w:t xml:space="preserve">);</w:t>
      </w:r>
      <w:r>
        <w:t xml:space="preserve"> </w:t>
      </w:r>
      <w:r>
        <w:rPr>
          <w:b/>
        </w:rPr>
        <w:t xml:space="preserve">Colorado (federal)</w:t>
      </w:r>
      <w:r>
        <w:t xml:space="preserve"> </w:t>
      </w:r>
      <w:r>
        <w:t xml:space="preserve">—</w:t>
      </w:r>
      <w:r>
        <w:t xml:space="preserve"> </w:t>
      </w:r>
      <w:r>
        <w:rPr>
          <w:i/>
        </w:rPr>
        <w:t xml:space="preserve">Branson School District RE-82 v. Romer</w:t>
      </w:r>
      <w:r>
        <w:t xml:space="preserve">, 161 F.3d 619 (10th Cir. 1998)</w:t>
      </w:r>
      <w:r>
        <w:t xml:space="preserve"> </w:t>
      </w:r>
      <w:r>
        <w:t xml:space="preserve">[@branson-1998]</w:t>
      </w:r>
      <w:r>
        <w:t xml:space="preserve"> </w:t>
      </w:r>
      <w:r>
        <w:t xml:space="preserve">(structural reform sustained within the trust);</w:t>
      </w:r>
      <w:r>
        <w:t xml:space="preserve"> </w:t>
      </w:r>
      <w:r>
        <w:rPr>
          <w:b/>
        </w:rPr>
        <w:t xml:space="preserve">Montana</w:t>
      </w:r>
      <w:r>
        <w:t xml:space="preserve"> </w:t>
      </w:r>
      <w:r>
        <w:t xml:space="preserve">—</w:t>
      </w:r>
      <w:r>
        <w:t xml:space="preserve"> </w:t>
      </w:r>
      <w:r>
        <w:rPr>
          <w:i/>
        </w:rPr>
        <w:t xml:space="preserve">Montanans for the Responsible Use of the School Trust v. Darkenwald</w:t>
      </w:r>
      <w:r>
        <w:t xml:space="preserve">, 2005 MT 190</w:t>
      </w:r>
      <w:r>
        <w:t xml:space="preserve"> </w:t>
      </w:r>
      <w:r>
        <w:t xml:space="preserve">[@darkenwald-2005]</w:t>
      </w:r>
      <w:r>
        <w:t xml:space="preserve"> </w:t>
      </w:r>
      <w:r>
        <w:t xml:space="preserve">(commingling-with-reconciliation statute sustained; the field’s leading counter-precedent).</w:t>
      </w:r>
    </w:p>
  </w:footnote>
  <w:footnote w:id="381">
    <w:p>
      <w:pPr>
        <w:pStyle w:val="FootnoteText"/>
      </w:pPr>
      <w:r>
        <w:rPr>
          <w:rStyle w:val="FootnoteReference"/>
        </w:rPr>
        <w:footnoteRef/>
      </w:r>
      <w:r>
        <w:t xml:space="preserve"> </w:t>
      </w:r>
      <w:r>
        <w:t xml:space="preserve">Utah Code § 53C-4-104 (H.B. 262, 2024), with implementing rule Utah Admin. R. R850-80-630</w:t>
      </w:r>
      <w:r>
        <w:t xml:space="preserve"> </w:t>
      </w:r>
      <w:r>
        <w:t xml:space="preserve">[@act-utah-hb262-2024]</w:t>
      </w:r>
      <w:r>
        <w:t xml:space="preserve">. See § 10.6 (the Book Cliffs transaction, described from the public record).</w:t>
      </w:r>
    </w:p>
  </w:footnote>
  <w:footnote w:id="383">
    <w:p>
      <w:pPr>
        <w:pStyle w:val="FootnoteText"/>
      </w:pPr>
      <w:r>
        <w:rPr>
          <w:rStyle w:val="FootnoteReference"/>
        </w:rPr>
        <w:footnoteRef/>
      </w:r>
      <w:r>
        <w:t xml:space="preserve"> </w:t>
      </w:r>
      <w:r>
        <w:t xml:space="preserve">See §§ 9.1–9.2 and the authorities collected at notes 2 and 9.</w:t>
      </w:r>
    </w:p>
  </w:footnote>
  <w:footnote w:id="384">
    <w:p>
      <w:pPr>
        <w:pStyle w:val="FootnoteText"/>
      </w:pPr>
      <w:r>
        <w:rPr>
          <w:rStyle w:val="FootnoteReference"/>
        </w:rPr>
        <w:footnoteRef/>
      </w:r>
      <w:r>
        <w:t xml:space="preserve"> </w:t>
      </w:r>
      <w:r>
        <w:t xml:space="preserve">See § 9.2 and the authorities collected at note 7; on remedies, Chapter 18.</w:t>
      </w:r>
    </w:p>
  </w:footnote>
  <w:footnote w:id="387">
    <w:p>
      <w:pPr>
        <w:pStyle w:val="FootnoteText"/>
      </w:pPr>
      <w:r>
        <w:rPr>
          <w:rStyle w:val="FootnoteReference"/>
        </w:rPr>
        <w:footnoteRef/>
      </w:r>
      <w:r>
        <w:t xml:space="preserve"> </w:t>
      </w:r>
      <w:r>
        <w:rPr>
          <w:i/>
        </w:rPr>
        <w:t xml:space="preserve">Lassen v. Arizona ex rel. Arizona Highway Department</w:t>
      </w:r>
      <w:r>
        <w:t xml:space="preserve">, 385 U.S. 458, 466-67 (1967)</w:t>
      </w:r>
      <w:r>
        <w:t xml:space="preserve"> </w:t>
      </w:r>
      <w:r>
        <w:t xml:space="preserve">[@lassen-1967]</w:t>
      </w:r>
      <w:r>
        <w:t xml:space="preserve"> </w:t>
      </w:r>
      <w:r>
        <w:t xml:space="preserve">(rejecting Arizona’s contention that an internal transfer between state agencies carried no trust consequences; full appraised value owed).</w:t>
      </w:r>
    </w:p>
  </w:footnote>
  <w:footnote w:id="388">
    <w:p>
      <w:pPr>
        <w:pStyle w:val="FootnoteText"/>
      </w:pPr>
      <w:r>
        <w:rPr>
          <w:rStyle w:val="FootnoteReference"/>
        </w:rPr>
        <w:footnoteRef/>
      </w:r>
      <w:r>
        <w:t xml:space="preserve"> </w:t>
      </w:r>
      <w:r>
        <w:t xml:space="preserve">Accord, collected by state:</w:t>
      </w:r>
      <w:r>
        <w:t xml:space="preserve"> </w:t>
      </w:r>
      <w:r>
        <w:rPr>
          <w:b/>
        </w:rPr>
        <w:t xml:space="preserve">Alaska</w:t>
      </w:r>
      <w:r>
        <w:t xml:space="preserve"> </w:t>
      </w:r>
      <w:r>
        <w:t xml:space="preserve">—</w:t>
      </w:r>
      <w:r>
        <w:t xml:space="preserve"> </w:t>
      </w:r>
      <w:r>
        <w:rPr>
          <w:i/>
        </w:rPr>
        <w:t xml:space="preserve">State v. University of Alaska</w:t>
      </w:r>
      <w:r>
        <w:t xml:space="preserve">, 624 P.2d 807, 813 (Alaska 1981)</w:t>
      </w:r>
      <w:r>
        <w:t xml:space="preserve"> </w:t>
      </w:r>
      <w:r>
        <w:t xml:space="preserve">[@university-of-alaska-1981]</w:t>
      </w:r>
      <w:r>
        <w:t xml:space="preserve"> </w:t>
      </w:r>
      <w:r>
        <w:t xml:space="preserve">(park inclusion of trust land without compensation</w:t>
      </w:r>
      <w:r>
        <w:t xml:space="preserve"> </w:t>
      </w:r>
      <w:r>
        <w:t xml:space="preserve">“</w:t>
      </w:r>
      <w:r>
        <w:t xml:space="preserve">a breach of a federal trust</w:t>
      </w:r>
      <w:r>
        <w:t xml:space="preserve">”</w:t>
      </w:r>
      <w:r>
        <w:t xml:space="preserve">);</w:t>
      </w:r>
      <w:r>
        <w:t xml:space="preserve"> </w:t>
      </w:r>
      <w:r>
        <w:rPr>
          <w:b/>
        </w:rPr>
        <w:t xml:space="preserve">Arizona</w:t>
      </w:r>
      <w:r>
        <w:t xml:space="preserve"> </w:t>
      </w:r>
      <w:r>
        <w:t xml:space="preserve">—</w:t>
      </w:r>
      <w:r>
        <w:t xml:space="preserve"> </w:t>
      </w:r>
      <w:r>
        <w:rPr>
          <w:i/>
        </w:rPr>
        <w:t xml:space="preserve">Deer Valley Unified School District No. 97 v. Superior Court</w:t>
      </w:r>
      <w:r>
        <w:t xml:space="preserve">, 157 Ariz. 537, 760 P.2d 537 (1988)</w:t>
      </w:r>
      <w:r>
        <w:t xml:space="preserve"> </w:t>
      </w:r>
      <w:r>
        <w:t xml:space="preserve">[@deer-valley-1988]</w:t>
      </w:r>
      <w:r>
        <w:t xml:space="preserve"> </w:t>
      </w:r>
      <w:r>
        <w:t xml:space="preserve">(condemnation by state actors barred; trust land</w:t>
      </w:r>
      <w:r>
        <w:t xml:space="preserve"> </w:t>
      </w:r>
      <w:r>
        <w:t xml:space="preserve">“</w:t>
      </w:r>
      <w:r>
        <w:t xml:space="preserve">is not state land</w:t>
      </w:r>
      <w:r>
        <w:t xml:space="preserve">”</w:t>
      </w:r>
      <w:r>
        <w:t xml:space="preserve">);</w:t>
      </w:r>
      <w:r>
        <w:t xml:space="preserve"> </w:t>
      </w:r>
      <w:r>
        <w:rPr>
          <w:b/>
        </w:rPr>
        <w:t xml:space="preserve">Montana</w:t>
      </w:r>
      <w:r>
        <w:t xml:space="preserve"> </w:t>
      </w:r>
      <w:r>
        <w:t xml:space="preserve">—</w:t>
      </w:r>
      <w:r>
        <w:t xml:space="preserve"> </w:t>
      </w:r>
      <w:r>
        <w:rPr>
          <w:i/>
        </w:rPr>
        <w:t xml:space="preserve">Department of State Lands v. Pettibone</w:t>
      </w:r>
      <w:r>
        <w:t xml:space="preserve">, 702 P.2d 948 (Mont. 1985)</w:t>
      </w:r>
      <w:r>
        <w:t xml:space="preserve"> </w:t>
      </w:r>
      <w:r>
        <w:t xml:space="preserve">[@pettibone-1985]</w:t>
      </w:r>
      <w:r>
        <w:t xml:space="preserve"> </w:t>
      </w:r>
      <w:r>
        <w:t xml:space="preserve">(appurtenant water rights are trust interests requiring compensation);</w:t>
      </w:r>
      <w:r>
        <w:t xml:space="preserve"> </w:t>
      </w:r>
      <w:r>
        <w:rPr>
          <w:b/>
        </w:rPr>
        <w:t xml:space="preserve">Nebraska</w:t>
      </w:r>
      <w:r>
        <w:t xml:space="preserve"> </w:t>
      </w:r>
      <w:r>
        <w:t xml:space="preserve">—</w:t>
      </w:r>
      <w:r>
        <w:t xml:space="preserve"> </w:t>
      </w:r>
      <w:r>
        <w:rPr>
          <w:i/>
        </w:rPr>
        <w:t xml:space="preserve">State v. Platte Valley Public Power &amp; Irrigation District</w:t>
      </w:r>
      <w:r>
        <w:t xml:space="preserve">, 147 Neb. 289, 23 N.W.2d 300 (1946)</w:t>
      </w:r>
      <w:r>
        <w:t xml:space="preserve"> </w:t>
      </w:r>
      <w:r>
        <w:t xml:space="preserve">[@platte-valley-1946]</w:t>
      </w:r>
      <w:r>
        <w:t xml:space="preserve"> </w:t>
      </w:r>
      <w:r>
        <w:t xml:space="preserve">(full value on taking of a leased school section by an irrigation district);</w:t>
      </w:r>
      <w:r>
        <w:t xml:space="preserve"> </w:t>
      </w:r>
      <w:r>
        <w:rPr>
          <w:b/>
        </w:rPr>
        <w:t xml:space="preserve">New Mexico</w:t>
      </w:r>
      <w:r>
        <w:t xml:space="preserve"> </w:t>
      </w:r>
      <w:r>
        <w:t xml:space="preserve">—</w:t>
      </w:r>
      <w:r>
        <w:t xml:space="preserve"> </w:t>
      </w:r>
      <w:r>
        <w:rPr>
          <w:i/>
        </w:rPr>
        <w:t xml:space="preserve">State ex rel. State Highway Commission v. Walker</w:t>
      </w:r>
      <w:r>
        <w:t xml:space="preserve">, 61 N.M. 374, 301 P.2d 317 (1956)</w:t>
      </w:r>
      <w:r>
        <w:t xml:space="preserve"> </w:t>
      </w:r>
      <w:r>
        <w:t xml:space="preserve">[@walker-1956]</w:t>
      </w:r>
      <w:r>
        <w:t xml:space="preserve"> </w:t>
      </w:r>
      <w:r>
        <w:t xml:space="preserve">(trust compensation rules apply to internal state takings);</w:t>
      </w:r>
      <w:r>
        <w:t xml:space="preserve"> </w:t>
      </w:r>
      <w:r>
        <w:rPr>
          <w:b/>
        </w:rPr>
        <w:t xml:space="preserve">South Dakota</w:t>
      </w:r>
      <w:r>
        <w:t xml:space="preserve"> </w:t>
      </w:r>
      <w:r>
        <w:t xml:space="preserve">—</w:t>
      </w:r>
      <w:r>
        <w:t xml:space="preserve"> </w:t>
      </w:r>
      <w:r>
        <w:rPr>
          <w:i/>
        </w:rPr>
        <w:t xml:space="preserve">Kanaly v. State ex rel. Janklow</w:t>
      </w:r>
      <w:r>
        <w:t xml:space="preserve">, 368 N.W.2d 819 (S.D. 1985)</w:t>
      </w:r>
      <w:r>
        <w:t xml:space="preserve"> </w:t>
      </w:r>
      <w:r>
        <w:t xml:space="preserve">[@kanaly-1985]</w:t>
      </w:r>
      <w:r>
        <w:t xml:space="preserve"> </w:t>
      </w:r>
      <w:r>
        <w:t xml:space="preserve">(uncompensated inter-agency transfer unconstitutional).</w:t>
      </w:r>
    </w:p>
  </w:footnote>
  <w:footnote w:id="390">
    <w:p>
      <w:pPr>
        <w:pStyle w:val="FootnoteText"/>
      </w:pPr>
      <w:r>
        <w:rPr>
          <w:rStyle w:val="FootnoteReference"/>
        </w:rPr>
        <w:footnoteRef/>
      </w:r>
      <w:r>
        <w:t xml:space="preserve"> </w:t>
      </w:r>
      <w:r>
        <w:rPr>
          <w:i/>
        </w:rPr>
        <w:t xml:space="preserve">Lassen</w:t>
      </w:r>
      <w:r>
        <w:t xml:space="preserve">, 385 U.S. 458, 466-67 (1967)</w:t>
      </w:r>
      <w:r>
        <w:t xml:space="preserve"> </w:t>
      </w:r>
      <w:r>
        <w:t xml:space="preserve">[@lassen-1967]</w:t>
      </w:r>
      <w:r>
        <w:t xml:space="preserve">; per the verified files, the opinion also notes (at 460) that the absence of the word</w:t>
      </w:r>
      <w:r>
        <w:t xml:space="preserve"> </w:t>
      </w:r>
      <w:r>
        <w:t xml:space="preserve">“</w:t>
      </w:r>
      <w:r>
        <w:t xml:space="preserve">trust</w:t>
      </w:r>
      <w:r>
        <w:t xml:space="preserve">”</w:t>
      </w:r>
      <w:r>
        <w:t xml:space="preserve"> </w:t>
      </w:r>
      <w:r>
        <w:t xml:space="preserve">from granting language is not determinative.</w:t>
      </w:r>
    </w:p>
  </w:footnote>
  <w:footnote w:id="391">
    <w:p>
      <w:pPr>
        <w:pStyle w:val="FootnoteText"/>
      </w:pPr>
      <w:r>
        <w:rPr>
          <w:rStyle w:val="FootnoteReference"/>
        </w:rPr>
        <w:footnoteRef/>
      </w:r>
      <w:r>
        <w:t xml:space="preserve"> </w:t>
      </w:r>
      <w:r>
        <w:rPr>
          <w:i/>
        </w:rPr>
        <w:t xml:space="preserve">Ervien v. United States</w:t>
      </w:r>
      <w:r>
        <w:t xml:space="preserve">, 251 U.S. 41, 47-48 (1919)</w:t>
      </w:r>
      <w:r>
        <w:t xml:space="preserve"> </w:t>
      </w:r>
      <w:r>
        <w:t xml:space="preserve">[@ervien-1919]</w:t>
      </w:r>
      <w:r>
        <w:t xml:space="preserve"> </w:t>
      </w:r>
      <w:r>
        <w:t xml:space="preserve">(the enumeration passage at 47; diversion of trust proceeds to state promotional purposes</w:t>
      </w:r>
      <w:r>
        <w:t xml:space="preserve"> </w:t>
      </w:r>
      <w:r>
        <w:t xml:space="preserve">“</w:t>
      </w:r>
      <w:r>
        <w:t xml:space="preserve">could not reach the odious dereliction of a breach of trust in the state</w:t>
      </w:r>
      <w:r>
        <w:t xml:space="preserve">”</w:t>
      </w:r>
      <w:r>
        <w:t xml:space="preserve"> </w:t>
      </w:r>
      <w:r>
        <w:t xml:space="preserve">merely because a private proprietor might think it wise administration — the</w:t>
      </w:r>
      <w:r>
        <w:t xml:space="preserve"> </w:t>
      </w:r>
      <w:r>
        <w:t xml:space="preserve">“</w:t>
      </w:r>
      <w:r>
        <w:t xml:space="preserve">odious dereliction</w:t>
      </w:r>
      <w:r>
        <w:t xml:space="preserve">”</w:t>
      </w:r>
      <w:r>
        <w:t xml:space="preserve"> </w:t>
      </w:r>
      <w:r>
        <w:t xml:space="preserve">passage at 48, pin per the 2026-06-07 verification). Accord cases applying the exclusivity rule to internal transfers are those collected at note 2.</w:t>
      </w:r>
    </w:p>
  </w:footnote>
  <w:footnote w:id="393">
    <w:p>
      <w:pPr>
        <w:pStyle w:val="FootnoteText"/>
      </w:pPr>
      <w:r>
        <w:rPr>
          <w:rStyle w:val="FootnoteReference"/>
        </w:rPr>
        <w:footnoteRef/>
      </w:r>
      <w:r>
        <w:t xml:space="preserve"> </w:t>
      </w:r>
      <w:r>
        <w:rPr>
          <w:i/>
        </w:rPr>
        <w:t xml:space="preserve">Kanaly v. State ex rel. Janklow</w:t>
      </w:r>
      <w:r>
        <w:t xml:space="preserve">, 368 N.W.2d 819, 823 (S.D. 1985)</w:t>
      </w:r>
      <w:r>
        <w:t xml:space="preserve"> </w:t>
      </w:r>
      <w:r>
        <w:t xml:space="preserve">[@kanaly-1985]</w:t>
      </w:r>
      <w:r>
        <w:t xml:space="preserve"> </w:t>
      </w:r>
      <w:r>
        <w:t xml:space="preserve">[pin cites beyond p. 823 pending — Register G-6]. The subsequent opinion in the same controversy is</w:t>
      </w:r>
      <w:r>
        <w:t xml:space="preserve"> </w:t>
      </w:r>
      <w:r>
        <w:rPr>
          <w:i/>
        </w:rPr>
        <w:t xml:space="preserve">Kanaly v. State ex rel. Janklow</w:t>
      </w:r>
      <w:r>
        <w:t xml:space="preserve">, 401 N.W.2d 551 (S.D. 1987)</w:t>
      </w:r>
      <w:r>
        <w:t xml:space="preserve"> </w:t>
      </w:r>
      <w:r>
        <w:t xml:space="preserve">[@kanaly-1987]</w:t>
      </w:r>
      <w:r>
        <w:t xml:space="preserve">; the 397 N.W.2d 374 citation formerly carried in the project files is erroneous (resolved 2026-06-07).</w:t>
      </w:r>
    </w:p>
  </w:footnote>
  <w:footnote w:id="394">
    <w:p>
      <w:pPr>
        <w:pStyle w:val="FootnoteText"/>
      </w:pPr>
      <w:r>
        <w:rPr>
          <w:rStyle w:val="FootnoteReference"/>
        </w:rPr>
        <w:footnoteRef/>
      </w:r>
      <w:r>
        <w:t xml:space="preserve"> </w:t>
      </w:r>
      <w:r>
        <w:rPr>
          <w:i/>
        </w:rPr>
        <w:t xml:space="preserve">State ex rel. State Highway Commission v. Walker</w:t>
      </w:r>
      <w:r>
        <w:t xml:space="preserve">, 61 N.M. 374, 301 P.2d 317 (1956)</w:t>
      </w:r>
      <w:r>
        <w:t xml:space="preserve"> </w:t>
      </w:r>
      <w:r>
        <w:t xml:space="preserve">[@walker-1956]</w:t>
      </w:r>
      <w:r>
        <w:t xml:space="preserve"> </w:t>
      </w:r>
      <w:r>
        <w:t xml:space="preserve">(disapproving N.M. Att’y Gen. Op. No. 3454 (1922)</w:t>
      </w:r>
      <w:r>
        <w:t xml:space="preserve"> </w:t>
      </w:r>
      <w:r>
        <w:t xml:space="preserve">[@ag-nm-3454-1922]</w:t>
      </w:r>
      <w:r>
        <w:t xml:space="preserve"> </w:t>
      </w:r>
      <w:r>
        <w:t xml:space="preserve">and Op. No. 64 (1931)</w:t>
      </w:r>
      <w:r>
        <w:t xml:space="preserve"> </w:t>
      </w:r>
      <w:r>
        <w:t xml:space="preserve">[@ag-nm-64-1931]</w:t>
      </w:r>
      <w:r>
        <w:t xml:space="preserve">).</w:t>
      </w:r>
    </w:p>
  </w:footnote>
  <w:footnote w:id="395">
    <w:p>
      <w:pPr>
        <w:pStyle w:val="FootnoteText"/>
      </w:pPr>
      <w:r>
        <w:rPr>
          <w:rStyle w:val="FootnoteReference"/>
        </w:rPr>
        <w:footnoteRef/>
      </w:r>
      <w:r>
        <w:t xml:space="preserve"> </w:t>
      </w:r>
      <w:r>
        <w:rPr>
          <w:i/>
        </w:rPr>
        <w:t xml:space="preserve">State v. University of Alaska</w:t>
      </w:r>
      <w:r>
        <w:t xml:space="preserve">, 624 P.2d 807, 813 (Alaska 1981)</w:t>
      </w:r>
      <w:r>
        <w:t xml:space="preserve"> </w:t>
      </w:r>
      <w:r>
        <w:t xml:space="preserve">[@university-of-alaska-1981]</w:t>
      </w:r>
      <w:r>
        <w:t xml:space="preserve">; see also</w:t>
      </w:r>
      <w:r>
        <w:t xml:space="preserve"> </w:t>
      </w:r>
      <w:r>
        <w:rPr>
          <w:i/>
        </w:rPr>
        <w:t xml:space="preserve">State v. Weiss</w:t>
      </w:r>
      <w:r>
        <w:t xml:space="preserve">, 706 P.2d 681, 683 (Alaska 1985)</w:t>
      </w:r>
      <w:r>
        <w:t xml:space="preserve"> </w:t>
      </w:r>
      <w:r>
        <w:t xml:space="preserve">[@weiss-1985]</w:t>
      </w:r>
      <w:r>
        <w:t xml:space="preserve"> </w:t>
      </w:r>
      <w:r>
        <w:t xml:space="preserve">(mental-health lands trust;</w:t>
      </w:r>
      <w:r>
        <w:t xml:space="preserve"> </w:t>
      </w:r>
      <w:r>
        <w:t xml:space="preserve">“</w:t>
      </w:r>
      <w:r>
        <w:t xml:space="preserve">without trust property there can be no trust</w:t>
      </w:r>
      <w:r>
        <w:t xml:space="preserve">”</w:t>
      </w:r>
      <w:r>
        <w:t xml:space="preserve">).</w:t>
      </w:r>
    </w:p>
  </w:footnote>
  <w:footnote w:id="396">
    <w:p>
      <w:pPr>
        <w:pStyle w:val="FootnoteText"/>
      </w:pPr>
      <w:r>
        <w:rPr>
          <w:rStyle w:val="FootnoteReference"/>
        </w:rPr>
        <w:footnoteRef/>
      </w:r>
      <w:r>
        <w:t xml:space="preserve"> </w:t>
      </w:r>
      <w:r>
        <w:rPr>
          <w:i/>
        </w:rPr>
        <w:t xml:space="preserve">Department of State Lands v. Pettibone</w:t>
      </w:r>
      <w:r>
        <w:t xml:space="preserve">, 702 P.2d 948 (Mont. 1985)</w:t>
      </w:r>
      <w:r>
        <w:t xml:space="preserve"> </w:t>
      </w:r>
      <w:r>
        <w:t xml:space="preserve">[@pettibone-1985]</w:t>
      </w:r>
      <w:r>
        <w:t xml:space="preserve">.</w:t>
      </w:r>
    </w:p>
  </w:footnote>
  <w:footnote w:id="397">
    <w:p>
      <w:pPr>
        <w:pStyle w:val="FootnoteText"/>
      </w:pPr>
      <w:r>
        <w:rPr>
          <w:rStyle w:val="FootnoteReference"/>
        </w:rPr>
        <w:footnoteRef/>
      </w:r>
      <w:r>
        <w:t xml:space="preserve"> </w:t>
      </w:r>
      <w:r>
        <w:t xml:space="preserve">The forms collected by state appear at note 2. Transactional fiduciary review of a land board’s internal financial dealings has Oregon-canon support:</w:t>
      </w:r>
      <w:r>
        <w:t xml:space="preserve"> </w:t>
      </w:r>
      <w:r>
        <w:rPr>
          <w:i/>
        </w:rPr>
        <w:t xml:space="preserve">Eagle Point Irrigation District v. Cowden</w:t>
      </w:r>
      <w:r>
        <w:t xml:space="preserve">, 137 Or 121, 124 (1931)</w:t>
      </w:r>
      <w:r>
        <w:t xml:space="preserve"> </w:t>
      </w:r>
      <w:r>
        <w:t xml:space="preserve">[@eagle-point-1931]</w:t>
      </w:r>
      <w:r>
        <w:t xml:space="preserve"> </w:t>
      </w:r>
      <w:r>
        <w:t xml:space="preserve">(Land Board lending is</w:t>
      </w:r>
      <w:r>
        <w:t xml:space="preserve"> </w:t>
      </w:r>
      <w:r>
        <w:t xml:space="preserve">“</w:t>
      </w:r>
      <w:r>
        <w:t xml:space="preserve">the execution of a trust of the highest nature, which has been created by the fundamental law of this state</w:t>
      </w:r>
      <w:r>
        <w:t xml:space="preserve">”</w:t>
      </w:r>
      <w:r>
        <w:t xml:space="preserve">).</w:t>
      </w:r>
    </w:p>
  </w:footnote>
  <w:footnote w:id="399">
    <w:p>
      <w:pPr>
        <w:pStyle w:val="FootnoteText"/>
      </w:pPr>
      <w:r>
        <w:rPr>
          <w:rStyle w:val="FootnoteReference"/>
        </w:rPr>
        <w:footnoteRef/>
      </w:r>
      <w:r>
        <w:t xml:space="preserve"> </w:t>
      </w:r>
      <w:r>
        <w:rPr>
          <w:i/>
        </w:rPr>
        <w:t xml:space="preserve">Deer Valley Unified School District No. 97 v. Superior Court</w:t>
      </w:r>
      <w:r>
        <w:t xml:space="preserve">, 157 Ariz. 537, 760 P.2d 537 (1988)</w:t>
      </w:r>
      <w:r>
        <w:t xml:space="preserve"> </w:t>
      </w:r>
      <w:r>
        <w:t xml:space="preserve">[@deer-valley-1988]</w:t>
      </w:r>
      <w:r>
        <w:t xml:space="preserve">.</w:t>
      </w:r>
    </w:p>
  </w:footnote>
  <w:footnote w:id="400">
    <w:p>
      <w:pPr>
        <w:pStyle w:val="FootnoteText"/>
      </w:pPr>
      <w:r>
        <w:rPr>
          <w:rStyle w:val="FootnoteReference"/>
        </w:rPr>
        <w:footnoteRef/>
      </w:r>
      <w:r>
        <w:t xml:space="preserve"> </w:t>
      </w:r>
      <w:r>
        <w:t xml:space="preserve">Accord condemnation-bar cases not yet collected beyond Arizona; see Architecture § C, verification wave 2. The compensation-rule states at note 2 reach the same protective end by a different route.</w:t>
      </w:r>
    </w:p>
  </w:footnote>
  <w:footnote w:id="402">
    <w:p>
      <w:pPr>
        <w:pStyle w:val="FootnoteText"/>
      </w:pPr>
      <w:r>
        <w:rPr>
          <w:rStyle w:val="FootnoteReference"/>
        </w:rPr>
        <w:footnoteRef/>
      </w:r>
      <w:r>
        <w:t xml:space="preserve"> </w:t>
      </w:r>
      <w:r>
        <w:rPr>
          <w:i/>
        </w:rPr>
        <w:t xml:space="preserve">National Parks &amp; Conservation Association v. Board of State Lands</w:t>
      </w:r>
      <w:r>
        <w:t xml:space="preserve">, 869 P.2d 909, 920, 922 (Utah 1993)</w:t>
      </w:r>
      <w:r>
        <w:t xml:space="preserve"> </w:t>
      </w:r>
      <w:r>
        <w:t xml:space="preserve">[@npca-1993]</w:t>
      </w:r>
      <w:r>
        <w:t xml:space="preserve"> </w:t>
      </w:r>
      <w:r>
        <w:t xml:space="preserve">(purchaser-submitted appraisals</w:t>
      </w:r>
      <w:r>
        <w:t xml:space="preserve"> </w:t>
      </w:r>
      <w:r>
        <w:t xml:space="preserve">“</w:t>
      </w:r>
      <w:r>
        <w:t xml:space="preserve">suspect on its face,</w:t>
      </w:r>
      <w:r>
        <w:t xml:space="preserve">”</w:t>
      </w:r>
      <w:r>
        <w:t xml:space="preserve"> </w:t>
      </w:r>
      <w:r>
        <w:t xml:space="preserve">at 922; the trust</w:t>
      </w:r>
      <w:r>
        <w:t xml:space="preserve"> </w:t>
      </w:r>
      <w:r>
        <w:t xml:space="preserve">“</w:t>
      </w:r>
      <w:r>
        <w:t xml:space="preserve">not only imposed on the disposition of proceeds from school trust lands, but also on the use of the land itself,</w:t>
      </w:r>
      <w:r>
        <w:t xml:space="preserve">”</w:t>
      </w:r>
      <w:r>
        <w:t xml:space="preserve"> </w:t>
      </w:r>
      <w:r>
        <w:t xml:space="preserve">at 920 — quotations verified against the full opinion, 2026-06-07). The</w:t>
      </w:r>
      <w:r>
        <w:t xml:space="preserve"> </w:t>
      </w:r>
      <w:r>
        <w:t xml:space="preserve">“</w:t>
      </w:r>
      <w:r>
        <w:t xml:space="preserve">Utah 2010</w:t>
      </w:r>
      <w:r>
        <w:t xml:space="preserve">”</w:t>
      </w:r>
      <w:r>
        <w:t xml:space="preserve"> </w:t>
      </w:r>
      <w:r>
        <w:t xml:space="preserve">citation formerly carried in the verified files refers to a distinct, later decision in the same Capitol Reef exchange controversy:</w:t>
      </w:r>
      <w:r>
        <w:t xml:space="preserve"> </w:t>
      </w:r>
      <w:r>
        <w:rPr>
          <w:i/>
        </w:rPr>
        <w:t xml:space="preserve">National Parks Conservation Association v. Board of Trustees of the School &amp; Institutional Trust Lands Administration</w:t>
      </w:r>
      <w:r>
        <w:t xml:space="preserve">, 2010 UT 13</w:t>
      </w:r>
      <w:r>
        <w:t xml:space="preserve"> </w:t>
      </w:r>
      <w:r>
        <w:t xml:space="preserve">[@npca-sitla-2010]</w:t>
      </w:r>
      <w:r>
        <w:t xml:space="preserve"> </w:t>
      </w:r>
      <w:r>
        <w:t xml:space="preserve">(affirming the redone exchange as consistent with trust obligations; P.3d parallel citation pending pull). Citations to the appraisal rule run to the 1993 decision; the 2010 decision cuts the other way on outcome and must not be substituted for it (resolved 2026-06-07, Register G-4).</w:t>
      </w:r>
    </w:p>
  </w:footnote>
  <w:footnote w:id="403">
    <w:p>
      <w:pPr>
        <w:pStyle w:val="FootnoteText"/>
      </w:pPr>
      <w:r>
        <w:rPr>
          <w:rStyle w:val="FootnoteReference"/>
        </w:rPr>
        <w:footnoteRef/>
      </w:r>
      <w:r>
        <w:t xml:space="preserve"> </w:t>
      </w:r>
      <w:r>
        <w:rPr>
          <w:i/>
        </w:rPr>
        <w:t xml:space="preserve">Propst v. Board of Educational Lands &amp; Funds</w:t>
      </w:r>
      <w:r>
        <w:t xml:space="preserve">, 156 Neb. 226, 55 N.W.2d 653 (1952)</w:t>
      </w:r>
      <w:r>
        <w:t xml:space="preserve"> </w:t>
      </w:r>
      <w:r>
        <w:t xml:space="preserve">[@propst-1952]</w:t>
      </w:r>
      <w:r>
        <w:t xml:space="preserve">.</w:t>
      </w:r>
    </w:p>
  </w:footnote>
  <w:footnote w:id="404">
    <w:p>
      <w:pPr>
        <w:pStyle w:val="FootnoteText"/>
      </w:pPr>
      <w:r>
        <w:rPr>
          <w:rStyle w:val="FootnoteReference"/>
        </w:rPr>
        <w:footnoteRef/>
      </w:r>
      <w:r>
        <w:t xml:space="preserve"> </w:t>
      </w:r>
      <w:r>
        <w:t xml:space="preserve">The no-further-inquiry rule: Restatement (Third) of Trusts § 78 cmt. b (Am. Law Inst. 2007)</w:t>
      </w:r>
      <w:r>
        <w:t xml:space="preserve"> </w:t>
      </w:r>
      <w:r>
        <w:t xml:space="preserve">[@restatement3d-trusts-78]</w:t>
      </w:r>
      <w:r>
        <w:t xml:space="preserve"> </w:t>
      </w:r>
      <w:r>
        <w:t xml:space="preserve">[VERIFY pin — comment letter and quotation against the printed Restatement]; George G. Bogert, George T. Bogert &amp; Amy M. Hess, The Law of Trusts and Trustees § 543</w:t>
      </w:r>
      <w:r>
        <w:t xml:space="preserve"> </w:t>
      </w:r>
      <w:r>
        <w:t xml:space="preserve">[@bogert-trusts-543]</w:t>
      </w:r>
      <w:r>
        <w:t xml:space="preserve"> </w:t>
      </w:r>
      <w:r>
        <w:t xml:space="preserve">[VERIFY pin — section confirmed as the self-dealing/no-further-inquiry discussion; edition and subsection pending]. See also Restatement (Second) of Trusts § 170</w:t>
      </w:r>
      <w:r>
        <w:t xml:space="preserve"> </w:t>
      </w:r>
      <w:r>
        <w:t xml:space="preserve">[@restatement2d-trusts-170]</w:t>
      </w:r>
      <w:r>
        <w:t xml:space="preserve"> </w:t>
      </w:r>
      <w:r>
        <w:t xml:space="preserve">[VERIFY pin].</w:t>
      </w:r>
    </w:p>
  </w:footnote>
  <w:footnote w:id="405">
    <w:p>
      <w:pPr>
        <w:pStyle w:val="FootnoteText"/>
      </w:pPr>
      <w:r>
        <w:rPr>
          <w:rStyle w:val="FootnoteReference"/>
        </w:rPr>
        <w:footnoteRef/>
      </w:r>
      <w:r>
        <w:t xml:space="preserve"> </w:t>
      </w:r>
      <w:r>
        <w:t xml:space="preserve">The four-question test is synthesis, not holding; its elements are each case-supported (</w:t>
      </w:r>
      <w:r>
        <w:rPr>
          <w:i/>
        </w:rPr>
        <w:t xml:space="preserve">NPCA</w:t>
      </w:r>
      <w:r>
        <w:t xml:space="preserve"> </w:t>
      </w:r>
      <w:r>
        <w:t xml:space="preserve">— appraiser independence and assumptions;</w:t>
      </w:r>
      <w:r>
        <w:t xml:space="preserve"> </w:t>
      </w:r>
      <w:r>
        <w:rPr>
          <w:i/>
        </w:rPr>
        <w:t xml:space="preserve">Lyons</w:t>
      </w:r>
      <w:r>
        <w:t xml:space="preserve">, 2011-NMSC-004</w:t>
      </w:r>
      <w:r>
        <w:t xml:space="preserve"> </w:t>
      </w:r>
      <w:r>
        <w:t xml:space="preserve">[@lyons-2011]</w:t>
      </w:r>
      <w:r>
        <w:t xml:space="preserve"> </w:t>
      </w:r>
      <w:r>
        <w:t xml:space="preserve">— market exposure;</w:t>
      </w:r>
      <w:r>
        <w:t xml:space="preserve"> </w:t>
      </w:r>
      <w:r>
        <w:rPr>
          <w:i/>
        </w:rPr>
        <w:t xml:space="preserve">Lassen</w:t>
      </w:r>
      <w:r>
        <w:t xml:space="preserve"> </w:t>
      </w:r>
      <w:r>
        <w:t xml:space="preserve">[@lassen-1967]</w:t>
      </w:r>
      <w:r>
        <w:t xml:space="preserve"> </w:t>
      </w:r>
      <w:r>
        <w:t xml:space="preserve">and</w:t>
      </w:r>
      <w:r>
        <w:t xml:space="preserve"> </w:t>
      </w:r>
      <w:r>
        <w:rPr>
          <w:i/>
        </w:rPr>
        <w:t xml:space="preserve">Kanaly</w:t>
      </w:r>
      <w:r>
        <w:t xml:space="preserve"> </w:t>
      </w:r>
      <w:r>
        <w:t xml:space="preserve">[@kanaly-1985]</w:t>
      </w:r>
      <w:r>
        <w:t xml:space="preserve"> </w:t>
      </w:r>
      <w:r>
        <w:t xml:space="preserve">— consideration actually paid to the trust). Accord cases assembling the elements in one holding not yet collected; see Architecture § C, verification wave 2.</w:t>
      </w:r>
    </w:p>
  </w:footnote>
  <w:footnote w:id="407">
    <w:p>
      <w:pPr>
        <w:pStyle w:val="FootnoteText"/>
      </w:pPr>
      <w:r>
        <w:rPr>
          <w:rStyle w:val="FootnoteReference"/>
        </w:rPr>
        <w:footnoteRef/>
      </w:r>
      <w:r>
        <w:t xml:space="preserve"> </w:t>
      </w:r>
      <w:r>
        <w:t xml:space="preserve">Utah Code § 53C-4-104 (H.B. 262, 2024); Utah Admin. R. R850-80-630</w:t>
      </w:r>
      <w:r>
        <w:t xml:space="preserve"> </w:t>
      </w:r>
      <w:r>
        <w:t xml:space="preserve">[@act-utah-hb262-2024]</w:t>
      </w:r>
      <w:r>
        <w:t xml:space="preserve">; Tonia Day,</w:t>
      </w:r>
      <w:r>
        <w:t xml:space="preserve"> </w:t>
      </w:r>
      <w:r>
        <w:rPr>
          <w:i/>
        </w:rPr>
        <w:t xml:space="preserve">The Self-Dealing Shell Game: Utah’s Book Cliffs Deal</w:t>
      </w:r>
      <w:r>
        <w:t xml:space="preserve"> </w:t>
      </w:r>
      <w:r>
        <w:t xml:space="preserve">(Advocates for School Trust Lands, May 2026)</w:t>
      </w:r>
      <w:r>
        <w:t xml:space="preserve"> </w:t>
      </w:r>
      <w:r>
        <w:t xml:space="preserve">[@day-bookcliffs-2026]</w:t>
      </w:r>
      <w:r>
        <w:t xml:space="preserve"> </w:t>
      </w:r>
      <w:r>
        <w:t xml:space="preserve">(the critical analysis; positions attributed; cited as a documented contemporary instance, not as doctrinal authority). Per the project’s verification of 2026-06-07, the Trust Lands Administration issued its Director’s Finding on May 21, 2026, and the board’s possible action was calendared for May 29, 2026 [VERIFY the vote outcome and current transaction status before publication].</w:t>
      </w:r>
    </w:p>
  </w:footnote>
  <w:footnote w:id="408">
    <w:p>
      <w:pPr>
        <w:pStyle w:val="FootnoteText"/>
      </w:pPr>
      <w:r>
        <w:rPr>
          <w:rStyle w:val="FootnoteReference"/>
        </w:rPr>
        <w:footnoteRef/>
      </w:r>
      <w:r>
        <w:t xml:space="preserve"> </w:t>
      </w:r>
      <w:r>
        <w:t xml:space="preserve">Oregon State Land Board meeting materials: December 2022 decoupling packet and minutes</w:t>
      </w:r>
      <w:r>
        <w:t xml:space="preserve"> </w:t>
      </w:r>
      <w:r>
        <w:t xml:space="preserve">[@slb-packet-2022-12]</w:t>
      </w:r>
      <w:r>
        <w:t xml:space="preserve">; June 11, 2024 packet</w:t>
      </w:r>
      <w:r>
        <w:t xml:space="preserve"> </w:t>
      </w:r>
      <w:r>
        <w:t xml:space="preserve">[@slb-packet-2024-06-11]</w:t>
      </w:r>
      <w:r>
        <w:t xml:space="preserve">; June 9, 2026 packet</w:t>
      </w:r>
      <w:r>
        <w:t xml:space="preserve"> </w:t>
      </w:r>
      <w:r>
        <w:t xml:space="preserve">[@slb-packet-2026-06-09]</w:t>
      </w:r>
      <w:r>
        <w:t xml:space="preserve">. All held as public records in the project’s primary-source collection. The Elliott payment, appraisal, and valuation figures in the text route to the L0 litigation record for pinning; none was verified in the 2026-06-07 pass.</w:t>
      </w:r>
    </w:p>
  </w:footnote>
  <w:footnote w:id="409">
    <w:p>
      <w:pPr>
        <w:pStyle w:val="FootnoteText"/>
      </w:pPr>
      <w:r>
        <w:rPr>
          <w:rStyle w:val="FootnoteReference"/>
        </w:rPr>
        <w:footnoteRef/>
      </w:r>
      <w:r>
        <w:t xml:space="preserve"> </w:t>
      </w:r>
      <w:r>
        <w:t xml:space="preserve">Oregon State Land Board meeting packet, June 9, 2026, Agenda Item 11 (Department memo)</w:t>
      </w:r>
      <w:r>
        <w:t xml:space="preserve"> </w:t>
      </w:r>
      <w:r>
        <w:t xml:space="preserve">[@slb-packet-2026-06-09]</w:t>
      </w:r>
      <w:r>
        <w:t xml:space="preserve"> </w:t>
      </w:r>
      <w:r>
        <w:t xml:space="preserve">(quotations verified against the packet text); June 11, 2024 packet, Item 4b</w:t>
      </w:r>
      <w:r>
        <w:t xml:space="preserve"> </w:t>
      </w:r>
      <w:r>
        <w:t xml:space="preserve">[@slb-packet-2024-06-11]</w:t>
      </w:r>
      <w:r>
        <w:t xml:space="preserve">.</w:t>
      </w:r>
    </w:p>
  </w:footnote>
  <w:footnote w:id="410">
    <w:p>
      <w:pPr>
        <w:pStyle w:val="FootnoteText"/>
      </w:pPr>
      <w:r>
        <w:rPr>
          <w:rStyle w:val="FootnoteReference"/>
        </w:rPr>
        <w:footnoteRef/>
      </w:r>
      <w:r>
        <w:t xml:space="preserve"> </w:t>
      </w:r>
      <w:r>
        <w:t xml:space="preserve">Oregon State Land Board meeting packets, December 2023 (Item on the Winchester sale)</w:t>
      </w:r>
      <w:r>
        <w:t xml:space="preserve"> </w:t>
      </w:r>
      <w:r>
        <w:t xml:space="preserve">[@slb-packet-2023-12]</w:t>
      </w:r>
      <w:r>
        <w:t xml:space="preserve"> </w:t>
      </w:r>
      <w:r>
        <w:t xml:space="preserve">and June 9, 2026, Agenda Item 5</w:t>
      </w:r>
      <w:r>
        <w:t xml:space="preserve"> </w:t>
      </w:r>
      <w:r>
        <w:t xml:space="preserve">[@slb-packet-2026-06-09]</w:t>
      </w:r>
      <w:r>
        <w:t xml:space="preserve">.</w:t>
      </w:r>
    </w:p>
  </w:footnote>
  <w:footnote w:id="411">
    <w:p>
      <w:pPr>
        <w:pStyle w:val="FootnoteText"/>
      </w:pPr>
      <w:r>
        <w:rPr>
          <w:rStyle w:val="FootnoteReference"/>
        </w:rPr>
        <w:footnoteRef/>
      </w:r>
      <w:r>
        <w:t xml:space="preserve"> </w:t>
      </w:r>
      <w:r>
        <w:rPr>
          <w:i/>
        </w:rPr>
        <w:t xml:space="preserve">NPCA</w:t>
      </w:r>
      <w:r>
        <w:t xml:space="preserve">, 869 P.2d 909, 922 (Utah 1993)</w:t>
      </w:r>
      <w:r>
        <w:t xml:space="preserve"> </w:t>
      </w:r>
      <w:r>
        <w:t xml:space="preserve">[@npca-1993]</w:t>
      </w:r>
      <w:r>
        <w:t xml:space="preserve"> </w:t>
      </w:r>
      <w:r>
        <w:t xml:space="preserve">(quotation verified against the full opinion, 2026-06-07); see § 10.5.</w:t>
      </w:r>
    </w:p>
  </w:footnote>
  <w:footnote w:id="413">
    <w:p>
      <w:pPr>
        <w:pStyle w:val="FootnoteText"/>
      </w:pPr>
      <w:r>
        <w:rPr>
          <w:rStyle w:val="FootnoteReference"/>
        </w:rPr>
        <w:footnoteRef/>
      </w:r>
      <w:r>
        <w:t xml:space="preserve"> </w:t>
      </w:r>
      <w:r>
        <w:rPr>
          <w:i/>
        </w:rPr>
        <w:t xml:space="preserve">Cascadia Wildlands</w:t>
      </w:r>
      <w:r>
        <w:t xml:space="preserve">, 365 Or 750 (2019)</w:t>
      </w:r>
      <w:r>
        <w:t xml:space="preserve"> </w:t>
      </w:r>
      <w:r>
        <w:t xml:space="preserve">[@cascadia-2019]</w:t>
      </w:r>
      <w:r>
        <w:t xml:space="preserve">;</w:t>
      </w:r>
      <w:r>
        <w:t xml:space="preserve"> </w:t>
      </w:r>
      <w:r>
        <w:rPr>
          <w:i/>
        </w:rPr>
        <w:t xml:space="preserve">Johnson v. Department of Revenue</w:t>
      </w:r>
      <w:r>
        <w:t xml:space="preserve">, 292 Or 373 (1982)</w:t>
      </w:r>
      <w:r>
        <w:t xml:space="preserve"> </w:t>
      </w:r>
      <w:r>
        <w:t xml:space="preserve">[@johnson-1982]</w:t>
      </w:r>
      <w:r>
        <w:t xml:space="preserve">;</w:t>
      </w:r>
      <w:r>
        <w:t xml:space="preserve"> </w:t>
      </w:r>
      <w:r>
        <w:rPr>
          <w:i/>
        </w:rPr>
        <w:t xml:space="preserve">Branson School District RE-82 v. Romer</w:t>
      </w:r>
      <w:r>
        <w:t xml:space="preserve">, 161 F.3d 619 (10th Cir. 1998)</w:t>
      </w:r>
      <w:r>
        <w:t xml:space="preserve"> </w:t>
      </w:r>
      <w:r>
        <w:t xml:space="preserve">[@branson-1998]</w:t>
      </w:r>
      <w:r>
        <w:t xml:space="preserve">;</w:t>
      </w:r>
      <w:r>
        <w:t xml:space="preserve"> </w:t>
      </w:r>
      <w:r>
        <w:rPr>
          <w:i/>
        </w:rPr>
        <w:t xml:space="preserve">Montanans for the Responsible Use of the School Trust v. Darkenwald</w:t>
      </w:r>
      <w:r>
        <w:t xml:space="preserve">, 2005 MT 190</w:t>
      </w:r>
      <w:r>
        <w:t xml:space="preserve"> </w:t>
      </w:r>
      <w:r>
        <w:t xml:space="preserve">[@darkenwald-2005]</w:t>
      </w:r>
      <w:r>
        <w:t xml:space="preserve">.</w:t>
      </w:r>
    </w:p>
  </w:footnote>
  <w:footnote w:id="414">
    <w:p>
      <w:pPr>
        <w:pStyle w:val="FootnoteText"/>
      </w:pPr>
      <w:r>
        <w:rPr>
          <w:rStyle w:val="FootnoteReference"/>
        </w:rPr>
        <w:footnoteRef/>
      </w:r>
      <w:r>
        <w:t xml:space="preserve"> </w:t>
      </w:r>
      <w:r>
        <w:rPr>
          <w:i/>
        </w:rPr>
        <w:t xml:space="preserve">Ervien</w:t>
      </w:r>
      <w:r>
        <w:t xml:space="preserve">, 251 U.S. 41 (1919)</w:t>
      </w:r>
      <w:r>
        <w:t xml:space="preserve"> </w:t>
      </w:r>
      <w:r>
        <w:t xml:space="preserve">[@ervien-1919]</w:t>
      </w:r>
      <w:r>
        <w:t xml:space="preserve">;</w:t>
      </w:r>
      <w:r>
        <w:t xml:space="preserve"> </w:t>
      </w:r>
      <w:r>
        <w:rPr>
          <w:i/>
        </w:rPr>
        <w:t xml:space="preserve">University of Alaska</w:t>
      </w:r>
      <w:r>
        <w:t xml:space="preserve">, 624 P.2d 807 (Alaska 1981)</w:t>
      </w:r>
      <w:r>
        <w:t xml:space="preserve"> </w:t>
      </w:r>
      <w:r>
        <w:t xml:space="preserve">[@university-of-alaska-1981]</w:t>
      </w:r>
      <w:r>
        <w:t xml:space="preserve">;</w:t>
      </w:r>
      <w:r>
        <w:t xml:space="preserve"> </w:t>
      </w:r>
      <w:r>
        <w:rPr>
          <w:i/>
        </w:rPr>
        <w:t xml:space="preserve">Skamania</w:t>
      </w:r>
      <w:r>
        <w:t xml:space="preserve">, 102 Wn.2d 127 (1984)</w:t>
      </w:r>
      <w:r>
        <w:t xml:space="preserve"> </w:t>
      </w:r>
      <w:r>
        <w:t xml:space="preserve">[@skamania-1984]</w:t>
      </w:r>
      <w:r>
        <w:t xml:space="preserve">.</w:t>
      </w:r>
    </w:p>
  </w:footnote>
  <w:footnote w:id="416">
    <w:p>
      <w:pPr>
        <w:pStyle w:val="FootnoteText"/>
      </w:pPr>
      <w:r>
        <w:rPr>
          <w:rStyle w:val="FootnoteReference"/>
        </w:rPr>
        <w:footnoteRef/>
      </w:r>
      <w:r>
        <w:t xml:space="preserve"> </w:t>
      </w:r>
      <w:r>
        <w:t xml:space="preserve">See §§ 10.2–10.3 and the authorities collected at note 2.</w:t>
      </w:r>
    </w:p>
  </w:footnote>
  <w:footnote w:id="419">
    <w:p>
      <w:pPr>
        <w:pStyle w:val="FootnoteText"/>
      </w:pPr>
      <w:r>
        <w:rPr>
          <w:rStyle w:val="FootnoteReference"/>
        </w:rPr>
        <w:footnoteRef/>
      </w:r>
      <w:r>
        <w:t xml:space="preserve"> </w:t>
      </w:r>
      <w:r>
        <w:rPr>
          <w:i/>
        </w:rPr>
        <w:t xml:space="preserve">State v. Platte Valley Public Power &amp; Irrigation District</w:t>
      </w:r>
      <w:r>
        <w:t xml:space="preserve">, 147 Neb. 289, 302–03, 23 N.W.2d 300 (1946)</w:t>
      </w:r>
      <w:r>
        <w:t xml:space="preserve"> </w:t>
      </w:r>
      <w:r>
        <w:t xml:space="preserve">[@platte-valley-1946]</w:t>
      </w:r>
      <w:r>
        <w:t xml:space="preserve">.</w:t>
      </w:r>
      <w:r>
        <w:t xml:space="preserve"> </w:t>
      </w:r>
      <w:r>
        <w:rPr>
          <w:i/>
        </w:rPr>
        <w:t xml:space="preserve">Platte Valley</w:t>
      </w:r>
      <w:r>
        <w:t xml:space="preserve"> </w:t>
      </w:r>
      <w:r>
        <w:t xml:space="preserve">recognized that the existing lessee holds a renewal preference but not an absolute right:</w:t>
      </w:r>
      <w:r>
        <w:t xml:space="preserve"> </w:t>
      </w:r>
      <w:r>
        <w:t xml:space="preserve">“</w:t>
      </w:r>
      <w:r>
        <w:t xml:space="preserve">the section does not give the lessee an absolute right to a new lease. He is entitled to that lease provided some other person does not bid more …,</w:t>
      </w:r>
      <w:r>
        <w:t xml:space="preserve">”</w:t>
      </w:r>
      <w:r>
        <w:t xml:space="preserve"> </w:t>
      </w:r>
      <w:r>
        <w:t xml:space="preserve">147 Neb. at 302–03 (verified against the full opinion). This is the position the Nebraska legislature later attempted to convert into an automatic-renewal entitlement, producing</w:t>
      </w:r>
      <w:r>
        <w:t xml:space="preserve"> </w:t>
      </w:r>
      <w:r>
        <w:rPr>
          <w:i/>
        </w:rPr>
        <w:t xml:space="preserve">Ebke</w:t>
      </w:r>
      <w:r>
        <w:t xml:space="preserve"> </w:t>
      </w:r>
      <w:r>
        <w:t xml:space="preserve">(§ 11.2).</w:t>
      </w:r>
    </w:p>
  </w:footnote>
  <w:footnote w:id="420">
    <w:p>
      <w:pPr>
        <w:pStyle w:val="FootnoteText"/>
      </w:pPr>
      <w:r>
        <w:rPr>
          <w:rStyle w:val="FootnoteReference"/>
        </w:rPr>
        <w:footnoteRef/>
      </w:r>
      <w:r>
        <w:t xml:space="preserve"> </w:t>
      </w:r>
      <w:r>
        <w:t xml:space="preserve">Accord, collected by state:</w:t>
      </w:r>
      <w:r>
        <w:t xml:space="preserve"> </w:t>
      </w:r>
      <w:r>
        <w:rPr>
          <w:b/>
        </w:rPr>
        <w:t xml:space="preserve">Idaho</w:t>
      </w:r>
      <w:r>
        <w:t xml:space="preserve"> </w:t>
      </w:r>
      <w:r>
        <w:t xml:space="preserve">—</w:t>
      </w:r>
      <w:r>
        <w:t xml:space="preserve"> </w:t>
      </w:r>
      <w:r>
        <w:rPr>
          <w:i/>
        </w:rPr>
        <w:t xml:space="preserve">Idaho Watersheds Project v. State Board of Land Commissioners (IWP II)</w:t>
      </w:r>
      <w:r>
        <w:t xml:space="preserve">, 133 Idaho 64, 982 P.2d 367 (1999)</w:t>
      </w:r>
      <w:r>
        <w:t xml:space="preserve"> </w:t>
      </w:r>
      <w:r>
        <w:t xml:space="preserve">[@idaho-watersheds-ii-1999]</w:t>
      </w:r>
      <w:r>
        <w:t xml:space="preserve"> </w:t>
      </w:r>
      <w:r>
        <w:t xml:space="preserve">(lease conflict rules subordinate to the constitutional return mandate; § 58-310B invalid);</w:t>
      </w:r>
      <w:r>
        <w:t xml:space="preserve"> </w:t>
      </w:r>
      <w:r>
        <w:rPr>
          <w:b/>
        </w:rPr>
        <w:t xml:space="preserve">Mississippi</w:t>
      </w:r>
      <w:r>
        <w:t xml:space="preserve"> </w:t>
      </w:r>
      <w:r>
        <w:t xml:space="preserve">—</w:t>
      </w:r>
      <w:r>
        <w:t xml:space="preserve"> </w:t>
      </w:r>
      <w:r>
        <w:rPr>
          <w:i/>
        </w:rPr>
        <w:t xml:space="preserve">Clark v. Stephen D. Lee Foundation</w:t>
      </w:r>
      <w:r>
        <w:t xml:space="preserve">, 887 So. 2d 798 (Miss. 2004)</w:t>
      </w:r>
      <w:r>
        <w:t xml:space="preserve"> </w:t>
      </w:r>
      <w:r>
        <w:t xml:space="preserve">[@clark-2004]</w:t>
      </w:r>
      <w:r>
        <w:t xml:space="preserve"> </w:t>
      </w:r>
      <w:r>
        <w:t xml:space="preserve">(lease consideration benchmarked to</w:t>
      </w:r>
      <w:r>
        <w:t xml:space="preserve"> </w:t>
      </w:r>
      <w:r>
        <w:t xml:space="preserve">“</w:t>
      </w:r>
      <w:r>
        <w:t xml:space="preserve">the reasonable market value of the leased land</w:t>
      </w:r>
      <w:r>
        <w:t xml:space="preserve">”</w:t>
      </w:r>
      <w:r>
        <w:t xml:space="preserve">);</w:t>
      </w:r>
      <w:r>
        <w:t xml:space="preserve"> </w:t>
      </w:r>
      <w:r>
        <w:rPr>
          <w:b/>
        </w:rPr>
        <w:t xml:space="preserve">Montana</w:t>
      </w:r>
      <w:r>
        <w:t xml:space="preserve"> </w:t>
      </w:r>
      <w:r>
        <w:t xml:space="preserve">—</w:t>
      </w:r>
      <w:r>
        <w:t xml:space="preserve"> </w:t>
      </w:r>
      <w:r>
        <w:rPr>
          <w:i/>
        </w:rPr>
        <w:t xml:space="preserve">Jerke v. State Department of Lands</w:t>
      </w:r>
      <w:r>
        <w:t xml:space="preserve">, 597 P.2d 49 (Mont. 1979)</w:t>
      </w:r>
      <w:r>
        <w:t xml:space="preserve"> </w:t>
      </w:r>
      <w:r>
        <w:t xml:space="preserve">[@jerke-1979]</w:t>
      </w:r>
      <w:r>
        <w:t xml:space="preserve"> </w:t>
      </w:r>
      <w:r>
        <w:t xml:space="preserve">(preference right unconstitutional as applied);</w:t>
      </w:r>
      <w:r>
        <w:t xml:space="preserve"> </w:t>
      </w:r>
      <w:r>
        <w:rPr>
          <w:b/>
        </w:rPr>
        <w:t xml:space="preserve">Oklahoma</w:t>
      </w:r>
      <w:r>
        <w:t xml:space="preserve"> </w:t>
      </w:r>
      <w:r>
        <w:t xml:space="preserve">—</w:t>
      </w:r>
      <w:r>
        <w:t xml:space="preserve"> </w:t>
      </w:r>
      <w:r>
        <w:rPr>
          <w:i/>
        </w:rPr>
        <w:t xml:space="preserve">Oklahoma Education Ass’n, Inc. v. Nigh</w:t>
      </w:r>
      <w:r>
        <w:t xml:space="preserve">, 642 P.2d 230 (Okla. 1982)</w:t>
      </w:r>
      <w:r>
        <w:t xml:space="preserve"> </w:t>
      </w:r>
      <w:r>
        <w:t xml:space="preserve">[@nigh-1982]</w:t>
      </w:r>
      <w:r>
        <w:t xml:space="preserve"> </w:t>
      </w:r>
      <w:r>
        <w:t xml:space="preserve">(legislature cannot diminish the trustee’s duty respecting trust revenues);</w:t>
      </w:r>
      <w:r>
        <w:t xml:space="preserve"> </w:t>
      </w:r>
      <w:r>
        <w:rPr>
          <w:b/>
        </w:rPr>
        <w:t xml:space="preserve">Utah</w:t>
      </w:r>
      <w:r>
        <w:t xml:space="preserve"> </w:t>
      </w:r>
      <w:r>
        <w:t xml:space="preserve">—</w:t>
      </w:r>
      <w:r>
        <w:t xml:space="preserve"> </w:t>
      </w:r>
      <w:r>
        <w:rPr>
          <w:i/>
        </w:rPr>
        <w:t xml:space="preserve">Plateau Mining Co. v. Utah Division of State Lands &amp; Forestry</w:t>
      </w:r>
      <w:r>
        <w:t xml:space="preserve">, 802 P.2d 720 (Utah 1990)</w:t>
      </w:r>
      <w:r>
        <w:t xml:space="preserve"> </w:t>
      </w:r>
      <w:r>
        <w:t xml:space="preserve">[@plateau-1990]</w:t>
      </w:r>
      <w:r>
        <w:t xml:space="preserve"> </w:t>
      </w:r>
      <w:r>
        <w:t xml:space="preserve">(royalty underpayment; no waiver).</w:t>
      </w:r>
    </w:p>
  </w:footnote>
  <w:footnote w:id="422">
    <w:p>
      <w:pPr>
        <w:pStyle w:val="FootnoteText"/>
      </w:pPr>
      <w:r>
        <w:rPr>
          <w:rStyle w:val="FootnoteReference"/>
        </w:rPr>
        <w:footnoteRef/>
      </w:r>
      <w:r>
        <w:t xml:space="preserve"> </w:t>
      </w:r>
      <w:r>
        <w:rPr>
          <w:i/>
        </w:rPr>
        <w:t xml:space="preserve">State ex rel. Ebke v. Board of Educational Lands &amp; Funds</w:t>
      </w:r>
      <w:r>
        <w:t xml:space="preserve">, 154 Neb. 244, 47 N.W.2d 520 (1951)</w:t>
      </w:r>
      <w:r>
        <w:t xml:space="preserve"> </w:t>
      </w:r>
      <w:r>
        <w:t xml:space="preserve">[@ebke-1951]</w:t>
      </w:r>
      <w:r>
        <w:t xml:space="preserve">.</w:t>
      </w:r>
    </w:p>
  </w:footnote>
  <w:footnote w:id="423">
    <w:p>
      <w:pPr>
        <w:pStyle w:val="FootnoteText"/>
      </w:pPr>
      <w:r>
        <w:rPr>
          <w:rStyle w:val="FootnoteReference"/>
        </w:rPr>
        <w:footnoteRef/>
      </w:r>
      <w:r>
        <w:t xml:space="preserve"> </w:t>
      </w:r>
      <w:r>
        <w:rPr>
          <w:i/>
        </w:rPr>
        <w:t xml:space="preserve">Propst v. Board of Educational Lands &amp; Funds</w:t>
      </w:r>
      <w:r>
        <w:t xml:space="preserve">, 156 Neb. 226, 55 N.W.2d 653 (1952)</w:t>
      </w:r>
      <w:r>
        <w:t xml:space="preserve"> </w:t>
      </w:r>
      <w:r>
        <w:t xml:space="preserve">[@propst-1952]</w:t>
      </w:r>
      <w:r>
        <w:t xml:space="preserve">.</w:t>
      </w:r>
    </w:p>
  </w:footnote>
  <w:footnote w:id="424">
    <w:p>
      <w:pPr>
        <w:pStyle w:val="FootnoteText"/>
      </w:pPr>
      <w:r>
        <w:rPr>
          <w:rStyle w:val="FootnoteReference"/>
        </w:rPr>
        <w:footnoteRef/>
      </w:r>
      <w:r>
        <w:t xml:space="preserve"> </w:t>
      </w:r>
      <w:r>
        <w:rPr>
          <w:i/>
        </w:rPr>
        <w:t xml:space="preserve">Jerke v. State Department of Lands</w:t>
      </w:r>
      <w:r>
        <w:t xml:space="preserve">, 597 P.2d 49 (Mont. 1979)</w:t>
      </w:r>
      <w:r>
        <w:t xml:space="preserve"> </w:t>
      </w:r>
      <w:r>
        <w:t xml:space="preserve">[@jerke-1979]</w:t>
      </w:r>
      <w:r>
        <w:t xml:space="preserve">.</w:t>
      </w:r>
    </w:p>
  </w:footnote>
  <w:footnote w:id="425">
    <w:p>
      <w:pPr>
        <w:pStyle w:val="FootnoteText"/>
      </w:pPr>
      <w:r>
        <w:rPr>
          <w:rStyle w:val="FootnoteReference"/>
        </w:rPr>
        <w:footnoteRef/>
      </w:r>
      <w:r>
        <w:t xml:space="preserve"> </w:t>
      </w:r>
      <w:r>
        <w:rPr>
          <w:i/>
        </w:rPr>
        <w:t xml:space="preserve">Idaho Watersheds Project, Inc. v. State Board of Land Commissioners (IWP I)</w:t>
      </w:r>
      <w:r>
        <w:t xml:space="preserve">, 128 Idaho 761, 766, 918 P.2d 1206, 1211 (1996)</w:t>
      </w:r>
      <w:r>
        <w:t xml:space="preserve"> </w:t>
      </w:r>
      <w:r>
        <w:t xml:space="preserve">[@idaho-watersheds-1996]</w:t>
      </w:r>
      <w:r>
        <w:t xml:space="preserve"> </w:t>
      </w:r>
      <w:r>
        <w:t xml:space="preserve">(Board</w:t>
      </w:r>
      <w:r>
        <w:t xml:space="preserve"> </w:t>
      </w:r>
      <w:r>
        <w:t xml:space="preserve">“</w:t>
      </w:r>
      <w:r>
        <w:t xml:space="preserve">does not have the discretion to grant a lease to an applicant who does not place a bid at an auction</w:t>
      </w:r>
      <w:r>
        <w:t xml:space="preserve">”</w:t>
      </w:r>
      <w:r>
        <w:t xml:space="preserve">; auction-bid rule verified against the primary, quoted in the 1999 opinion at 133 Idaho at 56); Idaho Const. Art. IX, § 8</w:t>
      </w:r>
      <w:r>
        <w:t xml:space="preserve"> </w:t>
      </w:r>
      <w:r>
        <w:t xml:space="preserve">[@const-id-art9-s8]</w:t>
      </w:r>
      <w:r>
        <w:t xml:space="preserve"> </w:t>
      </w:r>
      <w:r>
        <w:t xml:space="preserve">(</w:t>
      </w:r>
      <w:r>
        <w:t xml:space="preserve">“</w:t>
      </w:r>
      <w:r>
        <w:t xml:space="preserve">in such manner as will secure the maximum long term financial return</w:t>
      </w:r>
      <w:r>
        <w:t xml:space="preserve">”</w:t>
      </w:r>
      <w:r>
        <w:t xml:space="preserve">). The separate 1999 decision at 133 Idaho 55, 982 P.2d 358 — an original proceeding holding H.J.R. 6 invalid under Art. 20, § 2 (separate-vote rule for constitutional amendments) — is a distinct case and is not the lessee-preference holding.</w:t>
      </w:r>
    </w:p>
  </w:footnote>
  <w:footnote w:id="426">
    <w:p>
      <w:pPr>
        <w:pStyle w:val="FootnoteText"/>
      </w:pPr>
      <w:r>
        <w:rPr>
          <w:rStyle w:val="FootnoteReference"/>
        </w:rPr>
        <w:footnoteRef/>
      </w:r>
      <w:r>
        <w:t xml:space="preserve"> </w:t>
      </w:r>
      <w:r>
        <w:rPr>
          <w:i/>
        </w:rPr>
        <w:t xml:space="preserve">Idaho Watersheds Project v. State Board of Land Commissioners (IWP II)</w:t>
      </w:r>
      <w:r>
        <w:t xml:space="preserve">, 133 Idaho 64, 67–68, 982 P.2d 367, 370–71 (1999)</w:t>
      </w:r>
      <w:r>
        <w:t xml:space="preserve"> </w:t>
      </w:r>
      <w:r>
        <w:t xml:space="preserve">[@idaho-watersheds-ii-1999]</w:t>
      </w:r>
      <w:r>
        <w:t xml:space="preserve"> </w:t>
      </w:r>
      <w:r>
        <w:t xml:space="preserve">(striking Idaho Code § 58-310B</w:t>
      </w:r>
      <w:r>
        <w:t xml:space="preserve"> </w:t>
      </w:r>
      <w:r>
        <w:t xml:space="preserve">[@act-idaho-58-310b]</w:t>
      </w:r>
      <w:r>
        <w:t xml:space="preserve"> </w:t>
      </w:r>
      <w:r>
        <w:t xml:space="preserve">as a violation of the Land Board’s fiduciary duty: the constitution</w:t>
      </w:r>
      <w:r>
        <w:t xml:space="preserve"> </w:t>
      </w:r>
      <w:r>
        <w:t xml:space="preserve">“</w:t>
      </w:r>
      <w:r>
        <w:t xml:space="preserve">requires that the State consider only the</w:t>
      </w:r>
      <w:r>
        <w:t xml:space="preserve"> </w:t>
      </w:r>
      <w:r>
        <w:t xml:space="preserve">‘</w:t>
      </w:r>
      <w:r>
        <w:t xml:space="preserve">maximum long term financial return</w:t>
      </w:r>
      <w:r>
        <w:t xml:space="preserve">’</w:t>
      </w:r>
      <w:r>
        <w:t xml:space="preserve">”</w:t>
      </w:r>
      <w:r>
        <w:t xml:space="preserve"> </w:t>
      </w:r>
      <w:r>
        <w:t xml:space="preserve">to the beneficiary, 133 Idaho at 67; the legislature may not direct the Board to weigh</w:t>
      </w:r>
      <w:r>
        <w:t xml:space="preserve"> </w:t>
      </w:r>
      <w:r>
        <w:t xml:space="preserve">“</w:t>
      </w:r>
      <w:r>
        <w:t xml:space="preserve">the schools, the state, and Idaho livestock industry</w:t>
      </w:r>
      <w:r>
        <w:t xml:space="preserve">”</w:t>
      </w:r>
      <w:r>
        <w:t xml:space="preserve">; holding verified against the primary).</w:t>
      </w:r>
    </w:p>
  </w:footnote>
  <w:footnote w:id="428">
    <w:p>
      <w:pPr>
        <w:pStyle w:val="FootnoteText"/>
      </w:pPr>
      <w:r>
        <w:rPr>
          <w:rStyle w:val="FootnoteReference"/>
        </w:rPr>
        <w:footnoteRef/>
      </w:r>
      <w:r>
        <w:t xml:space="preserve"> </w:t>
      </w:r>
      <w:r>
        <w:t xml:space="preserve">Lead statement:</w:t>
      </w:r>
      <w:r>
        <w:t xml:space="preserve"> </w:t>
      </w:r>
      <w:r>
        <w:rPr>
          <w:i/>
        </w:rPr>
        <w:t xml:space="preserve">Idaho Watersheds Project (IWP II)</w:t>
      </w:r>
      <w:r>
        <w:t xml:space="preserve">, 133 Idaho 64, 982 P.2d 367 (1999)</w:t>
      </w:r>
      <w:r>
        <w:t xml:space="preserve"> </w:t>
      </w:r>
      <w:r>
        <w:t xml:space="preserve">[@idaho-watersheds-ii-1999]</w:t>
      </w:r>
      <w:r>
        <w:t xml:space="preserve"> </w:t>
      </w:r>
      <w:r>
        <w:t xml:space="preserve">(striking Idaho Code § 58-310B).</w:t>
      </w:r>
    </w:p>
  </w:footnote>
  <w:footnote w:id="429">
    <w:p>
      <w:pPr>
        <w:pStyle w:val="FootnoteText"/>
      </w:pPr>
      <w:r>
        <w:rPr>
          <w:rStyle w:val="FootnoteReference"/>
        </w:rPr>
        <w:footnoteRef/>
      </w:r>
      <w:r>
        <w:t xml:space="preserve"> </w:t>
      </w:r>
      <w:r>
        <w:t xml:space="preserve">Accord, collected by state:</w:t>
      </w:r>
      <w:r>
        <w:t xml:space="preserve"> </w:t>
      </w:r>
      <w:r>
        <w:rPr>
          <w:b/>
        </w:rPr>
        <w:t xml:space="preserve">Montana</w:t>
      </w:r>
      <w:r>
        <w:t xml:space="preserve"> </w:t>
      </w:r>
      <w:r>
        <w:t xml:space="preserve">—</w:t>
      </w:r>
      <w:r>
        <w:t xml:space="preserve"> </w:t>
      </w:r>
      <w:r>
        <w:rPr>
          <w:i/>
        </w:rPr>
        <w:t xml:space="preserve">Jerke</w:t>
      </w:r>
      <w:r>
        <w:t xml:space="preserve">, 597 P.2d 49 (Mont. 1979)</w:t>
      </w:r>
      <w:r>
        <w:t xml:space="preserve"> </w:t>
      </w:r>
      <w:r>
        <w:t xml:space="preserve">[@jerke-1979]</w:t>
      </w:r>
      <w:r>
        <w:t xml:space="preserve"> </w:t>
      </w:r>
      <w:r>
        <w:t xml:space="preserve">(as-applied);</w:t>
      </w:r>
      <w:r>
        <w:t xml:space="preserve"> </w:t>
      </w:r>
      <w:r>
        <w:rPr>
          <w:b/>
        </w:rPr>
        <w:t xml:space="preserve">Nebraska</w:t>
      </w:r>
      <w:r>
        <w:t xml:space="preserve"> </w:t>
      </w:r>
      <w:r>
        <w:t xml:space="preserve">—</w:t>
      </w:r>
      <w:r>
        <w:t xml:space="preserve"> </w:t>
      </w:r>
      <w:r>
        <w:rPr>
          <w:i/>
        </w:rPr>
        <w:t xml:space="preserve">Ebke</w:t>
      </w:r>
      <w:r>
        <w:t xml:space="preserve">, 154 Neb. 244 (1951)</w:t>
      </w:r>
      <w:r>
        <w:t xml:space="preserve"> </w:t>
      </w:r>
      <w:r>
        <w:t xml:space="preserve">[@ebke-1951]</w:t>
      </w:r>
      <w:r>
        <w:t xml:space="preserve"> </w:t>
      </w:r>
      <w:r>
        <w:t xml:space="preserve">(statute abandoning public bidding);</w:t>
      </w:r>
      <w:r>
        <w:t xml:space="preserve"> </w:t>
      </w:r>
      <w:r>
        <w:rPr>
          <w:i/>
        </w:rPr>
        <w:t xml:space="preserve">Platte Valley</w:t>
      </w:r>
      <w:r>
        <w:t xml:space="preserve">, 147 Neb. 289, 302–03 (1946)</w:t>
      </w:r>
      <w:r>
        <w:t xml:space="preserve"> </w:t>
      </w:r>
      <w:r>
        <w:t xml:space="preserve">[@platte-valley-1946]</w:t>
      </w:r>
      <w:r>
        <w:t xml:space="preserve"> </w:t>
      </w:r>
      <w:r>
        <w:t xml:space="preserve">(renewal preference recognized but not an absolute right; the lessee</w:t>
      </w:r>
      <w:r>
        <w:t xml:space="preserve"> </w:t>
      </w:r>
      <w:r>
        <w:t xml:space="preserve">“</w:t>
      </w:r>
      <w:r>
        <w:t xml:space="preserve">is entitled to that lease provided some other person does not bid more,</w:t>
      </w:r>
      <w:r>
        <w:t xml:space="preserve">”</w:t>
      </w:r>
      <w:r>
        <w:t xml:space="preserve"> </w:t>
      </w:r>
      <w:r>
        <w:t xml:space="preserve">147 Neb. at 302–03). Decisions</w:t>
      </w:r>
      <w:r>
        <w:t xml:space="preserve"> </w:t>
      </w:r>
      <w:r>
        <w:rPr>
          <w:i/>
        </w:rPr>
        <w:t xml:space="preserve">sustaining</w:t>
      </w:r>
      <w:r>
        <w:t xml:space="preserve"> </w:t>
      </w:r>
      <w:r>
        <w:t xml:space="preserve">a calibrated preference regime are not yet collected; the honest statement is that the corpus contains none either way, and the gap is a verification-wave-2 hunt, not a holding.</w:t>
      </w:r>
    </w:p>
  </w:footnote>
  <w:footnote w:id="430">
    <w:p>
      <w:pPr>
        <w:pStyle w:val="FootnoteText"/>
      </w:pPr>
      <w:r>
        <w:rPr>
          <w:rStyle w:val="FootnoteReference"/>
        </w:rPr>
        <w:footnoteRef/>
      </w:r>
      <w:r>
        <w:t xml:space="preserve"> </w:t>
      </w:r>
      <w:r>
        <w:rPr>
          <w:i/>
        </w:rPr>
        <w:t xml:space="preserve">Clark v. Stephen D. Lee Foundation</w:t>
      </w:r>
      <w:r>
        <w:t xml:space="preserve">, 887 So. 2d 798 (Miss. 2004)</w:t>
      </w:r>
      <w:r>
        <w:t xml:space="preserve"> </w:t>
      </w:r>
      <w:r>
        <w:t xml:space="preserve">[@clark-2004]</w:t>
      </w:r>
      <w:r>
        <w:t xml:space="preserve">.</w:t>
      </w:r>
    </w:p>
  </w:footnote>
  <w:footnote w:id="432">
    <w:p>
      <w:pPr>
        <w:pStyle w:val="FootnoteText"/>
      </w:pPr>
      <w:r>
        <w:rPr>
          <w:rStyle w:val="FootnoteReference"/>
        </w:rPr>
        <w:footnoteRef/>
      </w:r>
      <w:r>
        <w:t xml:space="preserve"> </w:t>
      </w:r>
      <w:r>
        <w:rPr>
          <w:i/>
        </w:rPr>
        <w:t xml:space="preserve">Plateau Mining Co. v. Utah Division of State Lands &amp; Forestry</w:t>
      </w:r>
      <w:r>
        <w:t xml:space="preserve">, 802 P.2d 720, 731 (Utah 1990)</w:t>
      </w:r>
      <w:r>
        <w:t xml:space="preserve"> </w:t>
      </w:r>
      <w:r>
        <w:t xml:space="preserve">[@plateau-1990]</w:t>
      </w:r>
      <w:r>
        <w:t xml:space="preserve"> </w:t>
      </w:r>
      <w:r>
        <w:t xml:space="preserve">(full opinion verified against the primary, 2026-06-08; the word</w:t>
      </w:r>
      <w:r>
        <w:t xml:space="preserve"> </w:t>
      </w:r>
      <w:r>
        <w:t xml:space="preserve">“</w:t>
      </w:r>
      <w:r>
        <w:t xml:space="preserve">fiduciary</w:t>
      </w:r>
      <w:r>
        <w:t xml:space="preserve">”</w:t>
      </w:r>
      <w:r>
        <w:t xml:space="preserve"> </w:t>
      </w:r>
      <w:r>
        <w:t xml:space="preserve">does not appear in the opinion, and the</w:t>
      </w:r>
      <w:r>
        <w:t xml:space="preserve"> </w:t>
      </w:r>
      <w:r>
        <w:t xml:space="preserve">“</w:t>
      </w:r>
      <w:r>
        <w:t xml:space="preserve">same fiduciary duties as any private trustee</w:t>
      </w:r>
      <w:r>
        <w:t xml:space="preserve">”</w:t>
      </w:r>
      <w:r>
        <w:t xml:space="preserve"> </w:t>
      </w:r>
      <w:r>
        <w:t xml:space="preserve">formulation attributed to the case in earlier drafts is not in it; the statute-of-limitations question was expressly left to the trial court, not held inapplicable).</w:t>
      </w:r>
    </w:p>
  </w:footnote>
  <w:footnote w:id="433">
    <w:p>
      <w:pPr>
        <w:pStyle w:val="FootnoteText"/>
      </w:pPr>
      <w:r>
        <w:rPr>
          <w:rStyle w:val="FootnoteReference"/>
        </w:rPr>
        <w:footnoteRef/>
      </w:r>
      <w:r>
        <w:t xml:space="preserve"> </w:t>
      </w:r>
      <w:r>
        <w:t xml:space="preserve">Accord, collected by state:</w:t>
      </w:r>
      <w:r>
        <w:t xml:space="preserve"> </w:t>
      </w:r>
      <w:r>
        <w:rPr>
          <w:b/>
        </w:rPr>
        <w:t xml:space="preserve">Oregon</w:t>
      </w:r>
      <w:r>
        <w:t xml:space="preserve"> </w:t>
      </w:r>
      <w:r>
        <w:t xml:space="preserve">—</w:t>
      </w:r>
      <w:r>
        <w:t xml:space="preserve"> </w:t>
      </w:r>
      <w:r>
        <w:rPr>
          <w:i/>
        </w:rPr>
        <w:t xml:space="preserve">State Land Board v. Lee</w:t>
      </w:r>
      <w:r>
        <w:t xml:space="preserve">, 84 Or 431, 434, 441–42 (1917)</w:t>
      </w:r>
      <w:r>
        <w:t xml:space="preserve"> </w:t>
      </w:r>
      <w:r>
        <w:t xml:space="preserve">[@lee-1917]</w:t>
      </w:r>
      <w:r>
        <w:t xml:space="preserve"> </w:t>
      </w:r>
      <w:r>
        <w:t xml:space="preserve">(the general statute of limitations does not run against the state in its administration of the irreducible school fund, 84 Or at 434; the state is</w:t>
      </w:r>
      <w:r>
        <w:t xml:space="preserve"> </w:t>
      </w:r>
      <w:r>
        <w:t xml:space="preserve">“</w:t>
      </w:r>
      <w:r>
        <w:t xml:space="preserve">not a mere dry trustee</w:t>
      </w:r>
      <w:r>
        <w:t xml:space="preserve">”</w:t>
      </w:r>
      <w:r>
        <w:t xml:space="preserve"> </w:t>
      </w:r>
      <w:r>
        <w:t xml:space="preserve">of that fund, id. at 441–42; both pins verified against the full opinion). Further no-waiver accord cases not yet collected; see Architecture § C, verification wave 2.</w:t>
      </w:r>
    </w:p>
  </w:footnote>
  <w:footnote w:id="434">
    <w:p>
      <w:pPr>
        <w:pStyle w:val="FootnoteText"/>
      </w:pPr>
      <w:r>
        <w:rPr>
          <w:rStyle w:val="FootnoteReference"/>
        </w:rPr>
        <w:footnoteRef/>
      </w:r>
      <w:r>
        <w:t xml:space="preserve"> </w:t>
      </w:r>
      <w:r>
        <w:rPr>
          <w:i/>
        </w:rPr>
        <w:t xml:space="preserve">Oklahoma Education Ass’n, Inc. v. Nigh</w:t>
      </w:r>
      <w:r>
        <w:t xml:space="preserve">, 642 P.2d 230 (Okla. 1982)</w:t>
      </w:r>
      <w:r>
        <w:t xml:space="preserve"> </w:t>
      </w:r>
      <w:r>
        <w:t xml:space="preserve">[@nigh-1982]</w:t>
      </w:r>
      <w:r>
        <w:t xml:space="preserve"> </w:t>
      </w:r>
      <w:r>
        <w:t xml:space="preserve">(quotation L0-verified 2026-06-09 verbatim against the full opinion at 642 P.2d at 236 (CourtListener id 1187033)).</w:t>
      </w:r>
    </w:p>
  </w:footnote>
  <w:footnote w:id="436">
    <w:p>
      <w:pPr>
        <w:pStyle w:val="FootnoteText"/>
      </w:pPr>
      <w:r>
        <w:rPr>
          <w:rStyle w:val="FootnoteReference"/>
        </w:rPr>
        <w:footnoteRef/>
      </w:r>
      <w:r>
        <w:t xml:space="preserve"> </w:t>
      </w:r>
      <w:r>
        <w:rPr>
          <w:i/>
        </w:rPr>
        <w:t xml:space="preserve">State ex rel. Department of Highways v. Burlingame</w:t>
      </w:r>
      <w:r>
        <w:t xml:space="preserve">, 597 P.2d 51 (Mont. 1979)</w:t>
      </w:r>
      <w:r>
        <w:t xml:space="preserve"> </w:t>
      </w:r>
      <w:r>
        <w:t xml:space="preserve">[@burlingame-1979]</w:t>
      </w:r>
      <w:r>
        <w:t xml:space="preserve"> </w:t>
      </w:r>
      <w:r>
        <w:t xml:space="preserve">(reported with</w:t>
      </w:r>
      <w:r>
        <w:t xml:space="preserve"> </w:t>
      </w:r>
      <w:r>
        <w:rPr>
          <w:i/>
        </w:rPr>
        <w:t xml:space="preserve">Jerke</w:t>
      </w:r>
      <w:r>
        <w:t xml:space="preserve">).</w:t>
      </w:r>
    </w:p>
  </w:footnote>
  <w:footnote w:id="437">
    <w:p>
      <w:pPr>
        <w:pStyle w:val="FootnoteText"/>
      </w:pPr>
      <w:r>
        <w:rPr>
          <w:rStyle w:val="FootnoteReference"/>
        </w:rPr>
        <w:footnoteRef/>
      </w:r>
      <w:r>
        <w:t xml:space="preserve"> </w:t>
      </w:r>
      <w:r>
        <w:t xml:space="preserve">Accord cases for the sustained-yield qualification not yet collected by state; see Architecture § C, verification wave 2. The principle’s prudence-side development is at Chapter 7; cf. 36 Op Atty Gen 150 (Or. 1972)</w:t>
      </w:r>
      <w:r>
        <w:t xml:space="preserve"> </w:t>
      </w:r>
      <w:r>
        <w:t xml:space="preserve">[@ag-or-150-1972]</w:t>
      </w:r>
      <w:r>
        <w:t xml:space="preserve"> </w:t>
      </w:r>
      <w:r>
        <w:t xml:space="preserve">(greatest-benefit standard applied</w:t>
      </w:r>
      <w:r>
        <w:t xml:space="preserve"> </w:t>
      </w:r>
      <w:r>
        <w:t xml:space="preserve">“</w:t>
      </w:r>
      <w:r>
        <w:t xml:space="preserve">consistent with the conservation of the resource</w:t>
      </w:r>
      <w:r>
        <w:t xml:space="preserve">”</w:t>
      </w:r>
      <w:r>
        <w:t xml:space="preserve">).</w:t>
      </w:r>
    </w:p>
  </w:footnote>
  <w:footnote w:id="439">
    <w:p>
      <w:pPr>
        <w:pStyle w:val="FootnoteText"/>
      </w:pPr>
      <w:r>
        <w:rPr>
          <w:rStyle w:val="FootnoteReference"/>
        </w:rPr>
        <w:footnoteRef/>
      </w:r>
      <w:r>
        <w:t xml:space="preserve"> </w:t>
      </w:r>
      <w:r>
        <w:rPr>
          <w:i/>
        </w:rPr>
        <w:t xml:space="preserve">Nigh</w:t>
      </w:r>
      <w:r>
        <w:t xml:space="preserve">, 642 P.2d 230 (Okla. 1982)</w:t>
      </w:r>
      <w:r>
        <w:t xml:space="preserve"> </w:t>
      </w:r>
      <w:r>
        <w:t xml:space="preserve">[@nigh-1982]</w:t>
      </w:r>
      <w:r>
        <w:t xml:space="preserve">; accord</w:t>
      </w:r>
      <w:r>
        <w:t xml:space="preserve"> </w:t>
      </w:r>
      <w:r>
        <w:rPr>
          <w:b/>
        </w:rPr>
        <w:t xml:space="preserve">Idaho</w:t>
      </w:r>
      <w:r>
        <w:t xml:space="preserve"> </w:t>
      </w:r>
      <w:r>
        <w:t xml:space="preserve">—</w:t>
      </w:r>
      <w:r>
        <w:t xml:space="preserve"> </w:t>
      </w:r>
      <w:r>
        <w:rPr>
          <w:i/>
        </w:rPr>
        <w:t xml:space="preserve">IWP II</w:t>
      </w:r>
      <w:r>
        <w:t xml:space="preserve">, 133 Idaho 64 (1999)</w:t>
      </w:r>
      <w:r>
        <w:t xml:space="preserve"> </w:t>
      </w:r>
      <w:r>
        <w:t xml:space="preserve">[@idaho-watersheds-ii-1999]</w:t>
      </w:r>
      <w:r>
        <w:t xml:space="preserve">;</w:t>
      </w:r>
      <w:r>
        <w:t xml:space="preserve"> </w:t>
      </w:r>
      <w:r>
        <w:rPr>
          <w:b/>
        </w:rPr>
        <w:t xml:space="preserve">Nebraska</w:t>
      </w:r>
      <w:r>
        <w:t xml:space="preserve"> </w:t>
      </w:r>
      <w:r>
        <w:t xml:space="preserve">—</w:t>
      </w:r>
      <w:r>
        <w:t xml:space="preserve"> </w:t>
      </w:r>
      <w:r>
        <w:rPr>
          <w:i/>
        </w:rPr>
        <w:t xml:space="preserve">Ebke</w:t>
      </w:r>
      <w:r>
        <w:t xml:space="preserve">, 154 Neb. 244 (1951)</w:t>
      </w:r>
      <w:r>
        <w:t xml:space="preserve"> </w:t>
      </w:r>
      <w:r>
        <w:t xml:space="preserve">[@ebke-1951]</w:t>
      </w:r>
      <w:r>
        <w:t xml:space="preserve">.</w:t>
      </w:r>
    </w:p>
  </w:footnote>
  <w:footnote w:id="440">
    <w:p>
      <w:pPr>
        <w:pStyle w:val="FootnoteText"/>
      </w:pPr>
      <w:r>
        <w:rPr>
          <w:rStyle w:val="FootnoteReference"/>
        </w:rPr>
        <w:footnoteRef/>
      </w:r>
      <w:r>
        <w:t xml:space="preserve"> </w:t>
      </w:r>
      <w:r>
        <w:rPr>
          <w:i/>
        </w:rPr>
        <w:t xml:space="preserve">County of Skamania v. State</w:t>
      </w:r>
      <w:r>
        <w:t xml:space="preserve">, 102 Wn.2d 127, 685 P.2d 576 (1984)</w:t>
      </w:r>
      <w:r>
        <w:t xml:space="preserve"> </w:t>
      </w:r>
      <w:r>
        <w:t xml:space="preserve">[@skamania-1984]</w:t>
      </w:r>
      <w:r>
        <w:t xml:space="preserve"> </w:t>
      </w:r>
      <w:r>
        <w:t xml:space="preserve">(the State</w:t>
      </w:r>
      <w:r>
        <w:t xml:space="preserve"> </w:t>
      </w:r>
      <w:r>
        <w:t xml:space="preserve">“</w:t>
      </w:r>
      <w:r>
        <w:t xml:space="preserve">may not sacrifice this goal to pursue other objectives, no matter how laudable those objectives may be</w:t>
      </w:r>
      <w:r>
        <w:t xml:space="preserve">”</w:t>
      </w:r>
      <w:r>
        <w:t xml:space="preserve">; benefit to</w:t>
      </w:r>
      <w:r>
        <w:t xml:space="preserve"> </w:t>
      </w:r>
      <w:r>
        <w:t xml:space="preserve">“</w:t>
      </w:r>
      <w:r>
        <w:t xml:space="preserve">the timber industry and the state economy in general, at the expense of the trust beneficiaries … constitutes a breach of trust</w:t>
      </w:r>
      <w:r>
        <w:t xml:space="preserve">”</w:t>
      </w:r>
      <w:r>
        <w:t xml:space="preserve">).</w:t>
      </w:r>
    </w:p>
  </w:footnote>
  <w:footnote w:id="442">
    <w:p>
      <w:pPr>
        <w:pStyle w:val="FootnoteText"/>
      </w:pPr>
      <w:r>
        <w:rPr>
          <w:rStyle w:val="FootnoteReference"/>
        </w:rPr>
        <w:footnoteRef/>
      </w:r>
      <w:r>
        <w:t xml:space="preserve"> </w:t>
      </w:r>
      <w:r>
        <w:t xml:space="preserve">See § 11.1 and the accord authorities collected there; on the Oregon submerged and submersible leasing programs, Or. Op. Atty Gen. OP 1999-1</w:t>
      </w:r>
      <w:r>
        <w:t xml:space="preserve"> </w:t>
      </w:r>
      <w:r>
        <w:t xml:space="preserve">[@ag-or-op1999-1]</w:t>
      </w:r>
      <w:r>
        <w:t xml:space="preserve"> </w:t>
      </w:r>
      <w:r>
        <w:t xml:space="preserve">(Board authority to modify leasing programs) feeds the same analysis and awaits fuller treatment with the accounting materials in Chapter 12.</w:t>
      </w:r>
    </w:p>
  </w:footnote>
  <w:footnote w:id="445">
    <w:p>
      <w:pPr>
        <w:pStyle w:val="FootnoteText"/>
      </w:pPr>
      <w:r>
        <w:rPr>
          <w:rStyle w:val="FootnoteReference"/>
        </w:rPr>
        <w:footnoteRef/>
      </w:r>
      <w:r>
        <w:t xml:space="preserve"> </w:t>
      </w:r>
      <w:r>
        <w:rPr>
          <w:i/>
        </w:rPr>
        <w:t xml:space="preserve">Wood v. Honeyman</w:t>
      </w:r>
      <w:r>
        <w:t xml:space="preserve">, 178 Or 484, 555-57 (1946)</w:t>
      </w:r>
      <w:r>
        <w:t xml:space="preserve"> </w:t>
      </w:r>
      <w:r>
        <w:t xml:space="preserve">[@honeyman-1946]</w:t>
      </w:r>
      <w:r>
        <w:t xml:space="preserve">. The full opinion is held in primary form (Register G-2 resolved). The first quotation is the court’s own statement at 555-56; the second is Bogert,</w:t>
      </w:r>
      <w:r>
        <w:t xml:space="preserve"> </w:t>
      </w:r>
      <w:r>
        <w:rPr>
          <w:i/>
        </w:rPr>
        <w:t xml:space="preserve">Trusts and Trustees</w:t>
      </w:r>
      <w:r>
        <w:t xml:space="preserve"> </w:t>
      </w:r>
      <w:r>
        <w:t xml:space="preserve">§ 962 (itself carrying an inner quotation), quoted with approval at 556; obvious OCR artifacts in the digitized text (</w:t>
      </w:r>
      <w:r>
        <w:t xml:space="preserve">“</w:t>
      </w:r>
      <w:r>
        <w:t xml:space="preserve">aecurate,</w:t>
      </w:r>
      <w:r>
        <w:t xml:space="preserve">”</w:t>
      </w:r>
      <w:r>
        <w:t xml:space="preserve"> </w:t>
      </w:r>
      <w:r>
        <w:t xml:space="preserve">“</w:t>
      </w:r>
      <w:r>
        <w:t xml:space="preserve">being-resolved</w:t>
      </w:r>
      <w:r>
        <w:t xml:space="preserve">”</w:t>
      </w:r>
      <w:r>
        <w:t xml:space="preserve">) are normalized in the quotations.</w:t>
      </w:r>
      <w:r>
        <w:t xml:space="preserve"> </w:t>
      </w:r>
      <w:r>
        <w:rPr>
          <w:i/>
        </w:rPr>
        <w:t xml:space="preserve">Honeyman</w:t>
      </w:r>
      <w:r>
        <w:t xml:space="preserve"> </w:t>
      </w:r>
      <w:r>
        <w:t xml:space="preserve">is the named vehicle through which Plaintiffs’ Response and Cross-Motion for Partial Summary Judgment (filed May 29, 2026; the project’s own filing) presents the body of Oregon trust law; its accounting passages are the lead Oregon statement of the common-law duty.</w:t>
      </w:r>
    </w:p>
  </w:footnote>
  <w:footnote w:id="446">
    <w:p>
      <w:pPr>
        <w:pStyle w:val="FootnoteText"/>
      </w:pPr>
      <w:r>
        <w:rPr>
          <w:rStyle w:val="FootnoteReference"/>
        </w:rPr>
        <w:footnoteRef/>
      </w:r>
      <w:r>
        <w:t xml:space="preserve"> </w:t>
      </w:r>
      <w:r>
        <w:t xml:space="preserve">The treatise statements: Bogert,</w:t>
      </w:r>
      <w:r>
        <w:t xml:space="preserve"> </w:t>
      </w:r>
      <w:r>
        <w:rPr>
          <w:i/>
        </w:rPr>
        <w:t xml:space="preserve">Trusts and Trustees</w:t>
      </w:r>
      <w:r>
        <w:t xml:space="preserve"> </w:t>
      </w:r>
      <w:r>
        <w:t xml:space="preserve">§§ 961–973</w:t>
      </w:r>
      <w:r>
        <w:t xml:space="preserve"> </w:t>
      </w:r>
      <w:r>
        <w:t xml:space="preserve">[@bogert-trusts]</w:t>
      </w:r>
      <w:r>
        <w:t xml:space="preserve"> </w:t>
      </w:r>
      <w:r>
        <w:t xml:space="preserve">(the accounting remedy and its independence from damages claims, treated at § 12.5; § 962 appears in the table of authorities of the Appellant’s Opening Brief in</w:t>
      </w:r>
      <w:r>
        <w:t xml:space="preserve"> </w:t>
      </w:r>
      <w:r>
        <w:rPr>
          <w:i/>
        </w:rPr>
        <w:t xml:space="preserve">Sullivan v. State</w:t>
      </w:r>
      <w:r>
        <w:t xml:space="preserve">, CA No. A177308 (filed Feb. 21, 2022; the project’s own filing)); Scott on Trusts § 172</w:t>
      </w:r>
      <w:r>
        <w:t xml:space="preserve"> </w:t>
      </w:r>
      <w:r>
        <w:t xml:space="preserve">[@scott-trusts]</w:t>
      </w:r>
      <w:r>
        <w:t xml:space="preserve">; Restatement (Third) of Trusts §§ 170–184</w:t>
      </w:r>
      <w:r>
        <w:t xml:space="preserve"> </w:t>
      </w:r>
      <w:r>
        <w:t xml:space="preserve">[@rest3d-trusts]</w:t>
      </w:r>
      <w:r>
        <w:t xml:space="preserve"> </w:t>
      </w:r>
      <w:r>
        <w:t xml:space="preserve">(fiduciary accounting). All three are cited at section level from the briefing record; full-text verification is outstanding [VERIFY]. Accord school-trust accounting cases not yet collected; see Architecture § C, verification wave 2.</w:t>
      </w:r>
    </w:p>
  </w:footnote>
  <w:footnote w:id="448">
    <w:p>
      <w:pPr>
        <w:pStyle w:val="FootnoteText"/>
      </w:pPr>
      <w:r>
        <w:rPr>
          <w:rStyle w:val="FootnoteReference"/>
        </w:rPr>
        <w:footnoteRef/>
      </w:r>
      <w:r>
        <w:t xml:space="preserve"> </w:t>
      </w:r>
      <w:r>
        <w:rPr>
          <w:i/>
        </w:rPr>
        <w:t xml:space="preserve">Oklahoma Education Ass’n, Inc. v. Nigh</w:t>
      </w:r>
      <w:r>
        <w:t xml:space="preserve">, 642 P.2d 230 (Okla. 1982)</w:t>
      </w:r>
      <w:r>
        <w:t xml:space="preserve"> </w:t>
      </w:r>
      <w:r>
        <w:t xml:space="preserve">[@nigh-1982]</w:t>
      </w:r>
      <w:r>
        <w:t xml:space="preserve"> </w:t>
      </w:r>
      <w:r>
        <w:t xml:space="preserve">(the quotation is L0-verified 2026-06-09 verbatim against the full opinion at 642 P.2d at 236 (CourtListener id 1187033)).</w:t>
      </w:r>
    </w:p>
  </w:footnote>
  <w:footnote w:id="449">
    <w:p>
      <w:pPr>
        <w:pStyle w:val="FootnoteText"/>
      </w:pPr>
      <w:r>
        <w:rPr>
          <w:rStyle w:val="FootnoteReference"/>
        </w:rPr>
        <w:footnoteRef/>
      </w:r>
      <w:r>
        <w:t xml:space="preserve"> </w:t>
      </w:r>
      <w:r>
        <w:t xml:space="preserve">The incorporation rule collected by state is at § 4.3:</w:t>
      </w:r>
      <w:r>
        <w:t xml:space="preserve"> </w:t>
      </w:r>
      <w:r>
        <w:rPr>
          <w:b/>
        </w:rPr>
        <w:t xml:space="preserve">Nebraska</w:t>
      </w:r>
      <w:r>
        <w:t xml:space="preserve"> </w:t>
      </w:r>
      <w:r>
        <w:t xml:space="preserve">—</w:t>
      </w:r>
      <w:r>
        <w:t xml:space="preserve"> </w:t>
      </w:r>
      <w:r>
        <w:rPr>
          <w:i/>
        </w:rPr>
        <w:t xml:space="preserve">State ex rel. Ebke v. Board of Educational Lands &amp; Funds</w:t>
      </w:r>
      <w:r>
        <w:t xml:space="preserve">, 154 Neb. 244, 47 N.W.2d 520 (1951)</w:t>
      </w:r>
      <w:r>
        <w:t xml:space="preserve"> </w:t>
      </w:r>
      <w:r>
        <w:t xml:space="preserve">[@ebke-1951]</w:t>
      </w:r>
      <w:r>
        <w:t xml:space="preserve">;</w:t>
      </w:r>
      <w:r>
        <w:t xml:space="preserve"> </w:t>
      </w:r>
      <w:r>
        <w:rPr>
          <w:b/>
        </w:rPr>
        <w:t xml:space="preserve">Oklahoma</w:t>
      </w:r>
      <w:r>
        <w:t xml:space="preserve"> </w:t>
      </w:r>
      <w:r>
        <w:t xml:space="preserve">—</w:t>
      </w:r>
      <w:r>
        <w:t xml:space="preserve"> </w:t>
      </w:r>
      <w:r>
        <w:rPr>
          <w:i/>
        </w:rPr>
        <w:t xml:space="preserve">Nigh</w:t>
      </w:r>
      <w:r>
        <w:t xml:space="preserve">, 642 P.2d 230</w:t>
      </w:r>
      <w:r>
        <w:t xml:space="preserve"> </w:t>
      </w:r>
      <w:r>
        <w:t xml:space="preserve">[@nigh-1982]</w:t>
      </w:r>
      <w:r>
        <w:t xml:space="preserve">;</w:t>
      </w:r>
      <w:r>
        <w:t xml:space="preserve"> </w:t>
      </w:r>
      <w:r>
        <w:rPr>
          <w:b/>
        </w:rPr>
        <w:t xml:space="preserve">Utah</w:t>
      </w:r>
      <w:r>
        <w:t xml:space="preserve"> </w:t>
      </w:r>
      <w:r>
        <w:t xml:space="preserve">—</w:t>
      </w:r>
      <w:r>
        <w:t xml:space="preserve"> </w:t>
      </w:r>
      <w:r>
        <w:rPr>
          <w:i/>
        </w:rPr>
        <w:t xml:space="preserve">Plateau Mining Co. v. Utah Division of State Lands &amp; Forestry</w:t>
      </w:r>
      <w:r>
        <w:t xml:space="preserve">, 802 P.2d 720 (Utah 1990)</w:t>
      </w:r>
      <w:r>
        <w:t xml:space="preserve"> </w:t>
      </w:r>
      <w:r>
        <w:t xml:space="preserve">[@plateau-1990]</w:t>
      </w:r>
      <w:r>
        <w:t xml:space="preserve"> </w:t>
      </w:r>
      <w:r>
        <w:t xml:space="preserve">(the State’s acceptance of below-rate royalties did not, on this record, establish waiver or estoppel barring recovery of the full rate, and estoppel against the State will not lie where it would undermine the trust purpose; full opinion verified 2026-06-08; the word</w:t>
      </w:r>
      <w:r>
        <w:t xml:space="preserve"> </w:t>
      </w:r>
      <w:r>
        <w:t xml:space="preserve">“</w:t>
      </w:r>
      <w:r>
        <w:t xml:space="preserve">fiduciary</w:t>
      </w:r>
      <w:r>
        <w:t xml:space="preserve">”</w:t>
      </w:r>
      <w:r>
        <w:t xml:space="preserve"> </w:t>
      </w:r>
      <w:r>
        <w:t xml:space="preserve">does not appear in the opinion, and the</w:t>
      </w:r>
      <w:r>
        <w:t xml:space="preserve"> </w:t>
      </w:r>
      <w:r>
        <w:t xml:space="preserve">“</w:t>
      </w:r>
      <w:r>
        <w:t xml:space="preserve">same fiduciary duties as any private trustee</w:t>
      </w:r>
      <w:r>
        <w:t xml:space="preserve">”</w:t>
      </w:r>
      <w:r>
        <w:t xml:space="preserve"> </w:t>
      </w:r>
      <w:r>
        <w:t xml:space="preserve">formulation attributed to it in earlier drafts is not in the case). Cases applying the incorporated</w:t>
      </w:r>
      <w:r>
        <w:t xml:space="preserve"> </w:t>
      </w:r>
      <w:r>
        <w:rPr>
          <w:i/>
        </w:rPr>
        <w:t xml:space="preserve">accounting</w:t>
      </w:r>
      <w:r>
        <w:t xml:space="preserve"> </w:t>
      </w:r>
      <w:r>
        <w:t xml:space="preserve">duty specifically: not yet collected; see Architecture § C, verification wave 2.</w:t>
      </w:r>
    </w:p>
  </w:footnote>
  <w:footnote w:id="450">
    <w:p>
      <w:pPr>
        <w:pStyle w:val="FootnoteText"/>
      </w:pPr>
      <w:r>
        <w:rPr>
          <w:rStyle w:val="FootnoteReference"/>
        </w:rPr>
        <w:footnoteRef/>
      </w:r>
      <w:r>
        <w:t xml:space="preserve"> </w:t>
      </w:r>
      <w:r>
        <w:rPr>
          <w:i/>
        </w:rPr>
        <w:t xml:space="preserve">State Land Board v. Lee</w:t>
      </w:r>
      <w:r>
        <w:t xml:space="preserve">, 84 Or 431, 441-42 (1917)</w:t>
      </w:r>
      <w:r>
        <w:t xml:space="preserve"> </w:t>
      </w:r>
      <w:r>
        <w:t xml:space="preserve">[@lee-1917]</w:t>
      </w:r>
      <w:r>
        <w:t xml:space="preserve"> </w:t>
      </w:r>
      <w:r>
        <w:t xml:space="preserve">(Defendants’ Motion for Summary Judgment (filed May 13, 2026) cites the passage at 441-42; the State’s May 13, 2026 summary-judgment pin (441-42) is correct, verified against the L0 primary 2026-06-08; an earlier triangulation that placed it at 439 was mistaken — 439 is the §§ 3913-3926 L.O.L. statutory-loan framework).</w:t>
      </w:r>
    </w:p>
  </w:footnote>
  <w:footnote w:id="451">
    <w:p>
      <w:pPr>
        <w:pStyle w:val="FootnoteText"/>
      </w:pPr>
      <w:r>
        <w:rPr>
          <w:rStyle w:val="FootnoteReference"/>
        </w:rPr>
        <w:footnoteRef/>
      </w:r>
      <w:r>
        <w:t xml:space="preserve"> </w:t>
      </w:r>
      <w:r>
        <w:rPr>
          <w:i/>
        </w:rPr>
        <w:t xml:space="preserve">Eagle Point Irrigation District v. Cowden</w:t>
      </w:r>
      <w:r>
        <w:t xml:space="preserve">, 137 Or 121, 124 (1931)</w:t>
      </w:r>
      <w:r>
        <w:t xml:space="preserve"> </w:t>
      </w:r>
      <w:r>
        <w:t xml:space="preserve">[@eagle-point-1931]</w:t>
      </w:r>
      <w:r>
        <w:t xml:space="preserve">.</w:t>
      </w:r>
    </w:p>
  </w:footnote>
  <w:footnote w:id="452">
    <w:p>
      <w:pPr>
        <w:pStyle w:val="FootnoteText"/>
      </w:pPr>
      <w:r>
        <w:rPr>
          <w:rStyle w:val="FootnoteReference"/>
        </w:rPr>
        <w:footnoteRef/>
      </w:r>
      <w:r>
        <w:t xml:space="preserve"> </w:t>
      </w:r>
      <w:r>
        <w:rPr>
          <w:i/>
        </w:rPr>
        <w:t xml:space="preserve">Alamo Land &amp; Cattle Co. v. Arizona</w:t>
      </w:r>
      <w:r>
        <w:t xml:space="preserve">, 424 U.S. 295, 297-98 (1976)</w:t>
      </w:r>
      <w:r>
        <w:t xml:space="preserve"> </w:t>
      </w:r>
      <w:r>
        <w:t xml:space="preserve">[@alamo-1976]</w:t>
      </w:r>
      <w:r>
        <w:t xml:space="preserve">; accord New Mexico–Arizona Enabling Act § 28, 36 Stat. 574 (1910), as amended</w:t>
      </w:r>
      <w:r>
        <w:t xml:space="preserve"> </w:t>
      </w:r>
      <w:r>
        <w:t xml:space="preserve">[@act-nm-az-1910]</w:t>
      </w:r>
      <w:r>
        <w:t xml:space="preserve"> </w:t>
      </w:r>
      <w:r>
        <w:t xml:space="preserve">(</w:t>
      </w:r>
      <w:r>
        <w:t xml:space="preserve">“</w:t>
      </w:r>
      <w:r>
        <w:t xml:space="preserve">the natural products and money proceeds of any of said lands shall be subject to the same trusts as the lands producing the same,</w:t>
      </w:r>
      <w:r>
        <w:t xml:space="preserve">”</w:t>
      </w:r>
      <w:r>
        <w:t xml:space="preserve"> </w:t>
      </w:r>
      <w:r>
        <w:t xml:space="preserve">quoted in</w:t>
      </w:r>
      <w:r>
        <w:t xml:space="preserve"> </w:t>
      </w:r>
      <w:r>
        <w:rPr>
          <w:i/>
        </w:rPr>
        <w:t xml:space="preserve">Alamo</w:t>
      </w:r>
      <w:r>
        <w:t xml:space="preserve">, 424 U.S. at 297-98).</w:t>
      </w:r>
    </w:p>
  </w:footnote>
  <w:footnote w:id="453">
    <w:p>
      <w:pPr>
        <w:pStyle w:val="FootnoteText"/>
      </w:pPr>
      <w:r>
        <w:rPr>
          <w:rStyle w:val="FootnoteReference"/>
        </w:rPr>
        <w:footnoteRef/>
      </w:r>
      <w:r>
        <w:t xml:space="preserve"> </w:t>
      </w:r>
      <w:r>
        <w:t xml:space="preserve">Or. Att’y Gen. Op. No. 8279 (May 9, 2003)</w:t>
      </w:r>
      <w:r>
        <w:t xml:space="preserve"> </w:t>
      </w:r>
      <w:r>
        <w:t xml:space="preserve">[@ag-or-8279-2003]</w:t>
      </w:r>
      <w:r>
        <w:t xml:space="preserve"> </w:t>
      </w:r>
      <w:r>
        <w:t xml:space="preserve">(CSF principal versus income for forest-management expenses); 46 Op Atty Gen 306 (Or. 1989)</w:t>
      </w:r>
      <w:r>
        <w:t xml:space="preserve"> </w:t>
      </w:r>
      <w:r>
        <w:t xml:space="preserve">[@ag-or-306-1989]</w:t>
      </w:r>
      <w:r>
        <w:t xml:space="preserve"> </w:t>
      </w:r>
      <w:r>
        <w:t xml:space="preserve">[VERIFY on pull — identified in the opinions catalog, not yet retrieved]. The Oregon attorney-general canon is the only state’s yet surveyed; the twenty-state sweep is an open research program (Register G-7).</w:t>
      </w:r>
    </w:p>
  </w:footnote>
  <w:footnote w:id="454">
    <w:p>
      <w:pPr>
        <w:pStyle w:val="FootnoteText"/>
      </w:pPr>
      <w:r>
        <w:rPr>
          <w:rStyle w:val="FootnoteReference"/>
        </w:rPr>
        <w:footnoteRef/>
      </w:r>
      <w:r>
        <w:t xml:space="preserve"> </w:t>
      </w:r>
      <w:r>
        <w:rPr>
          <w:i/>
        </w:rPr>
        <w:t xml:space="preserve">Plateau Mining Co. v. Utah Division of State Lands &amp; Forestry</w:t>
      </w:r>
      <w:r>
        <w:t xml:space="preserve">, 802 P.2d 720, 731 (Utah 1990)</w:t>
      </w:r>
      <w:r>
        <w:t xml:space="preserve"> </w:t>
      </w:r>
      <w:r>
        <w:t xml:space="preserve">[@plateau-1990]</w:t>
      </w:r>
      <w:r>
        <w:t xml:space="preserve"> </w:t>
      </w:r>
      <w:r>
        <w:t xml:space="preserve">(full opinion verified against the primary, 2026-06-08: the court reversed summary judgment for the lessees and remanded; it held estoppel generally may not be asserted against the State and the proprietary-capacity exception did not apply because estoppel</w:t>
      </w:r>
      <w:r>
        <w:t xml:space="preserve"> </w:t>
      </w:r>
      <w:r>
        <w:t xml:space="preserve">“</w:t>
      </w:r>
      <w:r>
        <w:t xml:space="preserve">could undermine</w:t>
      </w:r>
      <w:r>
        <w:t xml:space="preserve">”</w:t>
      </w:r>
      <w:r>
        <w:t xml:space="preserve"> </w:t>
      </w:r>
      <w:r>
        <w:t xml:space="preserve">the trust purpose, but it did not foreclose estoppel or waiver categorically and left both — and the statute-of-limitations question — to the trial court. The limitations holding attributed to the case in an earlier draft is not in the opinion and has been removed.).</w:t>
      </w:r>
    </w:p>
  </w:footnote>
  <w:footnote w:id="455">
    <w:p>
      <w:pPr>
        <w:pStyle w:val="FootnoteText"/>
      </w:pPr>
      <w:r>
        <w:rPr>
          <w:rStyle w:val="FootnoteReference"/>
        </w:rPr>
        <w:footnoteRef/>
      </w:r>
      <w:r>
        <w:t xml:space="preserve"> </w:t>
      </w:r>
      <w:r>
        <w:rPr>
          <w:i/>
        </w:rPr>
        <w:t xml:space="preserve">State Land Board v. Lee</w:t>
      </w:r>
      <w:r>
        <w:t xml:space="preserve">, 84 Or 431, 434 (1917)</w:t>
      </w:r>
      <w:r>
        <w:t xml:space="preserve"> </w:t>
      </w:r>
      <w:r>
        <w:t xml:space="preserve">[@lee-1917]</w:t>
      </w:r>
      <w:r>
        <w:t xml:space="preserve">. Accord limitations cases beyond Utah and Oregon not yet collected; see Architecture § C, verification wave 2.</w:t>
      </w:r>
    </w:p>
  </w:footnote>
  <w:footnote w:id="456">
    <w:p>
      <w:pPr>
        <w:pStyle w:val="FootnoteText"/>
      </w:pPr>
      <w:r>
        <w:rPr>
          <w:rStyle w:val="FootnoteReference"/>
        </w:rPr>
        <w:footnoteRef/>
      </w:r>
      <w:r>
        <w:t xml:space="preserve"> </w:t>
      </w:r>
      <w:r>
        <w:t xml:space="preserve">ORS 130.695, 130.710, 130.005(2)(e)</w:t>
      </w:r>
      <w:r>
        <w:t xml:space="preserve"> </w:t>
      </w:r>
      <w:r>
        <w:t xml:space="preserve">[@act-ors-130]</w:t>
      </w:r>
      <w:r>
        <w:t xml:space="preserve">. The Oregon code states it</w:t>
      </w:r>
      <w:r>
        <w:t xml:space="preserve"> </w:t>
      </w:r>
      <w:r>
        <w:t xml:space="preserve">“</w:t>
      </w:r>
      <w:r>
        <w:t xml:space="preserve">applies to all trusts, whenever created,</w:t>
      </w:r>
      <w:r>
        <w:t xml:space="preserve">”</w:t>
      </w:r>
      <w:r>
        <w:t xml:space="preserve"> </w:t>
      </w:r>
      <w:r>
        <w:t xml:space="preserve">ORS 130.010(1), subject to the definitional exclusions — the interpretive tangle is the same one treated at § 4.7(3).</w:t>
      </w:r>
    </w:p>
  </w:footnote>
  <w:footnote w:id="458">
    <w:p>
      <w:pPr>
        <w:pStyle w:val="FootnoteText"/>
      </w:pPr>
      <w:r>
        <w:rPr>
          <w:rStyle w:val="FootnoteReference"/>
        </w:rPr>
        <w:footnoteRef/>
      </w:r>
      <w:r>
        <w:t xml:space="preserve"> </w:t>
      </w:r>
      <w:r>
        <w:t xml:space="preserve">[VERIFY — the twenty-state reporting survey is an open research item, companion to the attorney-general sweep (Register G-7); this section should be rewritten against the survey results before publication.]</w:t>
      </w:r>
    </w:p>
  </w:footnote>
  <w:footnote w:id="459">
    <w:p>
      <w:pPr>
        <w:pStyle w:val="FootnoteText"/>
      </w:pPr>
      <w:r>
        <w:rPr>
          <w:rStyle w:val="FootnoteReference"/>
        </w:rPr>
        <w:footnoteRef/>
      </w:r>
      <w:r>
        <w:t xml:space="preserve"> </w:t>
      </w:r>
      <w:r>
        <w:t xml:space="preserve">[NEEDS-SOURCE — primary behind project memo. The institutional description is compiled from public sources but no public citation is yet attached; supply citations to the New Mexico constitutional and statutory provisions, the State Land Office’s announcements of the 2020 Accountability and Enforcement Program, and the agency annual reports before publication. The fund and distribution figures are reusable numbers governed by the figures-file convention.]</w:t>
      </w:r>
    </w:p>
  </w:footnote>
  <w:footnote w:id="460">
    <w:p>
      <w:pPr>
        <w:pStyle w:val="FootnoteText"/>
      </w:pPr>
      <w:r>
        <w:rPr>
          <w:rStyle w:val="FootnoteReference"/>
        </w:rPr>
        <w:footnoteRef/>
      </w:r>
      <w:r>
        <w:t xml:space="preserve"> </w:t>
      </w:r>
      <w:r>
        <w:rPr>
          <w:i/>
        </w:rPr>
        <w:t xml:space="preserve">Montanans for the Responsible Use of the School Trust v. Darkenwald</w:t>
      </w:r>
      <w:r>
        <w:t xml:space="preserve">, 2005 MT 190, 328 Mont. 105, 119 P.3d 27</w:t>
      </w:r>
      <w:r>
        <w:t xml:space="preserve"> </w:t>
      </w:r>
      <w:r>
        <w:t xml:space="preserve">[@darkenwald-2005]</w:t>
      </w:r>
      <w:r>
        <w:t xml:space="preserve"> </w:t>
      </w:r>
      <w:r>
        <w:t xml:space="preserve">(Nelson, J., dissenting, joined by Cotter, J.). Full lead opinion and dissent verified against the primary (L0; CourtListener dissent opinion ID 9511444): the majority (Morris, J.) sustained the commingling under a</w:t>
      </w:r>
      <w:r>
        <w:t xml:space="preserve"> </w:t>
      </w:r>
      <w:r>
        <w:t xml:space="preserve">“</w:t>
      </w:r>
      <w:r>
        <w:t xml:space="preserve">no harm, no foul</w:t>
      </w:r>
      <w:r>
        <w:t xml:space="preserve">”</w:t>
      </w:r>
      <w:r>
        <w:t xml:space="preserve"> </w:t>
      </w:r>
      <w:r>
        <w:t xml:space="preserve">analysis; the dissent argued commingling is a per se breach (¶ 70), documented a net corpus loss of $94,695,764 (¶ 85) —</w:t>
      </w:r>
      <w:r>
        <w:t xml:space="preserve"> </w:t>
      </w:r>
      <w:r>
        <w:t xml:space="preserve">“</w:t>
      </w:r>
      <w:r>
        <w:t xml:space="preserve">over $94.6 million in a thirty year period</w:t>
      </w:r>
      <w:r>
        <w:t xml:space="preserve">”</w:t>
      </w:r>
      <w:r>
        <w:t xml:space="preserve"> </w:t>
      </w:r>
      <w:r>
        <w:t xml:space="preserve">(¶ 89) — and used the</w:t>
      </w:r>
      <w:r>
        <w:t xml:space="preserve"> </w:t>
      </w:r>
      <w:r>
        <w:t xml:space="preserve">“</w:t>
      </w:r>
      <w:r>
        <w:t xml:space="preserve">robs Peter … to pay Paul</w:t>
      </w:r>
      <w:r>
        <w:t xml:space="preserve">”</w:t>
      </w:r>
      <w:r>
        <w:t xml:space="preserve"> </w:t>
      </w:r>
      <w:r>
        <w:t xml:space="preserve">formulation (¶ 71). Justice Cotter joined the dissent.</w:t>
      </w:r>
    </w:p>
  </w:footnote>
  <w:footnote w:id="461">
    <w:p>
      <w:pPr>
        <w:pStyle w:val="FootnoteText"/>
      </w:pPr>
      <w:r>
        <w:rPr>
          <w:rStyle w:val="FootnoteReference"/>
        </w:rPr>
        <w:footnoteRef/>
      </w:r>
      <w:r>
        <w:t xml:space="preserve"> </w:t>
      </w:r>
      <w:r>
        <w:rPr>
          <w:i/>
        </w:rPr>
        <w:t xml:space="preserve">Hill v. Thompson</w:t>
      </w:r>
      <w:r>
        <w:t xml:space="preserve">, 564 So. 2d 1, 6-7, 11-12 (Miss. 1989)</w:t>
      </w:r>
      <w:r>
        <w:t xml:space="preserve"> </w:t>
      </w:r>
      <w:r>
        <w:t xml:space="preserve">[@hill-1989]</w:t>
      </w:r>
      <w:r>
        <w:t xml:space="preserve"> </w:t>
      </w:r>
      <w:r>
        <w:t xml:space="preserve">(school-land trustees are required,</w:t>
      </w:r>
      <w:r>
        <w:t xml:space="preserve"> </w:t>
      </w:r>
      <w:r>
        <w:t xml:space="preserve">“</w:t>
      </w:r>
      <w:r>
        <w:t xml:space="preserve">like all other fiduciaries, to exercise a higher degree of care</w:t>
      </w:r>
      <w:r>
        <w:t xml:space="preserve">”</w:t>
      </w:r>
      <w:r>
        <w:t xml:space="preserve"> </w:t>
      </w:r>
      <w:r>
        <w:t xml:space="preserve">in trust administration than in their own affairs (quoting</w:t>
      </w:r>
      <w:r>
        <w:t xml:space="preserve"> </w:t>
      </w:r>
      <w:r>
        <w:rPr>
          <w:i/>
        </w:rPr>
        <w:t xml:space="preserve">Humble Oil &amp; Refining Co. v. State</w:t>
      </w:r>
      <w:r>
        <w:t xml:space="preserve">, 206 Miss. 847, 854, 41 So. 2d 26, 27 (1949)); ninety-nine-year leases let in 1955 and 1960 for one-time payments of $7.50 voided as</w:t>
      </w:r>
      <w:r>
        <w:t xml:space="preserve"> </w:t>
      </w:r>
      <w:r>
        <w:t xml:space="preserve">“</w:t>
      </w:r>
      <w:r>
        <w:t xml:space="preserve">grossly inadequate</w:t>
      </w:r>
      <w:r>
        <w:t xml:space="preserve">”</w:t>
      </w:r>
      <w:r>
        <w:t xml:space="preserve"> </w:t>
      </w:r>
      <w:r>
        <w:t xml:space="preserve">consideration amounting to</w:t>
      </w:r>
      <w:r>
        <w:t xml:space="preserve"> </w:t>
      </w:r>
      <w:r>
        <w:t xml:space="preserve">“</w:t>
      </w:r>
      <w:r>
        <w:t xml:space="preserve">a donation of public lands prohibited by the constitution and trust law</w:t>
      </w:r>
      <w:r>
        <w:t xml:space="preserve">”</w:t>
      </w:r>
      <w:r>
        <w:t xml:space="preserve">; the trustee’s continuing duty to produce a reasonable yield</w:t>
      </w:r>
      <w:r>
        <w:t xml:space="preserve"> </w:t>
      </w:r>
      <w:r>
        <w:t xml:space="preserve">“</w:t>
      </w:r>
      <w:r>
        <w:t xml:space="preserve">may not be avoided because of past defaults</w:t>
      </w:r>
      <w:r>
        <w:t xml:space="preserve">”</w:t>
      </w:r>
      <w:r>
        <w:t xml:space="preserve">);</w:t>
      </w:r>
      <w:r>
        <w:t xml:space="preserve"> </w:t>
      </w:r>
      <w:r>
        <w:rPr>
          <w:i/>
        </w:rPr>
        <w:t xml:space="preserve">Lambert v. State</w:t>
      </w:r>
      <w:r>
        <w:t xml:space="preserve">, 211 Miss. 129, 51 So. 2d 201 (1951)</w:t>
      </w:r>
      <w:r>
        <w:t xml:space="preserve"> </w:t>
      </w:r>
      <w:r>
        <w:t xml:space="preserve">[@lambert-1951]</w:t>
      </w:r>
      <w:r>
        <w:t xml:space="preserve"> </w:t>
      </w:r>
      <w:r>
        <w:t xml:space="preserve">(the counter-precedent: an 1873 sixteenth-section deed sustained under the twenty-five-year adverse-possession presumption of Code § 6596). Both opinions are now held in full; neither uses the word</w:t>
      </w:r>
      <w:r>
        <w:t xml:space="preserve"> </w:t>
      </w:r>
      <w:r>
        <w:t xml:space="preserve">“</w:t>
      </w:r>
      <w:r>
        <w:t xml:space="preserve">spoliation,</w:t>
      </w:r>
      <w:r>
        <w:t xml:space="preserve">”</w:t>
      </w:r>
      <w:r>
        <w:t xml:space="preserve"> </w:t>
      </w:r>
      <w:r>
        <w:t xml:space="preserve">and the earlier draft’s</w:t>
      </w:r>
      <w:r>
        <w:t xml:space="preserve"> </w:t>
      </w:r>
      <w:r>
        <w:t xml:space="preserve">“</w:t>
      </w:r>
      <w:r>
        <w:t xml:space="preserve">spoliation line</w:t>
      </w:r>
      <w:r>
        <w:t xml:space="preserve">”</w:t>
      </w:r>
      <w:r>
        <w:t xml:space="preserve"> </w:t>
      </w:r>
      <w:r>
        <w:t xml:space="preserve">framing is corrected accordingly (Register G-9 resolved). See also</w:t>
      </w:r>
      <w:r>
        <w:t xml:space="preserve"> </w:t>
      </w:r>
      <w:r>
        <w:rPr>
          <w:i/>
        </w:rPr>
        <w:t xml:space="preserve">Clark v. Stephen D. Lee Foundation</w:t>
      </w:r>
      <w:r>
        <w:t xml:space="preserve">, 887 So. 2d 798, ¶ 17 (Miss. 2004)</w:t>
      </w:r>
      <w:r>
        <w:t xml:space="preserve"> </w:t>
      </w:r>
      <w:r>
        <w:t xml:space="preserve">[@clark-2004]</w:t>
      </w:r>
      <w:r>
        <w:t xml:space="preserve"> </w:t>
      </w:r>
      <w:r>
        <w:t xml:space="preserve">(lease consideration</w:t>
      </w:r>
      <w:r>
        <w:t xml:space="preserve"> </w:t>
      </w:r>
      <w:r>
        <w:t xml:space="preserve">“</w:t>
      </w:r>
      <w:r>
        <w:t xml:space="preserve">must be deemed sufficient based on the reasonable market value of the leased land</w:t>
      </w:r>
      <w:r>
        <w:t xml:space="preserve">”</w:t>
      </w:r>
      <w:r>
        <w:t xml:space="preserve"> </w:t>
      </w:r>
      <w:r>
        <w:t xml:space="preserve">— verified against the full opinion, 2026-06-10; ¶ 15 separately holds that school districts hold no title to sixteenth-section lands — title resides in the State).</w:t>
      </w:r>
    </w:p>
  </w:footnote>
  <w:footnote w:id="463">
    <w:p>
      <w:pPr>
        <w:pStyle w:val="FootnoteText"/>
      </w:pPr>
      <w:r>
        <w:rPr>
          <w:rStyle w:val="FootnoteReference"/>
        </w:rPr>
        <w:footnoteRef/>
      </w:r>
      <w:r>
        <w:t xml:space="preserve"> </w:t>
      </w:r>
      <w:r>
        <w:rPr>
          <w:i/>
        </w:rPr>
        <w:t xml:space="preserve">Wood v. Honeyman</w:t>
      </w:r>
      <w:r>
        <w:t xml:space="preserve">, 178 Or 484, 556-57 (1946)</w:t>
      </w:r>
      <w:r>
        <w:t xml:space="preserve"> </w:t>
      </w:r>
      <w:r>
        <w:t xml:space="preserve">[@honeyman-1946]</w:t>
      </w:r>
      <w:r>
        <w:t xml:space="preserve"> </w:t>
      </w:r>
      <w:r>
        <w:t xml:space="preserve">(quoting Bogert,</w:t>
      </w:r>
      <w:r>
        <w:t xml:space="preserve"> </w:t>
      </w:r>
      <w:r>
        <w:rPr>
          <w:i/>
        </w:rPr>
        <w:t xml:space="preserve">Trusts and Trustees</w:t>
      </w:r>
      <w:r>
        <w:t xml:space="preserve"> </w:t>
      </w:r>
      <w:r>
        <w:t xml:space="preserve">§ 962); see the provenance note to § 12.1.</w:t>
      </w:r>
    </w:p>
  </w:footnote>
  <w:footnote w:id="464">
    <w:p>
      <w:pPr>
        <w:pStyle w:val="FootnoteText"/>
      </w:pPr>
      <w:r>
        <w:rPr>
          <w:rStyle w:val="FootnoteReference"/>
        </w:rPr>
        <w:footnoteRef/>
      </w:r>
      <w:r>
        <w:t xml:space="preserve"> </w:t>
      </w:r>
      <w:r>
        <w:rPr>
          <w:i/>
        </w:rPr>
        <w:t xml:space="preserve">National Parks &amp; Conservation Ass’n v. Board of State Lands</w:t>
      </w:r>
      <w:r>
        <w:t xml:space="preserve">, 869 P.2d 909, 922 (Utah 1993)</w:t>
      </w:r>
      <w:r>
        <w:t xml:space="preserve"> </w:t>
      </w:r>
      <w:r>
        <w:t xml:space="preserve">[@npca-1993]</w:t>
      </w:r>
      <w:r>
        <w:t xml:space="preserve"> </w:t>
      </w:r>
      <w:r>
        <w:t xml:space="preserve">(</w:t>
      </w:r>
      <w:r>
        <w:t xml:space="preserve">“</w:t>
      </w:r>
      <w:r>
        <w:t xml:space="preserve">For a trustee to rely on appraisals submitted by a purchaser of trust assets is to leave the trust subject to sharp dealing on the part of the purchaser. For that reason, we hold that a breach of trust occurs when a trustee uses an appraisal submitted by the purchaser as the basis for ascertaining the fair market value of a trust asset.</w:t>
      </w:r>
      <w:r>
        <w:t xml:space="preserve">”</w:t>
      </w:r>
      <w:r>
        <w:t xml:space="preserve">). Quotation and pin verified against the full opinion June 7, 2026; an earlier draft’s removal flag is cleared. The appraisal holding is the 1993 decision’s; the 2010 sequel between the same parties, 2010 UT 13, affirmed the redone exchange and must not be cited for the appraisal rule.</w:t>
      </w:r>
    </w:p>
  </w:footnote>
  <w:footnote w:id="465">
    <w:p>
      <w:pPr>
        <w:pStyle w:val="FootnoteText"/>
      </w:pPr>
      <w:r>
        <w:rPr>
          <w:rStyle w:val="FootnoteReference"/>
        </w:rPr>
        <w:footnoteRef/>
      </w:r>
      <w:r>
        <w:t xml:space="preserve"> </w:t>
      </w:r>
      <w:r>
        <w:rPr>
          <w:i/>
        </w:rPr>
        <w:t xml:space="preserve">Hill v. Thompson</w:t>
      </w:r>
      <w:r>
        <w:t xml:space="preserve">, 564 So. 2d 1, 7 (Miss. 1989)</w:t>
      </w:r>
      <w:r>
        <w:t xml:space="preserve"> </w:t>
      </w:r>
      <w:r>
        <w:t xml:space="preserve">[@hill-1989]</w:t>
      </w:r>
      <w:r>
        <w:t xml:space="preserve">; see the Mississippi note at § 12.3. Accord cases on burden-shifting against state trustees not yet collected; see Architecture § C, verification wave 2.</w:t>
      </w:r>
    </w:p>
  </w:footnote>
  <w:footnote w:id="467">
    <w:p>
      <w:pPr>
        <w:pStyle w:val="FootnoteText"/>
      </w:pPr>
      <w:r>
        <w:rPr>
          <w:rStyle w:val="FootnoteReference"/>
        </w:rPr>
        <w:footnoteRef/>
      </w:r>
      <w:r>
        <w:t xml:space="preserve"> </w:t>
      </w:r>
      <w:r>
        <w:rPr>
          <w:i/>
        </w:rPr>
        <w:t xml:space="preserve">Sasser v. DeLorme</w:t>
      </w:r>
      <w:r>
        <w:t xml:space="preserve">, 56 Or App 630, 634, 642 P.2d 1192, 1194 (1982)</w:t>
      </w:r>
      <w:r>
        <w:t xml:space="preserve"> </w:t>
      </w:r>
      <w:r>
        <w:t xml:space="preserve">[@sasser-1982]</w:t>
      </w:r>
      <w:r>
        <w:t xml:space="preserve">; the accounting-purpose quotation is verbatim at 56 Or App at 634 (= 642 P.2d at 1194), verified against the full opinion. The case reached this chapter through Defendants’ Motion for Summary Judgment (filed May 13, 2026), which collected this line; the State’s brief quoted it accurately.</w:t>
      </w:r>
    </w:p>
  </w:footnote>
  <w:footnote w:id="468">
    <w:p>
      <w:pPr>
        <w:pStyle w:val="FootnoteText"/>
      </w:pPr>
      <w:r>
        <w:rPr>
          <w:rStyle w:val="FootnoteReference"/>
        </w:rPr>
        <w:footnoteRef/>
      </w:r>
      <w:r>
        <w:t xml:space="preserve"> </w:t>
      </w:r>
      <w:r>
        <w:rPr>
          <w:i/>
        </w:rPr>
        <w:t xml:space="preserve">Thompson v. Coughlin</w:t>
      </w:r>
      <w:r>
        <w:t xml:space="preserve">, 329 Or 630, 640, 997 P.2d 191 (2000)</w:t>
      </w:r>
      <w:r>
        <w:t xml:space="preserve"> </w:t>
      </w:r>
      <w:r>
        <w:t xml:space="preserve">[@thompson-coughlin-2000]</w:t>
      </w:r>
      <w:r>
        <w:t xml:space="preserve"> </w:t>
      </w:r>
      <w:r>
        <w:t xml:space="preserve">(</w:t>
      </w:r>
      <w:r>
        <w:t xml:space="preserve">“</w:t>
      </w:r>
      <w:r>
        <w:t xml:space="preserve">because the relief sought in the present case is a judgment for a specified sum of money determinable without any accounting, the need for an accounting is obviated,</w:t>
      </w:r>
      <w:r>
        <w:t xml:space="preserve">”</w:t>
      </w:r>
      <w:r>
        <w:t xml:space="preserve"> </w:t>
      </w:r>
      <w:r>
        <w:t xml:space="preserve">329 Or at 640). Quotation and pin verified against the full opinion. The holding is narrower than its litigation use suggests: the court applied the relief-sought test to a two-person partnership claim it found legal in nature because the sum was</w:t>
      </w:r>
      <w:r>
        <w:t xml:space="preserve"> </w:t>
      </w:r>
      <w:r>
        <w:t xml:space="preserve">“</w:t>
      </w:r>
      <w:r>
        <w:t xml:space="preserve">determinable without any accounting</w:t>
      </w:r>
      <w:r>
        <w:t xml:space="preserve">”</w:t>
      </w:r>
      <w:r>
        <w:t xml:space="preserve">; it did not address supervisory accountings in trust law.</w:t>
      </w:r>
    </w:p>
  </w:footnote>
  <w:footnote w:id="469">
    <w:p>
      <w:pPr>
        <w:pStyle w:val="FootnoteText"/>
      </w:pPr>
      <w:r>
        <w:rPr>
          <w:rStyle w:val="FootnoteReference"/>
        </w:rPr>
        <w:footnoteRef/>
      </w:r>
      <w:r>
        <w:t xml:space="preserve"> </w:t>
      </w:r>
      <w:r>
        <w:rPr>
          <w:i/>
        </w:rPr>
        <w:t xml:space="preserve">Miller v. C.C. Meisel Co.</w:t>
      </w:r>
      <w:r>
        <w:t xml:space="preserve">, 183 Or App 148, 173, 51 P.3d 650 (2002)</w:t>
      </w:r>
      <w:r>
        <w:t xml:space="preserve"> </w:t>
      </w:r>
      <w:r>
        <w:t xml:space="preserve">[@miller-meisel-2002]</w:t>
      </w:r>
      <w:r>
        <w:t xml:space="preserve"> </w:t>
      </w:r>
      <w:r>
        <w:t xml:space="preserve">(affirming denial of an equitable accounting counterclaim where discovery had already occurred on</w:t>
      </w:r>
      <w:r>
        <w:t xml:space="preserve"> </w:t>
      </w:r>
      <w:r>
        <w:t xml:space="preserve">“</w:t>
      </w:r>
      <w:r>
        <w:t xml:space="preserve">the more important issues framed by the parties</w:t>
      </w:r>
      <w:r>
        <w:t xml:space="preserve">”</w:t>
      </w:r>
      <w:r>
        <w:t xml:space="preserve">; pin 183 Or App at 173; full opinion verified against the L0 primary 2026-06-09);</w:t>
      </w:r>
      <w:r>
        <w:t xml:space="preserve"> </w:t>
      </w:r>
      <w:r>
        <w:rPr>
          <w:i/>
        </w:rPr>
        <w:t xml:space="preserve">Smith v. Williams</w:t>
      </w:r>
      <w:r>
        <w:t xml:space="preserve">, 98 Or App 258, 260, 779 P.2d 1057 (1989)</w:t>
      </w:r>
      <w:r>
        <w:t xml:space="preserve"> </w:t>
      </w:r>
      <w:r>
        <w:t xml:space="preserve">[@smith-williams-1989]</w:t>
      </w:r>
      <w:r>
        <w:t xml:space="preserve"> </w:t>
      </w:r>
      <w:r>
        <w:t xml:space="preserve">(a private-party accounting between former spouses holding property as tenants in common; full opinion verified against the primary 2026-06-08; not a trust case);</w:t>
      </w:r>
      <w:r>
        <w:t xml:space="preserve"> </w:t>
      </w:r>
      <w:r>
        <w:rPr>
          <w:i/>
        </w:rPr>
        <w:t xml:space="preserve">Public Market Co. v. City of Portland</w:t>
      </w:r>
      <w:r>
        <w:t xml:space="preserve">, 179 Or 367, 170 P.2d 586 (1946)</w:t>
      </w:r>
      <w:r>
        <w:t xml:space="preserve"> </w:t>
      </w:r>
      <w:r>
        <w:t xml:space="preserve">[@public-market-1946]</w:t>
      </w:r>
      <w:r>
        <w:t xml:space="preserve"> </w:t>
      </w:r>
      <w:r>
        <w:t xml:space="preserve">(an accounting supplemental to a damages claim; full opinion verified against the primary 2026-06-08). These cases arrived via Defendants’ Motion for Summary Judgment (filed May 13, 2026), which collected them. None is a trust case; none involves a fiduciary’s duty to render an account of its administration — and the line is not strictly a private-party one:</w:t>
      </w:r>
      <w:r>
        <w:t xml:space="preserve"> </w:t>
      </w:r>
      <w:r>
        <w:rPr>
          <w:i/>
        </w:rPr>
        <w:t xml:space="preserve">Public Market</w:t>
      </w:r>
      <w:r>
        <w:t xml:space="preserve">’s lead defendant is the City of Portland.</w:t>
      </w:r>
    </w:p>
  </w:footnote>
  <w:footnote w:id="470">
    <w:p>
      <w:pPr>
        <w:pStyle w:val="FootnoteText"/>
      </w:pPr>
      <w:r>
        <w:rPr>
          <w:rStyle w:val="FootnoteReference"/>
        </w:rPr>
        <w:footnoteRef/>
      </w:r>
      <w:r>
        <w:t xml:space="preserve"> </w:t>
      </w:r>
      <w:r>
        <w:t xml:space="preserve">Restatement (Third) of Trusts § 82 cmt. d (2007)</w:t>
      </w:r>
      <w:r>
        <w:t xml:space="preserve"> </w:t>
      </w:r>
      <w:r>
        <w:t xml:space="preserve">[@rest3d-trusts]</w:t>
      </w:r>
      <w:r>
        <w:t xml:space="preserve"> </w:t>
      </w:r>
      <w:r>
        <w:t xml:space="preserve">[VERIFY — the comment may carry context qualifying the quoted proposition; carried as quoted in Defendants’ Motion for Summary Judgment (filed May 13, 2026)].</w:t>
      </w:r>
    </w:p>
  </w:footnote>
  <w:footnote w:id="471">
    <w:p>
      <w:pPr>
        <w:pStyle w:val="FootnoteText"/>
      </w:pPr>
      <w:r>
        <w:rPr>
          <w:rStyle w:val="FootnoteReference"/>
        </w:rPr>
        <w:footnoteRef/>
      </w:r>
      <w:r>
        <w:t xml:space="preserve"> </w:t>
      </w:r>
      <w:r>
        <w:rPr>
          <w:i/>
        </w:rPr>
        <w:t xml:space="preserve">Bieker v. Ludwick</w:t>
      </w:r>
      <w:r>
        <w:t xml:space="preserve">, 343 Or App 1, 21 (2025)</w:t>
      </w:r>
      <w:r>
        <w:t xml:space="preserve"> </w:t>
      </w:r>
      <w:r>
        <w:t xml:space="preserve">[@bieker-2025]</w:t>
      </w:r>
      <w:r>
        <w:t xml:space="preserve"> </w:t>
      </w:r>
      <w:r>
        <w:t xml:space="preserve">(the Oregon UTC</w:t>
      </w:r>
      <w:r>
        <w:t xml:space="preserve"> </w:t>
      </w:r>
      <w:r>
        <w:t xml:space="preserve">“</w:t>
      </w:r>
      <w:r>
        <w:t xml:space="preserve">did not require trustee to provide petitioners with an accounting; it simply required trustee to supply petitioners with information sufficient to permit them to protect their interests</w:t>
      </w:r>
      <w:r>
        <w:t xml:space="preserve">”</w:t>
      </w:r>
      <w:r>
        <w:t xml:space="preserve">); note ORS 130.005(2)(e)</w:t>
      </w:r>
      <w:r>
        <w:t xml:space="preserve"> </w:t>
      </w:r>
      <w:r>
        <w:t xml:space="preserve">[@act-ors-130]</w:t>
      </w:r>
      <w:r>
        <w:t xml:space="preserve"> </w:t>
      </w:r>
      <w:r>
        <w:t xml:space="preserve">(public-body exclusion from the Oregon UTC), which bears on the decision’s reach beyond private trusts.</w:t>
      </w:r>
    </w:p>
  </w:footnote>
  <w:footnote w:id="472">
    <w:p>
      <w:pPr>
        <w:pStyle w:val="FootnoteText"/>
      </w:pPr>
      <w:r>
        <w:rPr>
          <w:rStyle w:val="FootnoteReference"/>
        </w:rPr>
        <w:footnoteRef/>
      </w:r>
      <w:r>
        <w:t xml:space="preserve"> </w:t>
      </w:r>
      <w:r>
        <w:t xml:space="preserve">Bogert,</w:t>
      </w:r>
      <w:r>
        <w:t xml:space="preserve"> </w:t>
      </w:r>
      <w:r>
        <w:rPr>
          <w:i/>
        </w:rPr>
        <w:t xml:space="preserve">Trusts and Trustees</w:t>
      </w:r>
      <w:r>
        <w:t xml:space="preserve"> </w:t>
      </w:r>
      <w:r>
        <w:t xml:space="preserve">§§ 961–973</w:t>
      </w:r>
      <w:r>
        <w:t xml:space="preserve"> </w:t>
      </w:r>
      <w:r>
        <w:t xml:space="preserve">[@bogert-trusts]</w:t>
      </w:r>
      <w:r>
        <w:t xml:space="preserve">; Scott on Trusts § 172</w:t>
      </w:r>
      <w:r>
        <w:t xml:space="preserve"> </w:t>
      </w:r>
      <w:r>
        <w:t xml:space="preserve">[@scott-trusts]</w:t>
      </w:r>
      <w:r>
        <w:t xml:space="preserve">. Cited at section level; full-text verification outstanding [VERIFY].</w:t>
      </w:r>
    </w:p>
  </w:footnote>
  <w:footnote w:id="473">
    <w:p>
      <w:pPr>
        <w:pStyle w:val="FootnoteText"/>
      </w:pPr>
      <w:r>
        <w:rPr>
          <w:rStyle w:val="FootnoteReference"/>
        </w:rPr>
        <w:footnoteRef/>
      </w:r>
      <w:r>
        <w:t xml:space="preserve"> </w:t>
      </w:r>
      <w:r>
        <w:t xml:space="preserve">Defendants’ Motion for Summary Judgment § IV.G (filed May 13, 2026), Plaintiffs’ Response and Cross-Motion for Partial Summary Judgment (filed May 29, 2026; the project’s own filing), and letter opinion of September 5, 2025 (motion-to-dismiss stage), all in</w:t>
      </w:r>
      <w:r>
        <w:t xml:space="preserve"> </w:t>
      </w:r>
      <w:r>
        <w:rPr>
          <w:i/>
        </w:rPr>
        <w:t xml:space="preserve">Siuslaw School District 97J v. State of Oregon</w:t>
      </w:r>
      <w:r>
        <w:t xml:space="preserve">, Coos County Circuit Court No. 24CV38372. The September 5 ruling reasons from institutional chronology: the Common School Fund has existed since the 1857 Constitution and 1859 statehood, predating the office of the Attorney General (1891) and the statutes asserted to displace common-law remedies.</w:t>
      </w:r>
    </w:p>
  </w:footnote>
  <w:footnote w:id="475">
    <w:p>
      <w:pPr>
        <w:pStyle w:val="FootnoteText"/>
      </w:pPr>
      <w:r>
        <w:rPr>
          <w:rStyle w:val="FootnoteReference"/>
        </w:rPr>
        <w:footnoteRef/>
      </w:r>
      <w:r>
        <w:t xml:space="preserve"> </w:t>
      </w:r>
      <w:r>
        <w:t xml:space="preserve">§§ 12.1–12.2 and the authorities collected there.</w:t>
      </w:r>
    </w:p>
  </w:footnote>
  <w:footnote w:id="476">
    <w:p>
      <w:pPr>
        <w:pStyle w:val="FootnoteText"/>
      </w:pPr>
      <w:r>
        <w:rPr>
          <w:rStyle w:val="FootnoteReference"/>
        </w:rPr>
        <w:footnoteRef/>
      </w:r>
      <w:r>
        <w:t xml:space="preserve"> </w:t>
      </w:r>
      <w:r>
        <w:t xml:space="preserve">§ 12.2 and the conversion, no-waiver, and limitations authorities collected there.</w:t>
      </w:r>
    </w:p>
  </w:footnote>
  <w:footnote w:id="477">
    <w:p>
      <w:pPr>
        <w:pStyle w:val="FootnoteText"/>
      </w:pPr>
      <w:r>
        <w:rPr>
          <w:rStyle w:val="FootnoteReference"/>
        </w:rPr>
        <w:footnoteRef/>
      </w:r>
      <w:r>
        <w:t xml:space="preserve"> </w:t>
      </w:r>
      <w:r>
        <w:t xml:space="preserve">§ 12.4.</w:t>
      </w:r>
    </w:p>
  </w:footnote>
  <w:footnote w:id="478">
    <w:p>
      <w:pPr>
        <w:pStyle w:val="FootnoteText"/>
      </w:pPr>
      <w:r>
        <w:rPr>
          <w:rStyle w:val="FootnoteReference"/>
        </w:rPr>
        <w:footnoteRef/>
      </w:r>
      <w:r>
        <w:t xml:space="preserve"> </w:t>
      </w:r>
      <w:r>
        <w:t xml:space="preserve">§ 12.5.</w:t>
      </w:r>
    </w:p>
  </w:footnote>
  <w:footnote w:id="479">
    <w:p>
      <w:pPr>
        <w:pStyle w:val="FootnoteText"/>
      </w:pPr>
      <w:r>
        <w:rPr>
          <w:rStyle w:val="FootnoteReference"/>
        </w:rPr>
        <w:footnoteRef/>
      </w:r>
      <w:r>
        <w:t xml:space="preserve"> </w:t>
      </w:r>
      <w:r>
        <w:t xml:space="preserve">§ 12.3.</w:t>
      </w:r>
    </w:p>
  </w:footnote>
  <w:footnote w:id="482">
    <w:p>
      <w:pPr>
        <w:pStyle w:val="FootnoteText"/>
      </w:pPr>
      <w:r>
        <w:rPr>
          <w:rStyle w:val="FootnoteReference"/>
        </w:rPr>
        <w:footnoteRef/>
      </w:r>
      <w:r>
        <w:t xml:space="preserve"> </w:t>
      </w:r>
      <w:r>
        <w:rPr>
          <w:i/>
        </w:rPr>
        <w:t xml:space="preserve">Vidal v. Girard’s Executors</w:t>
      </w:r>
      <w:r>
        <w:t xml:space="preserve">, 43 U.S. 127 (1844)</w:t>
      </w:r>
      <w:r>
        <w:t xml:space="preserve"> </w:t>
      </w:r>
      <w:r>
        <w:t xml:space="preserve">[@vidal-1844]</w:t>
      </w:r>
      <w:r>
        <w:t xml:space="preserve"> </w:t>
      </w:r>
      <w:r>
        <w:t xml:space="preserve">(American courts apply the inherited English charitable-trust framework; full opinion verified against the primary). The paradigm charitable purposes of the Statute of Charitable Uses, 43 Eliz. 1, c. 4 (1601)</w:t>
      </w:r>
      <w:r>
        <w:t xml:space="preserve"> </w:t>
      </w:r>
      <w:r>
        <w:t xml:space="preserve">[@act-statute-charitable-uses-1601]</w:t>
      </w:r>
      <w:r>
        <w:t xml:space="preserve">, are conventionally rendered as including the</w:t>
      </w:r>
      <w:r>
        <w:t xml:space="preserve"> </w:t>
      </w:r>
      <w:r>
        <w:t xml:space="preserve">“</w:t>
      </w:r>
      <w:r>
        <w:t xml:space="preserve">maintenance of schools of learning, free schools, and scholars in universities</w:t>
      </w:r>
      <w:r>
        <w:t xml:space="preserve">”</w:t>
      </w:r>
      <w:r>
        <w:t xml:space="preserve"> </w:t>
      </w:r>
      <w:r>
        <w:t xml:space="preserve">[VERIFY — the statute’s text is not yet held in primary form; quotation unverified].</w:t>
      </w:r>
    </w:p>
  </w:footnote>
  <w:footnote w:id="484">
    <w:p>
      <w:pPr>
        <w:pStyle w:val="FootnoteText"/>
      </w:pPr>
      <w:r>
        <w:rPr>
          <w:rStyle w:val="FootnoteReference"/>
        </w:rPr>
        <w:footnoteRef/>
      </w:r>
      <w:r>
        <w:t xml:space="preserve"> </w:t>
      </w:r>
      <w:r>
        <w:rPr>
          <w:i/>
        </w:rPr>
        <w:t xml:space="preserve">ASARCO Inc. v. Kadish</w:t>
      </w:r>
      <w:r>
        <w:t xml:space="preserve">, 490 U.S. 605, 626 (1989)</w:t>
      </w:r>
      <w:r>
        <w:t xml:space="preserve"> </w:t>
      </w:r>
      <w:r>
        <w:t xml:space="preserve">[@asarco-1989]</w:t>
      </w:r>
      <w:r>
        <w:t xml:space="preserve"> </w:t>
      </w:r>
      <w:r>
        <w:t xml:space="preserve">(pin verified against the full opinion, 2026-06-10: the § 28 trust-conditions passage straddles *625-26, opening the Part III-A merits analysis).</w:t>
      </w:r>
    </w:p>
  </w:footnote>
  <w:footnote w:id="485">
    <w:p>
      <w:pPr>
        <w:pStyle w:val="FootnoteText"/>
      </w:pPr>
      <w:r>
        <w:rPr>
          <w:rStyle w:val="FootnoteReference"/>
        </w:rPr>
        <w:footnoteRef/>
      </w:r>
      <w:r>
        <w:t xml:space="preserve"> </w:t>
      </w:r>
      <w:r>
        <w:rPr>
          <w:i/>
        </w:rPr>
        <w:t xml:space="preserve">Id.</w:t>
      </w:r>
      <w:r>
        <w:t xml:space="preserve"> </w:t>
      </w:r>
      <w:r>
        <w:t xml:space="preserve">(the Article III division and the petitioner-injury basis of review: Justice Kennedy held in Part II-B-1 that the beneficiary respondents lacked federal-court Article III standing, but the petitioner-lessees’ injury from the adverse state-court judgment supported Article III jurisdiction on appeal, and the Court affirmed on the merits — verified against the L0 entry; the digest carries no internal page markers, so § references rather than reporter pins). Plaintiffs’ Response and Cross-Motion for Partial Summary Judgment (filed May 29, 2026; the project’s own filing) also collects, within the body of law recognizing enforceable federal-state school trusts,</w:t>
      </w:r>
      <w:r>
        <w:t xml:space="preserve"> </w:t>
      </w:r>
      <w:r>
        <w:rPr>
          <w:i/>
        </w:rPr>
        <w:t xml:space="preserve">Papasan v. Allain</w:t>
      </w:r>
      <w:r>
        <w:t xml:space="preserve">, 478 U.S. 265 (1986)</w:t>
      </w:r>
      <w:r>
        <w:t xml:space="preserve"> </w:t>
      </w:r>
      <w:r>
        <w:t xml:space="preserve">[@papasan-1986]</w:t>
      </w:r>
      <w:r>
        <w:t xml:space="preserve">, and</w:t>
      </w:r>
      <w:r>
        <w:t xml:space="preserve"> </w:t>
      </w:r>
      <w:r>
        <w:rPr>
          <w:i/>
        </w:rPr>
        <w:t xml:space="preserve">Savage v. Glendale Union High School Dist. No. 205</w:t>
      </w:r>
      <w:r>
        <w:t xml:space="preserve">, 343 F.3d 1036 (9th Cir. 2003)</w:t>
      </w:r>
      <w:r>
        <w:t xml:space="preserve"> </w:t>
      </w:r>
      <w:r>
        <w:t xml:space="preserve">[@savage-2003]</w:t>
      </w:r>
      <w:r>
        <w:t xml:space="preserve">. Neither is a standing decision:</w:t>
      </w:r>
      <w:r>
        <w:t xml:space="preserve"> </w:t>
      </w:r>
      <w:r>
        <w:rPr>
          <w:i/>
        </w:rPr>
        <w:t xml:space="preserve">Papasan</w:t>
      </w:r>
      <w:r>
        <w:t xml:space="preserve"> </w:t>
      </w:r>
      <w:r>
        <w:t xml:space="preserve">holds that the Eleventh Amendment bars the trust-enforcement claims of school officials and schoolchildren while their equal-protection challenge to an ongoing disparity in the distribution of school-lands benefits may proceed;</w:t>
      </w:r>
      <w:r>
        <w:t xml:space="preserve"> </w:t>
      </w:r>
      <w:r>
        <w:rPr>
          <w:i/>
        </w:rPr>
        <w:t xml:space="preserve">Savage</w:t>
      </w:r>
      <w:r>
        <w:t xml:space="preserve"> </w:t>
      </w:r>
      <w:r>
        <w:t xml:space="preserve">holds that an Arizona school district is not an arm of the state entitled to Eleventh Amendment immunity.</w:t>
      </w:r>
      <w:r>
        <w:t xml:space="preserve"> </w:t>
      </w:r>
      <w:r>
        <w:rPr>
          <w:i/>
        </w:rPr>
        <w:t xml:space="preserve">Forest Guardians v. Wells</w:t>
      </w:r>
      <w:r>
        <w:t xml:space="preserve">, 201 Ariz. 255, 34 P.3d 364 (2001)</w:t>
      </w:r>
      <w:r>
        <w:t xml:space="preserve"> </w:t>
      </w:r>
      <w:r>
        <w:t xml:space="preserve">[@fg-wells-2001]</w:t>
      </w:r>
      <w:r>
        <w:t xml:space="preserve">, is likewise a merits decision — on the Commissioner’s denial of grazing-lease applications by rejected high bidders — not a beneficiary-standing holding.</w:t>
      </w:r>
    </w:p>
  </w:footnote>
  <w:footnote w:id="487">
    <w:p>
      <w:pPr>
        <w:pStyle w:val="FootnoteText"/>
      </w:pPr>
      <w:r>
        <w:rPr>
          <w:rStyle w:val="FootnoteReference"/>
        </w:rPr>
        <w:footnoteRef/>
      </w:r>
      <w:r>
        <w:t xml:space="preserve"> </w:t>
      </w:r>
      <w:r>
        <w:rPr>
          <w:i/>
        </w:rPr>
        <w:t xml:space="preserve">Branson School District RE-82 v. Romer</w:t>
      </w:r>
      <w:r>
        <w:t xml:space="preserve">, 161 F.3d 619 (10th Cir. 1998)</w:t>
      </w:r>
      <w:r>
        <w:t xml:space="preserve"> </w:t>
      </w:r>
      <w:r>
        <w:t xml:space="preserve">[@branson-1998]</w:t>
      </w:r>
      <w:r>
        <w:t xml:space="preserve">.</w:t>
      </w:r>
    </w:p>
  </w:footnote>
  <w:footnote w:id="488">
    <w:p>
      <w:pPr>
        <w:pStyle w:val="FootnoteText"/>
      </w:pPr>
      <w:r>
        <w:rPr>
          <w:rStyle w:val="FootnoteReference"/>
        </w:rPr>
        <w:footnoteRef/>
      </w:r>
      <w:r>
        <w:t xml:space="preserve"> </w:t>
      </w:r>
      <w:r>
        <w:rPr>
          <w:i/>
        </w:rPr>
        <w:t xml:space="preserve">Pendleton School District 16R v. State</w:t>
      </w:r>
      <w:r>
        <w:t xml:space="preserve">, 345 Or 596, 609-10 (2009)</w:t>
      </w:r>
      <w:r>
        <w:t xml:space="preserve"> </w:t>
      </w:r>
      <w:r>
        <w:t xml:space="preserve">[@pendleton-2009]</w:t>
      </w:r>
      <w:r>
        <w:t xml:space="preserve"> </w:t>
      </w:r>
      <w:r>
        <w:t xml:space="preserve">(pins set from the full opinion, 2026-06-10: the declaratory holding at</w:t>
      </w:r>
      <w:r>
        <w:t xml:space="preserve"> </w:t>
      </w:r>
      <w:r>
        <w:rPr>
          <w:i/>
        </w:rPr>
        <w:t xml:space="preserve">610, the</w:t>
      </w:r>
      <w:r>
        <w:rPr>
          <w:i/>
        </w:rPr>
        <w:t xml:space="preserve"> </w:t>
      </w:r>
      <w:r>
        <w:t xml:space="preserve">Marbury* passage at</w:t>
      </w:r>
      <w:r>
        <w:t xml:space="preserve"> </w:t>
      </w:r>
      <w:r>
        <w:rPr>
          <w:i/>
        </w:rPr>
        <w:t xml:space="preserve">609); letter opinion of March 6, 2025,</w:t>
      </w:r>
      <w:r>
        <w:rPr>
          <w:i/>
        </w:rPr>
        <w:t xml:space="preserve"> </w:t>
      </w:r>
      <w:r>
        <w:t xml:space="preserve">Siuslaw School District 97J v. State of Oregon*, Coos County Circuit Court No. 24CV38372 (standing found for district and student plaintiffs; trust characterization and beneficiary identity expressly reserved). A trial-level ruling binds no one beyond the case; it is reported here as the live application of the district-standing question in the one state where trust character itself is contested.</w:t>
      </w:r>
    </w:p>
  </w:footnote>
  <w:footnote w:id="489">
    <w:p>
      <w:pPr>
        <w:pStyle w:val="FootnoteText"/>
      </w:pPr>
      <w:r>
        <w:rPr>
          <w:rStyle w:val="FootnoteReference"/>
        </w:rPr>
        <w:footnoteRef/>
      </w:r>
      <w:r>
        <w:t xml:space="preserve"> </w:t>
      </w:r>
      <w:r>
        <w:rPr>
          <w:i/>
        </w:rPr>
        <w:t xml:space="preserve">Advocates for School Trust Lands v. State</w:t>
      </w:r>
      <w:r>
        <w:t xml:space="preserve">, 346 Or App 668 (2026)</w:t>
      </w:r>
      <w:r>
        <w:t xml:space="preserve"> </w:t>
      </w:r>
      <w:r>
        <w:t xml:space="preserve">[@advocates-2026]</w:t>
      </w:r>
      <w:r>
        <w:t xml:space="preserve">. The same decision holds, 346 Or App at 684, that challenges to the validity of laws are not tort claims subject to the state claims statute — the recharacterization holding treated in Chapter 17.</w:t>
      </w:r>
    </w:p>
  </w:footnote>
  <w:footnote w:id="490">
    <w:p>
      <w:pPr>
        <w:pStyle w:val="FootnoteText"/>
      </w:pPr>
      <w:r>
        <w:rPr>
          <w:rStyle w:val="FootnoteReference"/>
        </w:rPr>
        <w:footnoteRef/>
      </w:r>
      <w:r>
        <w:t xml:space="preserve"> </w:t>
      </w:r>
      <w:r>
        <w:rPr>
          <w:i/>
        </w:rPr>
        <w:t xml:space="preserve">Id.</w:t>
      </w:r>
      <w:r>
        <w:t xml:space="preserve"> </w:t>
      </w:r>
      <w:r>
        <w:t xml:space="preserve">(applying the framework of</w:t>
      </w:r>
      <w:r>
        <w:t xml:space="preserve"> </w:t>
      </w:r>
      <w:r>
        <w:rPr>
          <w:i/>
        </w:rPr>
        <w:t xml:space="preserve">MT &amp; M Gaming, Inc. v. City of Portland</w:t>
      </w:r>
      <w:r>
        <w:t xml:space="preserve">, 360 Or 544, 383 P3d 800 (2016)</w:t>
      </w:r>
      <w:r>
        <w:t xml:space="preserve"> </w:t>
      </w:r>
      <w:r>
        <w:t xml:space="preserve">[@mtm-gaming-2016]</w:t>
      </w:r>
      <w:r>
        <w:t xml:space="preserve">; see also</w:t>
      </w:r>
      <w:r>
        <w:t xml:space="preserve"> </w:t>
      </w:r>
      <w:r>
        <w:rPr>
          <w:i/>
        </w:rPr>
        <w:t xml:space="preserve">League of Oregon Cities v. State</w:t>
      </w:r>
      <w:r>
        <w:t xml:space="preserve">, 334 Or 645 (2002)</w:t>
      </w:r>
      <w:r>
        <w:t xml:space="preserve"> </w:t>
      </w:r>
      <w:r>
        <w:t xml:space="preserve">[@league-or-cities-2002]</w:t>
      </w:r>
      <w:r>
        <w:t xml:space="preserve"> </w:t>
      </w:r>
      <w:r>
        <w:t xml:space="preserve">(indirect economic interests may qualify), as cited within</w:t>
      </w:r>
      <w:r>
        <w:t xml:space="preserve"> </w:t>
      </w:r>
      <w:r>
        <w:rPr>
          <w:i/>
        </w:rPr>
        <w:t xml:space="preserve">Advocates</w:t>
      </w:r>
      <w:r>
        <w:t xml:space="preserve">). Quotations are at 346 Or App at 688 (legally recognized interest) and 690 (offset assumption; practical effect), verified against the opinion.</w:t>
      </w:r>
    </w:p>
  </w:footnote>
  <w:footnote w:id="491">
    <w:p>
      <w:pPr>
        <w:pStyle w:val="FootnoteText"/>
      </w:pPr>
      <w:r>
        <w:rPr>
          <w:rStyle w:val="FootnoteReference"/>
        </w:rPr>
        <w:footnoteRef/>
      </w:r>
      <w:r>
        <w:t xml:space="preserve"> </w:t>
      </w:r>
      <w:r>
        <w:rPr>
          <w:i/>
        </w:rPr>
        <w:t xml:space="preserve">Ebey v. Avoyelles Parish School Board</w:t>
      </w:r>
      <w:r>
        <w:t xml:space="preserve">, 861 So. 2d 910, 2003-765 (La. App. 3 Cir. 12/17/03)</w:t>
      </w:r>
      <w:r>
        <w:t xml:space="preserve"> </w:t>
      </w:r>
      <w:r>
        <w:t xml:space="preserve">[@ebey-2003]</w:t>
      </w:r>
      <w:r>
        <w:t xml:space="preserve">.</w:t>
      </w:r>
    </w:p>
  </w:footnote>
  <w:footnote w:id="492">
    <w:p>
      <w:pPr>
        <w:pStyle w:val="FootnoteText"/>
      </w:pPr>
      <w:r>
        <w:rPr>
          <w:rStyle w:val="FootnoteReference"/>
        </w:rPr>
        <w:footnoteRef/>
      </w:r>
      <w:r>
        <w:t xml:space="preserve"> </w:t>
      </w:r>
      <w:r>
        <w:rPr>
          <w:i/>
        </w:rPr>
        <w:t xml:space="preserve">Forest Guardians v. Powell</w:t>
      </w:r>
      <w:r>
        <w:t xml:space="preserve">, 130 N.M. 368, 24 P.3d 803, 2001-NMCA-028</w:t>
      </w:r>
      <w:r>
        <w:t xml:space="preserve"> </w:t>
      </w:r>
      <w:r>
        <w:t xml:space="preserve">[@forest-guardians-2001]</w:t>
      </w:r>
      <w:r>
        <w:t xml:space="preserve">;</w:t>
      </w:r>
      <w:r>
        <w:t xml:space="preserve"> </w:t>
      </w:r>
      <w:r>
        <w:rPr>
          <w:i/>
        </w:rPr>
        <w:t xml:space="preserve">Advocates</w:t>
      </w:r>
      <w:r>
        <w:t xml:space="preserve">, 346 Or App 668</w:t>
      </w:r>
      <w:r>
        <w:t xml:space="preserve"> </w:t>
      </w:r>
      <w:r>
        <w:t xml:space="preserve">[@advocates-2026]</w:t>
      </w:r>
      <w:r>
        <w:t xml:space="preserve"> </w:t>
      </w:r>
      <w:r>
        <w:t xml:space="preserve">(plaintiffs included two schoolchildren and two parents as guardians ad litem).</w:t>
      </w:r>
    </w:p>
  </w:footnote>
  <w:footnote w:id="493">
    <w:p>
      <w:pPr>
        <w:pStyle w:val="FootnoteText"/>
      </w:pPr>
      <w:r>
        <w:rPr>
          <w:rStyle w:val="FootnoteReference"/>
        </w:rPr>
        <w:footnoteRef/>
      </w:r>
      <w:r>
        <w:t xml:space="preserve"> </w:t>
      </w:r>
      <w:r>
        <w:rPr>
          <w:i/>
        </w:rPr>
        <w:t xml:space="preserve">ASARCO</w:t>
      </w:r>
      <w:r>
        <w:t xml:space="preserve">, 490 U.S. 605</w:t>
      </w:r>
      <w:r>
        <w:t xml:space="preserve"> </w:t>
      </w:r>
      <w:r>
        <w:t xml:space="preserve">[@asarco-1989]</w:t>
      </w:r>
      <w:r>
        <w:t xml:space="preserve">.</w:t>
      </w:r>
    </w:p>
  </w:footnote>
  <w:footnote w:id="494">
    <w:p>
      <w:pPr>
        <w:pStyle w:val="FootnoteText"/>
      </w:pPr>
      <w:r>
        <w:rPr>
          <w:rStyle w:val="FootnoteReference"/>
        </w:rPr>
        <w:footnoteRef/>
      </w:r>
      <w:r>
        <w:t xml:space="preserve"> </w:t>
      </w:r>
      <w:r>
        <w:rPr>
          <w:i/>
        </w:rPr>
        <w:t xml:space="preserve">Montanans for the Responsible Use of the School Trust v. State</w:t>
      </w:r>
      <w:r>
        <w:t xml:space="preserve">, 1999 MT 263, 296 Mont. 402, 989 P.2d 800</w:t>
      </w:r>
      <w:r>
        <w:t xml:space="preserve"> </w:t>
      </w:r>
      <w:r>
        <w:t xml:space="preserve">[@montrust-1999]</w:t>
      </w:r>
      <w:r>
        <w:t xml:space="preserve"> </w:t>
      </w:r>
      <w:r>
        <w:t xml:space="preserve">(multiple statutes held facially unconstitutional; denial of plaintiff’s attorney fees reversed; private-attorney-general doctrine adopted).</w:t>
      </w:r>
    </w:p>
  </w:footnote>
  <w:footnote w:id="495">
    <w:p>
      <w:pPr>
        <w:pStyle w:val="FootnoteText"/>
      </w:pPr>
      <w:r>
        <w:rPr>
          <w:rStyle w:val="FootnoteReference"/>
        </w:rPr>
        <w:footnoteRef/>
      </w:r>
      <w:r>
        <w:t xml:space="preserve"> </w:t>
      </w:r>
      <w:r>
        <w:rPr>
          <w:i/>
        </w:rPr>
        <w:t xml:space="preserve">Selkirk-Priest Basin Ass’n v. State ex rel. Andrus</w:t>
      </w:r>
      <w:r>
        <w:t xml:space="preserve">, 127 Idaho 239, 899 P.2d 949, 952 (1995)</w:t>
      </w:r>
      <w:r>
        <w:t xml:space="preserve"> </w:t>
      </w:r>
      <w:r>
        <w:t xml:space="preserve">[@selkirk-priest-1995]</w:t>
      </w:r>
      <w:r>
        <w:t xml:space="preserve"> </w:t>
      </w:r>
      <w:r>
        <w:t xml:space="preserve">(</w:t>
      </w:r>
      <w:r>
        <w:t xml:space="preserve">“</w:t>
      </w:r>
      <w:r>
        <w:t xml:space="preserve">Because the direct beneficiaries of the school endowment lands trust are the schools (or the school districts of which the individual schools are a part), the environmental groups lack the legally protected interest that</w:t>
      </w:r>
      <w:r>
        <w:t xml:space="preserve"> </w:t>
      </w:r>
      <w:r>
        <w:rPr>
          <w:i/>
        </w:rPr>
        <w:t xml:space="preserve">Bear Lake</w:t>
      </w:r>
      <w:r>
        <w:t xml:space="preserve"> </w:t>
      </w:r>
      <w:r>
        <w:t xml:space="preserve">requires. Neither environmental group represents a single school or school district.</w:t>
      </w:r>
      <w:r>
        <w:t xml:space="preserve">”</w:t>
      </w:r>
      <w:r>
        <w:t xml:space="preserve">);</w:t>
      </w:r>
      <w:r>
        <w:t xml:space="preserve"> </w:t>
      </w:r>
      <w:r>
        <w:rPr>
          <w:i/>
        </w:rPr>
        <w:t xml:space="preserve">Selkirk-Priest Basin Ass’n v. State ex rel. Batt</w:t>
      </w:r>
      <w:r>
        <w:t xml:space="preserve">, 128 Idaho 831, 919 P.2d 1032 (1996) (</w:t>
      </w:r>
      <w:r>
        <w:t xml:space="preserve">“</w:t>
      </w:r>
      <w:r>
        <w:t xml:space="preserve">We hold that SPBA has not demonstrated a distinct and palpable injury to its recreational interest in the area which confers standing to challenge the State Board of Land Commissioners’ (Land Board) administration of endowment trust lands.</w:t>
      </w:r>
      <w:r>
        <w:t xml:space="preserve">”</w:t>
      </w:r>
      <w:r>
        <w:t xml:space="preserve">). Justice Johnson, concurring in part and dissenting in part in the 1995 decision, located the beneficial interest in the children rather than the institutions:</w:t>
      </w:r>
      <w:r>
        <w:t xml:space="preserve"> </w:t>
      </w:r>
      <w:r>
        <w:t xml:space="preserve">“</w:t>
      </w:r>
      <w:r>
        <w:t xml:space="preserve">In my view, the Court incorrectly identifies school districts as the direct beneficiaries of the school lands trust. In my view, the students in the common schools are the beneficiaries.</w:t>
      </w:r>
      <w:r>
        <w:t xml:space="preserve">”</w:t>
      </w:r>
      <w:r>
        <w:t xml:space="preserve"> </w:t>
      </w:r>
      <w:r>
        <w:t xml:space="preserve">899 P.2d at 956 (Johnson, J., concurring in part and dissenting in part).</w:t>
      </w:r>
    </w:p>
  </w:footnote>
  <w:footnote w:id="496">
    <w:p>
      <w:pPr>
        <w:pStyle w:val="FootnoteText"/>
      </w:pPr>
      <w:r>
        <w:rPr>
          <w:rStyle w:val="FootnoteReference"/>
        </w:rPr>
        <w:footnoteRef/>
      </w:r>
      <w:r>
        <w:t xml:space="preserve"> </w:t>
      </w:r>
      <w:r>
        <w:rPr>
          <w:i/>
        </w:rPr>
        <w:t xml:space="preserve">Asplund v. Hannett</w:t>
      </w:r>
      <w:r>
        <w:t xml:space="preserve">, 31 N.M. 641, 249 P. 1074 (1926)</w:t>
      </w:r>
      <w:r>
        <w:t xml:space="preserve"> </w:t>
      </w:r>
      <w:r>
        <w:t xml:space="preserve">[@asplund-1926]</w:t>
      </w:r>
      <w:r>
        <w:t xml:space="preserve"> </w:t>
      </w:r>
      <w:r>
        <w:t xml:space="preserve">(the case</w:t>
      </w:r>
      <w:r>
        <w:t xml:space="preserve"> </w:t>
      </w:r>
      <w:r>
        <w:rPr>
          <w:i/>
        </w:rPr>
        <w:t xml:space="preserve">Forest Guardians</w:t>
      </w:r>
      <w:r>
        <w:t xml:space="preserve"> </w:t>
      </w:r>
      <w:r>
        <w:t xml:space="preserve">treats as the standing question</w:t>
      </w:r>
      <w:r>
        <w:t xml:space="preserve"> </w:t>
      </w:r>
      <w:r>
        <w:t xml:space="preserve">“</w:t>
      </w:r>
      <w:r>
        <w:t xml:space="preserve">last addressed</w:t>
      </w:r>
      <w:r>
        <w:t xml:space="preserve">”</w:t>
      </w:r>
      <w:r>
        <w:t xml:space="preserve">).</w:t>
      </w:r>
    </w:p>
  </w:footnote>
  <w:footnote w:id="498">
    <w:p>
      <w:pPr>
        <w:pStyle w:val="FootnoteText"/>
      </w:pPr>
      <w:r>
        <w:rPr>
          <w:rStyle w:val="FootnoteReference"/>
        </w:rPr>
        <w:footnoteRef/>
      </w:r>
      <w:r>
        <w:t xml:space="preserve"> </w:t>
      </w:r>
      <w:r>
        <w:rPr>
          <w:i/>
        </w:rPr>
        <w:t xml:space="preserve">Forest Guardians v. Powell</w:t>
      </w:r>
      <w:r>
        <w:t xml:space="preserve">, 130 N.M. 368, 24 P.3d 803, 2001-NMCA-028, ¶ 1</w:t>
      </w:r>
      <w:r>
        <w:t xml:space="preserve"> </w:t>
      </w:r>
      <w:r>
        <w:t xml:space="preserve">[@forest-guardians-2001]</w:t>
      </w:r>
      <w:r>
        <w:t xml:space="preserve"> </w:t>
      </w:r>
      <w:r>
        <w:t xml:space="preserve">(majority opinion by Judge Pickard) ("We hold that (1) the Enabling Act trust is a charitable trust and Plaintiff schoolchildren do not have a special interest in the trust sufficient to confer standing, (2) for the purposes of standing, there is an insufficient causal relationship between the Land Office’s actions and the harm alleged to be suffered by the children * * *."). Full opinion verified against the primary.</w:t>
      </w:r>
    </w:p>
  </w:footnote>
  <w:footnote w:id="499">
    <w:p>
      <w:pPr>
        <w:pStyle w:val="FootnoteText"/>
      </w:pPr>
      <w:r>
        <w:rPr>
          <w:rStyle w:val="FootnoteReference"/>
        </w:rPr>
        <w:footnoteRef/>
      </w:r>
      <w:r>
        <w:t xml:space="preserve"> </w:t>
      </w:r>
      <w:r>
        <w:t xml:space="preserve">New Mexico–Arizona Enabling Act § 10, 36 Stat. 557 (1910)</w:t>
      </w:r>
      <w:r>
        <w:t xml:space="preserve"> </w:t>
      </w:r>
      <w:r>
        <w:t xml:space="preserve">[@act-nm-az-1910]</w:t>
      </w:r>
      <w:r>
        <w:t xml:space="preserve">; N.M. Const. art. XIII, § 1</w:t>
      </w:r>
      <w:r>
        <w:t xml:space="preserve"> </w:t>
      </w:r>
      <w:r>
        <w:t xml:space="preserve">[@const-nm-art13]</w:t>
      </w:r>
      <w:r>
        <w:t xml:space="preserve"> </w:t>
      </w:r>
      <w:r>
        <w:t xml:space="preserve">(elected Commissioner of Public Lands). The federal enforcement clause is Chapter 15’s subject; its interaction with private standing is treated there.</w:t>
      </w:r>
    </w:p>
  </w:footnote>
  <w:footnote w:id="500">
    <w:p>
      <w:pPr>
        <w:pStyle w:val="FootnoteText"/>
      </w:pPr>
      <w:r>
        <w:rPr>
          <w:rStyle w:val="FootnoteReference"/>
        </w:rPr>
        <w:footnoteRef/>
      </w:r>
      <w:r>
        <w:t xml:space="preserve"> </w:t>
      </w:r>
      <w:r>
        <w:rPr>
          <w:i/>
        </w:rPr>
        <w:t xml:space="preserve">Forest Guardians</w:t>
      </w:r>
      <w:r>
        <w:t xml:space="preserve">, 2001-NMCA-028, ¶ 38</w:t>
      </w:r>
      <w:r>
        <w:t xml:space="preserve"> </w:t>
      </w:r>
      <w:r>
        <w:t xml:space="preserve">[@forest-guardians-2001]</w:t>
      </w:r>
      <w:r>
        <w:t xml:space="preserve"> </w:t>
      </w:r>
      <w:r>
        <w:t xml:space="preserve">(Bustamante, J., concurring in part and dissenting in part) (the internal quotation marks, ellipsis, and bracketed alteration are the opinion’s; verified against the full opinion).</w:t>
      </w:r>
    </w:p>
  </w:footnote>
  <w:footnote w:id="501">
    <w:p>
      <w:pPr>
        <w:pStyle w:val="FootnoteText"/>
      </w:pPr>
      <w:r>
        <w:rPr>
          <w:rStyle w:val="FootnoteReference"/>
        </w:rPr>
        <w:footnoteRef/>
      </w:r>
      <w:r>
        <w:t xml:space="preserve"> </w:t>
      </w:r>
      <w:r>
        <w:rPr>
          <w:i/>
        </w:rPr>
        <w:t xml:space="preserve">State ex rel. State Highway Commission v. Walker</w:t>
      </w:r>
      <w:r>
        <w:t xml:space="preserve">, 61 N.M. 374, 301 P.2d 317 (1956)</w:t>
      </w:r>
      <w:r>
        <w:t xml:space="preserve"> </w:t>
      </w:r>
      <w:r>
        <w:t xml:space="preserve">[@walker-1956]</w:t>
      </w:r>
      <w:r>
        <w:t xml:space="preserve"> </w:t>
      </w:r>
      <w:r>
        <w:t xml:space="preserve">(disapproving N.M. Att’y Gen. Op. No. 3454 (1922)</w:t>
      </w:r>
      <w:r>
        <w:t xml:space="preserve"> </w:t>
      </w:r>
      <w:r>
        <w:t xml:space="preserve">[@ag-nm-3454-1922]</w:t>
      </w:r>
      <w:r>
        <w:t xml:space="preserve"> </w:t>
      </w:r>
      <w:r>
        <w:t xml:space="preserve">and Op. No. 64 (1931)</w:t>
      </w:r>
      <w:r>
        <w:t xml:space="preserve"> </w:t>
      </w:r>
      <w:r>
        <w:t xml:space="preserve">[@ag-nm-64-1931]</w:t>
      </w:r>
      <w:r>
        <w:t xml:space="preserve">).</w:t>
      </w:r>
    </w:p>
  </w:footnote>
  <w:footnote w:id="502">
    <w:p>
      <w:pPr>
        <w:pStyle w:val="FootnoteText"/>
      </w:pPr>
      <w:r>
        <w:rPr>
          <w:rStyle w:val="FootnoteReference"/>
        </w:rPr>
        <w:footnoteRef/>
      </w:r>
      <w:r>
        <w:t xml:space="preserve"> </w:t>
      </w:r>
      <w:r>
        <w:t xml:space="preserve">The within-Oregon arc supplies a compressed illustration of the stakes: a 2021 pro se citizen suit on trust mismanagement was met with motions raising standing and sovereign immunity (Polk County No. 21CV15024; the appellate disposition, No. A177308, is a priority retrieval item [VERIFY — Register G-1]); the 2023 organizational suit was dismissed and then reversed in relevant part; and the 2026</w:t>
      </w:r>
      <w:r>
        <w:t xml:space="preserve"> </w:t>
      </w:r>
      <w:r>
        <w:rPr>
          <w:i/>
        </w:rPr>
        <w:t xml:space="preserve">Advocates</w:t>
      </w:r>
      <w:r>
        <w:t xml:space="preserve"> </w:t>
      </w:r>
      <w:r>
        <w:t xml:space="preserve">decision placed schoolchildren standing on a published appellate footing. [COUNSEL REVIEW — this footnote recites the public procedural record of the project’s own case lineage.]</w:t>
      </w:r>
    </w:p>
  </w:footnote>
  <w:footnote w:id="504">
    <w:p>
      <w:pPr>
        <w:pStyle w:val="FootnoteText"/>
      </w:pPr>
      <w:r>
        <w:rPr>
          <w:rStyle w:val="FootnoteReference"/>
        </w:rPr>
        <w:footnoteRef/>
      </w:r>
      <w:r>
        <w:t xml:space="preserve"> </w:t>
      </w:r>
      <w:r>
        <w:rPr>
          <w:i/>
        </w:rPr>
        <w:t xml:space="preserve">Montanans for the Responsible Use of the School Trust v. Darkenwald</w:t>
      </w:r>
      <w:r>
        <w:t xml:space="preserve">, 2005 MT 190, 328 Mont. 105, 119 P.3d 27</w:t>
      </w:r>
      <w:r>
        <w:t xml:space="preserve"> </w:t>
      </w:r>
      <w:r>
        <w:t xml:space="preserve">[@darkenwald-2005]</w:t>
      </w:r>
      <w:r>
        <w:t xml:space="preserve"> </w:t>
      </w:r>
      <w:r>
        <w:t xml:space="preserve">(Nelson, J., dissenting, joined by Cotter, J.). The</w:t>
      </w:r>
      <w:r>
        <w:t xml:space="preserve"> </w:t>
      </w:r>
      <w:r>
        <w:t xml:space="preserve">“</w:t>
      </w:r>
      <w:r>
        <w:t xml:space="preserve">robs Peter … to pay Paul</w:t>
      </w:r>
      <w:r>
        <w:t xml:space="preserve">”</w:t>
      </w:r>
      <w:r>
        <w:t xml:space="preserve"> </w:t>
      </w:r>
      <w:r>
        <w:t xml:space="preserve">language (¶ 71) and Justice Cotter’s join are verified against the full dissent (L0; CourtListener dissent opinion ID 9511444).</w:t>
      </w:r>
    </w:p>
  </w:footnote>
  <w:footnote w:id="505">
    <w:p>
      <w:pPr>
        <w:pStyle w:val="FootnoteText"/>
      </w:pPr>
      <w:r>
        <w:rPr>
          <w:rStyle w:val="FootnoteReference"/>
        </w:rPr>
        <w:footnoteRef/>
      </w:r>
      <w:r>
        <w:t xml:space="preserve"> </w:t>
      </w:r>
      <w:r>
        <w:t xml:space="preserve">Accord cases not yet collected; see Architecture § C, verification wave 2.</w:t>
      </w:r>
    </w:p>
  </w:footnote>
  <w:footnote w:id="507">
    <w:p>
      <w:pPr>
        <w:pStyle w:val="FootnoteText"/>
      </w:pPr>
      <w:r>
        <w:rPr>
          <w:rStyle w:val="FootnoteReference"/>
        </w:rPr>
        <w:footnoteRef/>
      </w:r>
      <w:r>
        <w:t xml:space="preserve"> </w:t>
      </w:r>
      <w:r>
        <w:t xml:space="preserve">§ 13.3 and the authorities collected there.</w:t>
      </w:r>
    </w:p>
  </w:footnote>
  <w:footnote w:id="508">
    <w:p>
      <w:pPr>
        <w:pStyle w:val="FootnoteText"/>
      </w:pPr>
      <w:r>
        <w:rPr>
          <w:rStyle w:val="FootnoteReference"/>
        </w:rPr>
        <w:footnoteRef/>
      </w:r>
      <w:r>
        <w:t xml:space="preserve"> </w:t>
      </w:r>
      <w:r>
        <w:t xml:space="preserve">§ 13.4.</w:t>
      </w:r>
    </w:p>
  </w:footnote>
  <w:footnote w:id="509">
    <w:p>
      <w:pPr>
        <w:pStyle w:val="FootnoteText"/>
      </w:pPr>
      <w:r>
        <w:rPr>
          <w:rStyle w:val="FootnoteReference"/>
        </w:rPr>
        <w:footnoteRef/>
      </w:r>
      <w:r>
        <w:t xml:space="preserve"> </w:t>
      </w:r>
      <w:r>
        <w:t xml:space="preserve">§ 13.2.</w:t>
      </w:r>
    </w:p>
  </w:footnote>
  <w:footnote w:id="510">
    <w:p>
      <w:pPr>
        <w:pStyle w:val="FootnoteText"/>
      </w:pPr>
      <w:r>
        <w:rPr>
          <w:rStyle w:val="FootnoteReference"/>
        </w:rPr>
        <w:footnoteRef/>
      </w:r>
      <w:r>
        <w:t xml:space="preserve"> </w:t>
      </w:r>
      <w:r>
        <w:t xml:space="preserve">§ 13.3(b) and the</w:t>
      </w:r>
      <w:r>
        <w:t xml:space="preserve"> </w:t>
      </w:r>
      <w:r>
        <w:rPr>
          <w:i/>
        </w:rPr>
        <w:t xml:space="preserve">Advocates</w:t>
      </w:r>
      <w:r>
        <w:t xml:space="preserve"> </w:t>
      </w:r>
      <w:r>
        <w:t xml:space="preserve">framework note there.</w:t>
      </w:r>
    </w:p>
  </w:footnote>
  <w:footnote w:id="511">
    <w:p>
      <w:pPr>
        <w:pStyle w:val="FootnoteText"/>
      </w:pPr>
      <w:r>
        <w:rPr>
          <w:rStyle w:val="FootnoteReference"/>
        </w:rPr>
        <w:footnoteRef/>
      </w:r>
      <w:r>
        <w:t xml:space="preserve"> </w:t>
      </w:r>
      <w:r>
        <w:t xml:space="preserve">§ 13.5.</w:t>
      </w:r>
    </w:p>
  </w:footnote>
  <w:footnote w:id="514">
    <w:p>
      <w:pPr>
        <w:pStyle w:val="FootnoteText"/>
      </w:pPr>
      <w:r>
        <w:rPr>
          <w:rStyle w:val="FootnoteReference"/>
        </w:rPr>
        <w:footnoteRef/>
      </w:r>
      <w:r>
        <w:t xml:space="preserve"> </w:t>
      </w:r>
      <w:r>
        <w:rPr>
          <w:i/>
        </w:rPr>
        <w:t xml:space="preserve">Forest Guardians v. Powell</w:t>
      </w:r>
      <w:r>
        <w:t xml:space="preserve">, 130 N.M. 368, 24 P.3d 803, 2001-NMCA-028</w:t>
      </w:r>
      <w:r>
        <w:t xml:space="preserve"> </w:t>
      </w:r>
      <w:r>
        <w:t xml:space="preserve">[@forest-guardians-2001]</w:t>
      </w:r>
      <w:r>
        <w:t xml:space="preserve">. The standing doctrine itself, including the historical baseline of</w:t>
      </w:r>
      <w:r>
        <w:t xml:space="preserve"> </w:t>
      </w:r>
      <w:r>
        <w:rPr>
          <w:i/>
        </w:rPr>
        <w:t xml:space="preserve">Asplund v. Hannett</w:t>
      </w:r>
      <w:r>
        <w:t xml:space="preserve">, 31 N.M. 641, 249 P. 1074 (1926)</w:t>
      </w:r>
      <w:r>
        <w:t xml:space="preserve"> </w:t>
      </w:r>
      <w:r>
        <w:t xml:space="preserve">[@asplund-1926]</w:t>
      </w:r>
      <w:r>
        <w:t xml:space="preserve">, is treated in Chapter 13.</w:t>
      </w:r>
    </w:p>
  </w:footnote>
  <w:footnote w:id="515">
    <w:p>
      <w:pPr>
        <w:pStyle w:val="FootnoteText"/>
      </w:pPr>
      <w:r>
        <w:rPr>
          <w:rStyle w:val="FootnoteReference"/>
        </w:rPr>
        <w:footnoteRef/>
      </w:r>
      <w:r>
        <w:t xml:space="preserve"> </w:t>
      </w:r>
      <w:r>
        <w:t xml:space="preserve">Accord cases adopting or rejecting the charitable-trust enforcement channel, collected by state: not yet collected beyond the New Mexico line; see Architecture § C, verification wave 2. The contrary beneficiary-standing authorities are collected in Chapter 13.</w:t>
      </w:r>
    </w:p>
  </w:footnote>
  <w:footnote w:id="516">
    <w:p>
      <w:pPr>
        <w:pStyle w:val="FootnoteText"/>
      </w:pPr>
      <w:r>
        <w:rPr>
          <w:rStyle w:val="FootnoteReference"/>
        </w:rPr>
        <w:footnoteRef/>
      </w:r>
      <w:r>
        <w:t xml:space="preserve"> </w:t>
      </w:r>
      <w:r>
        <w:t xml:space="preserve">Restatement (Second) of Trusts § 391 (1959)</w:t>
      </w:r>
      <w:r>
        <w:t xml:space="preserve"> </w:t>
      </w:r>
      <w:r>
        <w:t xml:space="preserve">[@rest2d-trusts-391]</w:t>
      </w:r>
      <w:r>
        <w:t xml:space="preserve"> </w:t>
      </w:r>
      <w:r>
        <w:t xml:space="preserve">[VERIFY pin — the section’s text on who may maintain a suit to enforce a charitable trust should be quoted on the full pull]; Restatement (Third) of Trusts § 94 (2012)</w:t>
      </w:r>
      <w:r>
        <w:t xml:space="preserve"> </w:t>
      </w:r>
      <w:r>
        <w:t xml:space="preserve">[@rest3d-trusts-94]</w:t>
      </w:r>
      <w:r>
        <w:t xml:space="preserve"> </w:t>
      </w:r>
      <w:r>
        <w:t xml:space="preserve">(a private trust is enforced by its beneficiaries; a charitable trust by the state attorney general or a person with a special interest in its enforcement). The Oregon attorney-general opinions discussed at § 14.2 — Op. No. 7450, 38 Op Atty Gen 850 (1977); Op. No. 8223, 46 Op Atty Gen 468 (July 24, 1992); Op. No. 8279 (May 9, 2003) — are primary state interpretive documents on the office’s trust-side obligations and are held and cited in primary form.</w:t>
      </w:r>
    </w:p>
  </w:footnote>
  <w:footnote w:id="517">
    <w:p>
      <w:pPr>
        <w:pStyle w:val="FootnoteText"/>
      </w:pPr>
      <w:r>
        <w:rPr>
          <w:rStyle w:val="FootnoteReference"/>
        </w:rPr>
        <w:footnoteRef/>
      </w:r>
      <w:r>
        <w:t xml:space="preserve"> </w:t>
      </w:r>
      <w:r>
        <w:rPr>
          <w:i/>
        </w:rPr>
        <w:t xml:space="preserve">Forest Guardians v. Powell</w:t>
      </w:r>
      <w:r>
        <w:t xml:space="preserve">, 2001-NMCA-028</w:t>
      </w:r>
      <w:r>
        <w:t xml:space="preserve"> </w:t>
      </w:r>
      <w:r>
        <w:t xml:space="preserve">[@forest-guardians-2001]</w:t>
      </w:r>
      <w:r>
        <w:t xml:space="preserve"> </w:t>
      </w:r>
      <w:r>
        <w:t xml:space="preserve">(Bustamante, J., concurring in part and dissenting in part).</w:t>
      </w:r>
    </w:p>
  </w:footnote>
  <w:footnote w:id="519">
    <w:p>
      <w:pPr>
        <w:pStyle w:val="FootnoteText"/>
      </w:pPr>
      <w:r>
        <w:rPr>
          <w:rStyle w:val="FootnoteReference"/>
        </w:rPr>
        <w:footnoteRef/>
      </w:r>
      <w:r>
        <w:t xml:space="preserve"> </w:t>
      </w:r>
      <w:r>
        <w:t xml:space="preserve">The Oregon canon runs from 17 Op Atty Gen 59 (1934) through Op. No. 8281 (2005); ten opinions are held in primary form, and the pre-1997 remainder are identified but not yet pulled [VERIFY each pre-1997 opinion on pull; see Register §§ 4.1–4.2]. The systematic sweep of the other nineteen trust-lands states’ AG canons is an open research task (Register G-7); this section’s generalizations are accordingly Oregon-grounded.</w:t>
      </w:r>
    </w:p>
  </w:footnote>
  <w:footnote w:id="520">
    <w:p>
      <w:pPr>
        <w:pStyle w:val="FootnoteText"/>
      </w:pPr>
      <w:r>
        <w:rPr>
          <w:rStyle w:val="FootnoteReference"/>
        </w:rPr>
        <w:footnoteRef/>
      </w:r>
      <w:r>
        <w:t xml:space="preserve"> </w:t>
      </w:r>
      <w:r>
        <w:t xml:space="preserve">43 Op Atty Gen 140 (Op. No. 8135, 1983)</w:t>
      </w:r>
      <w:r>
        <w:t xml:space="preserve"> </w:t>
      </w:r>
      <w:r>
        <w:t xml:space="preserve">[@ag-or-8135-1983]</w:t>
      </w:r>
      <w:r>
        <w:t xml:space="preserve">.</w:t>
      </w:r>
    </w:p>
  </w:footnote>
  <w:footnote w:id="521">
    <w:p>
      <w:pPr>
        <w:pStyle w:val="FootnoteText"/>
      </w:pPr>
      <w:r>
        <w:rPr>
          <w:rStyle w:val="FootnoteReference"/>
        </w:rPr>
        <w:footnoteRef/>
      </w:r>
      <w:r>
        <w:t xml:space="preserve"> </w:t>
      </w:r>
      <w:r>
        <w:t xml:space="preserve">38 Op Atty Gen 850 (Op. No. 7450, 1977)</w:t>
      </w:r>
      <w:r>
        <w:t xml:space="preserve"> </w:t>
      </w:r>
      <w:r>
        <w:t xml:space="preserve">[@ag-or-7450-1977]</w:t>
      </w:r>
      <w:r>
        <w:t xml:space="preserve">.</w:t>
      </w:r>
    </w:p>
  </w:footnote>
  <w:footnote w:id="522">
    <w:p>
      <w:pPr>
        <w:pStyle w:val="FootnoteText"/>
      </w:pPr>
      <w:r>
        <w:rPr>
          <w:rStyle w:val="FootnoteReference"/>
        </w:rPr>
        <w:footnoteRef/>
      </w:r>
      <w:r>
        <w:t xml:space="preserve"> </w:t>
      </w:r>
      <w:r>
        <w:t xml:space="preserve">46 Op Atty Gen 468 (Op. No. 8223, July 24, 1992)</w:t>
      </w:r>
      <w:r>
        <w:t xml:space="preserve"> </w:t>
      </w:r>
      <w:r>
        <w:t xml:space="preserve">[@ag-or-8223-1992]</w:t>
      </w:r>
      <w:r>
        <w:t xml:space="preserve"> </w:t>
      </w:r>
      <w:r>
        <w:t xml:space="preserve">(signatory carried as [VERIFY: the A177308 Opening Brief attributes the opinion to Attorney General Charles S. Crookham; an earlier survey said Frohnmayer, but Dave Frohnmayer left the office in 1991, making Crookham the July 1992 incumbent — confirm against the printed opinion’s signature]).</w:t>
      </w:r>
    </w:p>
  </w:footnote>
  <w:footnote w:id="523">
    <w:p>
      <w:pPr>
        <w:pStyle w:val="FootnoteText"/>
      </w:pPr>
      <w:r>
        <w:rPr>
          <w:rStyle w:val="FootnoteReference"/>
        </w:rPr>
        <w:footnoteRef/>
      </w:r>
      <w:r>
        <w:t xml:space="preserve"> </w:t>
      </w:r>
      <w:r>
        <w:t xml:space="preserve">Or. Att’y Gen. Op. No. 8279 (May 9, 2003)</w:t>
      </w:r>
      <w:r>
        <w:t xml:space="preserve"> </w:t>
      </w:r>
      <w:r>
        <w:t xml:space="preserve">[@ag-or-8279-2003]</w:t>
      </w:r>
      <w:r>
        <w:t xml:space="preserve">; the opinion’s accounting-side use is developed at Chapter 12, § 12.2.</w:t>
      </w:r>
    </w:p>
  </w:footnote>
  <w:footnote w:id="524">
    <w:p>
      <w:pPr>
        <w:pStyle w:val="FootnoteText"/>
      </w:pPr>
      <w:r>
        <w:rPr>
          <w:rStyle w:val="FootnoteReference"/>
        </w:rPr>
        <w:footnoteRef/>
      </w:r>
      <w:r>
        <w:t xml:space="preserve"> </w:t>
      </w:r>
      <w:r>
        <w:rPr>
          <w:i/>
        </w:rPr>
        <w:t xml:space="preserve">State ex rel. State Highway Commission v. Walker</w:t>
      </w:r>
      <w:r>
        <w:t xml:space="preserve">, 61 N.M. 374, 301 P.2d 317 (1956)</w:t>
      </w:r>
      <w:r>
        <w:t xml:space="preserve"> </w:t>
      </w:r>
      <w:r>
        <w:t xml:space="preserve">[@walker-1956]</w:t>
      </w:r>
      <w:r>
        <w:t xml:space="preserve">, disapproving N.M. Att’y Gen. Op. No. 3454 (1922)</w:t>
      </w:r>
      <w:r>
        <w:t xml:space="preserve"> </w:t>
      </w:r>
      <w:r>
        <w:t xml:space="preserve">[@ag-nm-3454-1922]</w:t>
      </w:r>
      <w:r>
        <w:t xml:space="preserve"> </w:t>
      </w:r>
      <w:r>
        <w:t xml:space="preserve">and N.M. Att’y Gen. Op. No. 64 (1931)</w:t>
      </w:r>
      <w:r>
        <w:t xml:space="preserve"> </w:t>
      </w:r>
      <w:r>
        <w:t xml:space="preserve">[@ag-nm-64-1931]</w:t>
      </w:r>
      <w:r>
        <w:t xml:space="preserve">.</w:t>
      </w:r>
    </w:p>
  </w:footnote>
  <w:footnote w:id="525">
    <w:p>
      <w:pPr>
        <w:pStyle w:val="FootnoteText"/>
      </w:pPr>
      <w:r>
        <w:rPr>
          <w:rStyle w:val="FootnoteReference"/>
        </w:rPr>
        <w:footnoteRef/>
      </w:r>
      <w:r>
        <w:t xml:space="preserve"> </w:t>
      </w:r>
      <w:r>
        <w:t xml:space="preserve">Accord instances of judicially disapproved pro-sovereign AG advice, collected by state: not yet collected; the 20-state AG-opinion sweep (Register G-7) is the predicate research. See Architecture § C, verification wave 2.</w:t>
      </w:r>
    </w:p>
  </w:footnote>
  <w:footnote w:id="526">
    <w:p>
      <w:pPr>
        <w:pStyle w:val="FootnoteText"/>
      </w:pPr>
      <w:r>
        <w:rPr>
          <w:rStyle w:val="FootnoteReference"/>
        </w:rPr>
        <w:footnoteRef/>
      </w:r>
      <w:r>
        <w:t xml:space="preserve"> </w:t>
      </w:r>
      <w:r>
        <w:t xml:space="preserve">Public filings in</w:t>
      </w:r>
      <w:r>
        <w:t xml:space="preserve"> </w:t>
      </w:r>
      <w:r>
        <w:rPr>
          <w:i/>
        </w:rPr>
        <w:t xml:space="preserve">Siuslaw School District 97J v. State of Oregon</w:t>
      </w:r>
      <w:r>
        <w:t xml:space="preserve">, Coos County Circuit Court No. 24CV38372: Defendants’ Motion for Summary Judgment (filed May 13, 2026); Plaintiffs’ Response and Cross-Motion for Partial Summary Judgment (filed May 29, 2026; the project’s own filing). The observation that the State’s motion cites no Oregon attorney-general opinion rests on a review of the motion’s table of authorities [VERIFY — confirm directly against the filed motion before publication].</w:t>
      </w:r>
    </w:p>
  </w:footnote>
  <w:footnote w:id="527">
    <w:p>
      <w:pPr>
        <w:pStyle w:val="FootnoteText"/>
      </w:pPr>
      <w:r>
        <w:rPr>
          <w:rStyle w:val="FootnoteReference"/>
        </w:rPr>
        <w:footnoteRef/>
      </w:r>
      <w:r>
        <w:t xml:space="preserve"> </w:t>
      </w:r>
      <w:r>
        <w:t xml:space="preserve">Letter Opinion of Sept. 5, 2025 (Combs, J.), No. 24CV38372</w:t>
      </w:r>
      <w:r>
        <w:t xml:space="preserve"> </w:t>
      </w:r>
      <w:r>
        <w:t xml:space="preserve">[@combs-fac-2025]</w:t>
      </w:r>
      <w:r>
        <w:t xml:space="preserve">; ORS 180.220</w:t>
      </w:r>
      <w:r>
        <w:t xml:space="preserve"> </w:t>
      </w:r>
      <w:r>
        <w:t xml:space="preserve">[@act-ors-180220]</w:t>
      </w:r>
      <w:r>
        <w:t xml:space="preserve">. The predates-the-office observation is verified against the opinion text (L0): the court found that the offices of governor, secretary of state, and treasurer were created in 1859,</w:t>
      </w:r>
      <w:r>
        <w:t xml:space="preserve"> </w:t>
      </w:r>
      <w:r>
        <w:t xml:space="preserve">“</w:t>
      </w:r>
      <w:r>
        <w:t xml:space="preserve">the Attorney General’s office not until 1891; ORS 180.220 later still,</w:t>
      </w:r>
      <w:r>
        <w:t xml:space="preserve">”</w:t>
      </w:r>
      <w:r>
        <w:t xml:space="preserve"> </w:t>
      </w:r>
      <w:r>
        <w:t xml:space="preserve">and concluded that</w:t>
      </w:r>
      <w:r>
        <w:t xml:space="preserve"> </w:t>
      </w:r>
      <w:r>
        <w:t xml:space="preserve">“</w:t>
      </w:r>
      <w:r>
        <w:t xml:space="preserve">the causes of action and remedies relating to the Common School Fund are governed by common law principles, not by statute.</w:t>
      </w:r>
      <w:r>
        <w:t xml:space="preserve">”</w:t>
      </w:r>
    </w:p>
  </w:footnote>
  <w:footnote w:id="529">
    <w:p>
      <w:pPr>
        <w:pStyle w:val="FootnoteText"/>
      </w:pPr>
      <w:r>
        <w:rPr>
          <w:rStyle w:val="FootnoteReference"/>
        </w:rPr>
        <w:footnoteRef/>
      </w:r>
      <w:r>
        <w:t xml:space="preserve"> </w:t>
      </w:r>
      <w:r>
        <w:rPr>
          <w:i/>
        </w:rPr>
        <w:t xml:space="preserve">Sullivan v. State</w:t>
      </w:r>
      <w:r>
        <w:t xml:space="preserve">, Polk County Circuit Court No. 21CV15024 (2021)</w:t>
      </w:r>
      <w:r>
        <w:t xml:space="preserve"> </w:t>
      </w:r>
      <w:r>
        <w:t xml:space="preserve">[@sullivan-a177308]</w:t>
      </w:r>
      <w:r>
        <w:t xml:space="preserve"> </w:t>
      </w:r>
      <w:r>
        <w:t xml:space="preserve">(public docket record; the complaint is held in primary form).</w:t>
      </w:r>
    </w:p>
  </w:footnote>
  <w:footnote w:id="530">
    <w:p>
      <w:pPr>
        <w:pStyle w:val="FootnoteText"/>
      </w:pPr>
      <w:r>
        <w:rPr>
          <w:rStyle w:val="FootnoteReference"/>
        </w:rPr>
        <w:footnoteRef/>
      </w:r>
      <w:r>
        <w:t xml:space="preserve"> </w:t>
      </w:r>
      <w:r>
        <w:t xml:space="preserve">State’s Rule 21 motions, June 21, 2021 (primary held: standing and sovereign-immunity grounds).</w:t>
      </w:r>
    </w:p>
  </w:footnote>
  <w:footnote w:id="531">
    <w:p>
      <w:pPr>
        <w:pStyle w:val="FootnoteText"/>
      </w:pPr>
      <w:r>
        <w:rPr>
          <w:rStyle w:val="FootnoteReference"/>
        </w:rPr>
        <w:footnoteRef/>
      </w:r>
      <w:r>
        <w:t xml:space="preserve"> </w:t>
      </w:r>
      <w:r>
        <w:t xml:space="preserve">Appellant’s Opening Brief, filed Feb. 21, 2022, CA No. A177308 (primary held; the project’s own filing); table of authorities citing</w:t>
      </w:r>
      <w:r>
        <w:t xml:space="preserve"> </w:t>
      </w:r>
      <w:r>
        <w:t xml:space="preserve">“</w:t>
      </w:r>
      <w:r>
        <w:t xml:space="preserve">Oregon Attorney General’s Opinion 8223 … 30-34, 46,</w:t>
      </w:r>
      <w:r>
        <w:t xml:space="preserve">”</w:t>
      </w:r>
      <w:r>
        <w:t xml:space="preserve"> </w:t>
      </w:r>
      <w:r>
        <w:t xml:space="preserve">Bogert,</w:t>
      </w:r>
      <w:r>
        <w:t xml:space="preserve"> </w:t>
      </w:r>
      <w:r>
        <w:rPr>
          <w:i/>
        </w:rPr>
        <w:t xml:space="preserve">Trusts and Trustees</w:t>
      </w:r>
      <w:r>
        <w:t xml:space="preserve"> </w:t>
      </w:r>
      <w:r>
        <w:t xml:space="preserve">§ 962</w:t>
      </w:r>
      <w:r>
        <w:t xml:space="preserve"> </w:t>
      </w:r>
      <w:r>
        <w:t xml:space="preserve">[@bogert-trusts]</w:t>
      </w:r>
      <w:r>
        <w:t xml:space="preserve">, and Scott on Trusts § 172</w:t>
      </w:r>
      <w:r>
        <w:t xml:space="preserve"> </w:t>
      </w:r>
      <w:r>
        <w:t xml:space="preserve">[@scott-trusts]</w:t>
      </w:r>
      <w:r>
        <w:t xml:space="preserve">.</w:t>
      </w:r>
    </w:p>
  </w:footnote>
  <w:footnote w:id="532">
    <w:p>
      <w:pPr>
        <w:pStyle w:val="FootnoteText"/>
      </w:pPr>
      <w:r>
        <w:rPr>
          <w:rStyle w:val="FootnoteReference"/>
        </w:rPr>
        <w:footnoteRef/>
      </w:r>
      <w:r>
        <w:t xml:space="preserve"> </w:t>
      </w:r>
      <w:r>
        <w:t xml:space="preserve">Authorities Register v1, Special Entry (June 6, 2026); retrieval is gap item G-1, the register’s highest-leverage assignment. Accord cases on an attorney general’s asserted duty (or absence of duty) to defend the trust when defending the trustee: not yet collected in any state; see Architecture § C, verification wave 2.</w:t>
      </w:r>
    </w:p>
  </w:footnote>
  <w:footnote w:id="534">
    <w:p>
      <w:pPr>
        <w:pStyle w:val="FootnoteText"/>
      </w:pPr>
      <w:r>
        <w:rPr>
          <w:rStyle w:val="FootnoteReference"/>
        </w:rPr>
        <w:footnoteRef/>
      </w:r>
      <w:r>
        <w:t xml:space="preserve"> </w:t>
      </w:r>
      <w:r>
        <w:rPr>
          <w:i/>
        </w:rPr>
        <w:t xml:space="preserve">State ex rel. State Highway Commission v. Walker</w:t>
      </w:r>
      <w:r>
        <w:t xml:space="preserve">, 61 N.M. 374, 301 P.2d 317 (1956)</w:t>
      </w:r>
      <w:r>
        <w:t xml:space="preserve"> </w:t>
      </w:r>
      <w:r>
        <w:t xml:space="preserve">[@walker-1956]</w:t>
      </w:r>
      <w:r>
        <w:t xml:space="preserve">.</w:t>
      </w:r>
    </w:p>
  </w:footnote>
  <w:footnote w:id="535">
    <w:p>
      <w:pPr>
        <w:pStyle w:val="FootnoteText"/>
      </w:pPr>
      <w:r>
        <w:rPr>
          <w:rStyle w:val="FootnoteReference"/>
        </w:rPr>
        <w:footnoteRef/>
      </w:r>
      <w:r>
        <w:t xml:space="preserve"> </w:t>
      </w:r>
      <w:r>
        <w:t xml:space="preserve">Accord cases on disqualification of public-trust enforcers: not yet collected; the general charitable-trust disqualification case law has not been surveyed for this volume. See Architecture § C, verification wave 2.</w:t>
      </w:r>
    </w:p>
  </w:footnote>
  <w:footnote w:id="536">
    <w:p>
      <w:pPr>
        <w:pStyle w:val="FootnoteText"/>
      </w:pPr>
      <w:r>
        <w:rPr>
          <w:rStyle w:val="FootnoteReference"/>
        </w:rPr>
        <w:footnoteRef/>
      </w:r>
      <w:r>
        <w:t xml:space="preserve"> </w:t>
      </w:r>
      <w:r>
        <w:t xml:space="preserve">ORS 180.220</w:t>
      </w:r>
      <w:r>
        <w:t xml:space="preserve"> </w:t>
      </w:r>
      <w:r>
        <w:t xml:space="preserve">[@act-ors-180220]</w:t>
      </w:r>
      <w:r>
        <w:t xml:space="preserve">.</w:t>
      </w:r>
    </w:p>
  </w:footnote>
  <w:footnote w:id="538">
    <w:p>
      <w:pPr>
        <w:pStyle w:val="FootnoteText"/>
      </w:pPr>
      <w:r>
        <w:rPr>
          <w:rStyle w:val="FootnoteReference"/>
        </w:rPr>
        <w:footnoteRef/>
      </w:r>
      <w:r>
        <w:t xml:space="preserve"> </w:t>
      </w:r>
      <w:r>
        <w:rPr>
          <w:i/>
        </w:rPr>
        <w:t xml:space="preserve">ASARCO Inc. v. Kadish</w:t>
      </w:r>
      <w:r>
        <w:t xml:space="preserve">, 490 U.S. 605 (1989)</w:t>
      </w:r>
      <w:r>
        <w:t xml:space="preserve"> </w:t>
      </w:r>
      <w:r>
        <w:t xml:space="preserve">[@asarco-1989]</w:t>
      </w:r>
      <w:r>
        <w:t xml:space="preserve">;</w:t>
      </w:r>
      <w:r>
        <w:t xml:space="preserve"> </w:t>
      </w:r>
      <w:r>
        <w:rPr>
          <w:i/>
        </w:rPr>
        <w:t xml:space="preserve">Branson School District RE-82 v. Romer</w:t>
      </w:r>
      <w:r>
        <w:t xml:space="preserve">, 161 F.3d 619 (10th Cir. 1998)</w:t>
      </w:r>
      <w:r>
        <w:t xml:space="preserve"> </w:t>
      </w:r>
      <w:r>
        <w:t xml:space="preserve">[@branson-1998]</w:t>
      </w:r>
      <w:r>
        <w:t xml:space="preserve">;</w:t>
      </w:r>
      <w:r>
        <w:t xml:space="preserve"> </w:t>
      </w:r>
      <w:r>
        <w:rPr>
          <w:i/>
        </w:rPr>
        <w:t xml:space="preserve">Ebey v. Avoyelles Parish School Board</w:t>
      </w:r>
      <w:r>
        <w:t xml:space="preserve">, 861 So. 2d 910 (La. App. 3 Cir. 2003)</w:t>
      </w:r>
      <w:r>
        <w:t xml:space="preserve"> </w:t>
      </w:r>
      <w:r>
        <w:t xml:space="preserve">[@ebey-2003]</w:t>
      </w:r>
      <w:r>
        <w:t xml:space="preserve">;</w:t>
      </w:r>
      <w:r>
        <w:t xml:space="preserve"> </w:t>
      </w:r>
      <w:r>
        <w:rPr>
          <w:i/>
        </w:rPr>
        <w:t xml:space="preserve">Advocates for School Trust Lands v. State</w:t>
      </w:r>
      <w:r>
        <w:t xml:space="preserve">, 346 Or App 668 (2026)</w:t>
      </w:r>
      <w:r>
        <w:t xml:space="preserve"> </w:t>
      </w:r>
      <w:r>
        <w:t xml:space="preserve">[@advocates-2026]</w:t>
      </w:r>
      <w:r>
        <w:t xml:space="preserve"> </w:t>
      </w:r>
      <w:r>
        <w:t xml:space="preserve">(petition-for-review status carried as [VERIFY current status]).</w:t>
      </w:r>
    </w:p>
  </w:footnote>
  <w:footnote w:id="539">
    <w:p>
      <w:pPr>
        <w:pStyle w:val="FootnoteText"/>
      </w:pPr>
      <w:r>
        <w:rPr>
          <w:rStyle w:val="FootnoteReference"/>
        </w:rPr>
        <w:footnoteRef/>
      </w:r>
      <w:r>
        <w:t xml:space="preserve"> </w:t>
      </w:r>
      <w:r>
        <w:rPr>
          <w:i/>
        </w:rPr>
        <w:t xml:space="preserve">Montanans for the Responsible Use of the School Trust v. State (Montrust I)</w:t>
      </w:r>
      <w:r>
        <w:t xml:space="preserve">, 1999 MT 263</w:t>
      </w:r>
      <w:r>
        <w:t xml:space="preserve"> </w:t>
      </w:r>
      <w:r>
        <w:t xml:space="preserve">[@montrust-1999]</w:t>
      </w:r>
      <w:r>
        <w:t xml:space="preserve">. Accord private-attorney-general adoptions in school-trust litigation, collected by state: not yet collected; see Architecture § C, verification wave 2.</w:t>
      </w:r>
    </w:p>
  </w:footnote>
  <w:footnote w:id="540">
    <w:p>
      <w:pPr>
        <w:pStyle w:val="FootnoteText"/>
      </w:pPr>
      <w:r>
        <w:rPr>
          <w:rStyle w:val="FootnoteReference"/>
        </w:rPr>
        <w:footnoteRef/>
      </w:r>
      <w:r>
        <w:t xml:space="preserve"> </w:t>
      </w:r>
      <w:r>
        <w:t xml:space="preserve">Utah’s SITLA reform and New Mexico’s Article XIII, § 1 elected Commissioner of Public Lands</w:t>
      </w:r>
      <w:r>
        <w:t xml:space="preserve"> </w:t>
      </w:r>
      <w:r>
        <w:t xml:space="preserve">[@const-nm-art13]</w:t>
      </w:r>
      <w:r>
        <w:t xml:space="preserve">; see Chapter 19.</w:t>
      </w:r>
    </w:p>
  </w:footnote>
  <w:footnote w:id="542">
    <w:p>
      <w:pPr>
        <w:pStyle w:val="FootnoteText"/>
      </w:pPr>
      <w:r>
        <w:rPr>
          <w:rStyle w:val="FootnoteReference"/>
        </w:rPr>
        <w:footnoteRef/>
      </w:r>
      <w:r>
        <w:t xml:space="preserve"> </w:t>
      </w:r>
      <w:r>
        <w:t xml:space="preserve">Restatement (Second) of Trusts § 391 (1959)</w:t>
      </w:r>
      <w:r>
        <w:t xml:space="preserve"> </w:t>
      </w:r>
      <w:r>
        <w:t xml:space="preserve">[@rest2d-trusts-391]</w:t>
      </w:r>
      <w:r>
        <w:t xml:space="preserve"> </w:t>
      </w:r>
      <w:r>
        <w:t xml:space="preserve">[VERIFY pin]; Restatement (Third) of Trusts § 94 (2012)</w:t>
      </w:r>
      <w:r>
        <w:t xml:space="preserve"> </w:t>
      </w:r>
      <w:r>
        <w:t xml:space="preserve">[@rest3d-trusts-94]</w:t>
      </w:r>
      <w:r>
        <w:t xml:space="preserve">. The longevity characterization (</w:t>
      </w:r>
      <w:r>
        <w:t xml:space="preserve">“</w:t>
      </w:r>
      <w:r>
        <w:t xml:space="preserve">with full knowledge of it</w:t>
      </w:r>
      <w:r>
        <w:t xml:space="preserve">”</w:t>
      </w:r>
      <w:r>
        <w:t xml:space="preserve">) is the state-side argument as reconstructed for even-handed presentation; the twenty-state statutory survey (Register G-7) will ground or qualify it.</w:t>
      </w:r>
    </w:p>
  </w:footnote>
  <w:footnote w:id="543">
    <w:p>
      <w:pPr>
        <w:pStyle w:val="FootnoteText"/>
      </w:pPr>
      <w:r>
        <w:rPr>
          <w:rStyle w:val="FootnoteReference"/>
        </w:rPr>
        <w:footnoteRef/>
      </w:r>
      <w:r>
        <w:t xml:space="preserve"> </w:t>
      </w:r>
      <w:r>
        <w:rPr>
          <w:i/>
        </w:rPr>
        <w:t xml:space="preserve">Forest Guardians v. Powell</w:t>
      </w:r>
      <w:r>
        <w:t xml:space="preserve">, 2001-NMCA-028, 130 N.M. 368, 24 P.3d 803</w:t>
      </w:r>
      <w:r>
        <w:t xml:space="preserve"> </w:t>
      </w:r>
      <w:r>
        <w:t xml:space="preserve">[@forest-guardians-2001]</w:t>
      </w:r>
      <w:r>
        <w:t xml:space="preserve"> </w:t>
      </w:r>
      <w:r>
        <w:t xml:space="preserve">(majority opinion of Pickard, J.). The opinion’s own stated ground, verified against the primary (L0), is the charitable-trust standing framework, not a political-accountability theory: the court held the Enabling Act trust is a charitable trust, that standing to enforce a charitable trust traditionally lies only with</w:t>
      </w:r>
      <w:r>
        <w:t xml:space="preserve"> </w:t>
      </w:r>
      <w:r>
        <w:t xml:space="preserve">“</w:t>
      </w:r>
      <w:r>
        <w:t xml:space="preserve">(1) the attorney general or other public officer, (2) a trustee as against co-trustees, and (3) persons having a special interest in the enforcement of the trust,</w:t>
      </w:r>
      <w:r>
        <w:t xml:space="preserve">”</w:t>
      </w:r>
      <w:r>
        <w:t xml:space="preserve"> </w:t>
      </w:r>
      <w:r>
        <w:t xml:space="preserve">see Restatement (Second) of Trusts § 391, and that the plaintiffs</w:t>
      </w:r>
      <w:r>
        <w:t xml:space="preserve"> </w:t>
      </w:r>
      <w:r>
        <w:t xml:space="preserve">“</w:t>
      </w:r>
      <w:r>
        <w:t xml:space="preserve">do not have a special interest in the trust sufficient to confer standing</w:t>
      </w:r>
      <w:r>
        <w:t xml:space="preserve">”</w:t>
      </w:r>
      <w:r>
        <w:t xml:space="preserve"> </w:t>
      </w:r>
      <w:r>
        <w:t xml:space="preserve">and showed</w:t>
      </w:r>
      <w:r>
        <w:t xml:space="preserve"> </w:t>
      </w:r>
      <w:r>
        <w:t xml:space="preserve">“</w:t>
      </w:r>
      <w:r>
        <w:t xml:space="preserve">an insufficient causal relationship between the Land Office’s actions and the harm alleged.</w:t>
      </w:r>
      <w:r>
        <w:t xml:space="preserve">”</w:t>
      </w:r>
      <w:r>
        <w:t xml:space="preserve"> </w:t>
      </w:r>
      <w:r>
        <w:t xml:space="preserve">The political-accountability gloss in the text is the position’s logic as reconstructed for even-handed presentation, not the opinion’s express reasoning.</w:t>
      </w:r>
    </w:p>
  </w:footnote>
  <w:footnote w:id="546">
    <w:p>
      <w:pPr>
        <w:pStyle w:val="FootnoteText"/>
      </w:pPr>
      <w:r>
        <w:rPr>
          <w:rStyle w:val="FootnoteReference"/>
        </w:rPr>
        <w:footnoteRef/>
      </w:r>
      <w:r>
        <w:t xml:space="preserve"> </w:t>
      </w:r>
      <w:r>
        <w:t xml:space="preserve">Northwest Ordinance of 1787</w:t>
      </w:r>
      <w:r>
        <w:t xml:space="preserve"> </w:t>
      </w:r>
      <w:r>
        <w:t xml:space="preserve">[@act-nw-ordinance-1787]</w:t>
      </w:r>
      <w:r>
        <w:t xml:space="preserve">, cited with the Land Ordinance of 1785 as the historical compact framework; see Chapter 2, § 2.2. The Article III and compact-preamble quotations were verified against the primary text held at L0 (Historical Documents, Federal Founding), June 7, 2026.</w:t>
      </w:r>
      <w:r>
        <w:t xml:space="preserve"> </w:t>
      </w:r>
      <w:r>
        <w:t xml:space="preserve">Accord instruments not collected here; the generational survey is Chapter 2’s.</w:t>
      </w:r>
    </w:p>
  </w:footnote>
  <w:footnote w:id="548">
    <w:p>
      <w:pPr>
        <w:pStyle w:val="FootnoteText"/>
      </w:pPr>
      <w:r>
        <w:rPr>
          <w:rStyle w:val="FootnoteReference"/>
        </w:rPr>
        <w:footnoteRef/>
      </w:r>
      <w:r>
        <w:t xml:space="preserve"> </w:t>
      </w:r>
      <w:r>
        <w:t xml:space="preserve">New Mexico–Arizona Enabling Act of June 20, 1910, § 10 (AZ: § 28), 36 Stat. 557</w:t>
      </w:r>
      <w:r>
        <w:t xml:space="preserve"> </w:t>
      </w:r>
      <w:r>
        <w:t xml:space="preserve">[@act-nm-az-1910]</w:t>
      </w:r>
      <w:r>
        <w:t xml:space="preserve">.</w:t>
      </w:r>
    </w:p>
  </w:footnote>
  <w:footnote w:id="549">
    <w:p>
      <w:pPr>
        <w:pStyle w:val="FootnoteText"/>
      </w:pPr>
      <w:r>
        <w:rPr>
          <w:rStyle w:val="FootnoteReference"/>
        </w:rPr>
        <w:footnoteRef/>
      </w:r>
      <w:r>
        <w:t xml:space="preserve"> </w:t>
      </w:r>
      <w:r>
        <w:t xml:space="preserve">New Mexico–Arizona Enabling Act § 10, 36 Stat. 557</w:t>
      </w:r>
      <w:r>
        <w:t xml:space="preserve"> </w:t>
      </w:r>
      <w:r>
        <w:t xml:space="preserve">[@act-nm-az-1910]</w:t>
      </w:r>
      <w:r>
        <w:t xml:space="preserve">. Text verified June 7, 2026 against the Arizona section (§ 28) as quoted in full at</w:t>
      </w:r>
      <w:r>
        <w:t xml:space="preserve"> </w:t>
      </w:r>
      <w:r>
        <w:rPr>
          <w:i/>
        </w:rPr>
        <w:t xml:space="preserve">Alamo Land &amp; Cattle Co. v. Arizona</w:t>
      </w:r>
      <w:r>
        <w:t xml:space="preserve">, 424 U.S. 295, 297 &amp; n.2 (1976); the New Mexico § 10 text is parallel. The parallel protective terms of the other instruments are collected in Chapter 2 and Appendix B.</w:t>
      </w:r>
    </w:p>
  </w:footnote>
  <w:footnote w:id="550">
    <w:p>
      <w:pPr>
        <w:pStyle w:val="FootnoteText"/>
      </w:pPr>
      <w:r>
        <w:rPr>
          <w:rStyle w:val="FootnoteReference"/>
        </w:rPr>
        <w:footnoteRef/>
      </w:r>
      <w:r>
        <w:t xml:space="preserve"> </w:t>
      </w:r>
      <w:r>
        <w:rPr>
          <w:i/>
        </w:rPr>
        <w:t xml:space="preserve">Ervien v. United States</w:t>
      </w:r>
      <w:r>
        <w:t xml:space="preserve">, 251 U.S. 41, 47-48 (1919)</w:t>
      </w:r>
      <w:r>
        <w:t xml:space="preserve"> </w:t>
      </w:r>
      <w:r>
        <w:t xml:space="preserve">[@ervien-1919]</w:t>
      </w:r>
      <w:r>
        <w:t xml:space="preserve">. Quotations verified against the full opinion June 7, 2026: the enumeration and special-and-exact passages are at 47; the</w:t>
      </w:r>
      <w:r>
        <w:t xml:space="preserve"> </w:t>
      </w:r>
      <w:r>
        <w:t xml:space="preserve">“</w:t>
      </w:r>
      <w:r>
        <w:t xml:space="preserve">odious dereliction</w:t>
      </w:r>
      <w:r>
        <w:t xml:space="preserve">”</w:t>
      </w:r>
      <w:r>
        <w:t xml:space="preserve"> </w:t>
      </w:r>
      <w:r>
        <w:t xml:space="preserve">passage — the Court restating the district court’s view — is at 48 and should not be pinned to 47 alone. A sentence sometimes attributed to</w:t>
      </w:r>
      <w:r>
        <w:t xml:space="preserve"> </w:t>
      </w:r>
      <w:r>
        <w:rPr>
          <w:i/>
        </w:rPr>
        <w:t xml:space="preserve">Ervien</w:t>
      </w:r>
      <w:r>
        <w:t xml:space="preserve"> </w:t>
      </w:r>
      <w:r>
        <w:t xml:space="preserve">(</w:t>
      </w:r>
      <w:r>
        <w:t xml:space="preserve">“</w:t>
      </w:r>
      <w:r>
        <w:t xml:space="preserve">they must be performed; they admit of no substitution; they admit of no addition</w:t>
      </w:r>
      <w:r>
        <w:t xml:space="preserve">”</w:t>
      </w:r>
      <w:r>
        <w:t xml:space="preserve">) does NOT appear in the opinion and must not be quoted; its true origin is unfound, with the Eighth Circuit’s</w:t>
      </w:r>
      <w:r>
        <w:t xml:space="preserve"> </w:t>
      </w:r>
      <w:r>
        <w:rPr>
          <w:i/>
        </w:rPr>
        <w:t xml:space="preserve">United States v. Ervien</w:t>
      </w:r>
      <w:r>
        <w:t xml:space="preserve">, 246 F. 277 (8th Cir. 1917), the last unchecked candidate [VERIFY — pull 246 F. 277].</w:t>
      </w:r>
    </w:p>
  </w:footnote>
  <w:footnote w:id="551">
    <w:p>
      <w:pPr>
        <w:pStyle w:val="FootnoteText"/>
      </w:pPr>
      <w:r>
        <w:rPr>
          <w:rStyle w:val="FootnoteReference"/>
        </w:rPr>
        <w:footnoteRef/>
      </w:r>
      <w:r>
        <w:t xml:space="preserve"> </w:t>
      </w:r>
      <w:r>
        <w:t xml:space="preserve">Accord federal-enforcement suits under the 1910 act: not yet collected beyond</w:t>
      </w:r>
      <w:r>
        <w:t xml:space="preserve"> </w:t>
      </w:r>
      <w:r>
        <w:rPr>
          <w:i/>
        </w:rPr>
        <w:t xml:space="preserve">Ervien</w:t>
      </w:r>
      <w:r>
        <w:t xml:space="preserve">; the corpus records no second United States suit against either 1910-act state, and the verification pass should confirm or refute that absence. See Architecture § C, verification wave 2.</w:t>
      </w:r>
    </w:p>
  </w:footnote>
  <w:footnote w:id="553">
    <w:p>
      <w:pPr>
        <w:pStyle w:val="FootnoteText"/>
      </w:pPr>
      <w:r>
        <w:rPr>
          <w:rStyle w:val="FootnoteReference"/>
        </w:rPr>
        <w:footnoteRef/>
      </w:r>
      <w:r>
        <w:t xml:space="preserve"> </w:t>
      </w:r>
      <w:r>
        <w:rPr>
          <w:i/>
        </w:rPr>
        <w:t xml:space="preserve">Alamo Land &amp; Cattle Co. v. Arizona</w:t>
      </w:r>
      <w:r>
        <w:t xml:space="preserve">, 424 U.S. 295, 301 (1976)</w:t>
      </w:r>
      <w:r>
        <w:t xml:space="preserve"> </w:t>
      </w:r>
      <w:r>
        <w:t xml:space="preserve">[@alamo-1976]</w:t>
      </w:r>
      <w:r>
        <w:t xml:space="preserve"> </w:t>
      </w:r>
      <w:r>
        <w:t xml:space="preserve">(quoting</w:t>
      </w:r>
      <w:r>
        <w:t xml:space="preserve"> </w:t>
      </w:r>
      <w:r>
        <w:rPr>
          <w:i/>
        </w:rPr>
        <w:t xml:space="preserve">Lassen v. Arizona ex rel. Arizona Highway Department</w:t>
      </w:r>
      <w:r>
        <w:t xml:space="preserve">, 385 U.S. 458, 460 (1967)). Quotation and pin verified against the full opinion June 7, 2026; the continuing-interest language is</w:t>
      </w:r>
      <w:r>
        <w:t xml:space="preserve"> </w:t>
      </w:r>
      <w:r>
        <w:rPr>
          <w:i/>
        </w:rPr>
        <w:t xml:space="preserve">Lassen</w:t>
      </w:r>
      <w:r>
        <w:t xml:space="preserve">’s, quoted with approval in</w:t>
      </w:r>
      <w:r>
        <w:t xml:space="preserve"> </w:t>
      </w:r>
      <w:r>
        <w:rPr>
          <w:i/>
        </w:rPr>
        <w:t xml:space="preserve">Alamo</w:t>
      </w:r>
      <w:r>
        <w:t xml:space="preserve">.</w:t>
      </w:r>
    </w:p>
  </w:footnote>
  <w:footnote w:id="554">
    <w:p>
      <w:pPr>
        <w:pStyle w:val="FootnoteText"/>
      </w:pPr>
      <w:r>
        <w:rPr>
          <w:rStyle w:val="FootnoteReference"/>
        </w:rPr>
        <w:footnoteRef/>
      </w:r>
      <w:r>
        <w:t xml:space="preserve"> </w:t>
      </w:r>
      <w:r>
        <w:t xml:space="preserve">Accord, by instrument and state:</w:t>
      </w:r>
      <w:r>
        <w:t xml:space="preserve"> </w:t>
      </w:r>
      <w:r>
        <w:rPr>
          <w:b/>
        </w:rPr>
        <w:t xml:space="preserve">New Mexico / Arizona</w:t>
      </w:r>
      <w:r>
        <w:t xml:space="preserve"> </w:t>
      </w:r>
      <w:r>
        <w:t xml:space="preserve">— Enabling Act § 10, 36 Stat. 557 (1910)</w:t>
      </w:r>
      <w:r>
        <w:t xml:space="preserve"> </w:t>
      </w:r>
      <w:r>
        <w:t xml:space="preserve">[@act-nm-az-1910]</w:t>
      </w:r>
      <w:r>
        <w:t xml:space="preserve"> </w:t>
      </w:r>
      <w:r>
        <w:t xml:space="preserve">(</w:t>
      </w:r>
      <w:r>
        <w:t xml:space="preserve">“</w:t>
      </w:r>
      <w:r>
        <w:t xml:space="preserve">the natural products and money proceeds of any of said lands shall be subject to the same trusts as the lands producing the same</w:t>
      </w:r>
      <w:r>
        <w:t xml:space="preserve">”</w:t>
      </w:r>
      <w:r>
        <w:t xml:space="preserve">);</w:t>
      </w:r>
      <w:r>
        <w:t xml:space="preserve"> </w:t>
      </w:r>
      <w:r>
        <w:rPr>
          <w:b/>
        </w:rPr>
        <w:t xml:space="preserve">Utah</w:t>
      </w:r>
      <w:r>
        <w:t xml:space="preserve"> </w:t>
      </w:r>
      <w:r>
        <w:t xml:space="preserve">—</w:t>
      </w:r>
      <w:r>
        <w:t xml:space="preserve"> </w:t>
      </w:r>
      <w:r>
        <w:rPr>
          <w:i/>
        </w:rPr>
        <w:t xml:space="preserve">National Parks &amp; Conservation Ass’n v. Board of State Lands</w:t>
      </w:r>
      <w:r>
        <w:t xml:space="preserve">, 869 P.2d 909, 920 (Utah 1993)</w:t>
      </w:r>
      <w:r>
        <w:t xml:space="preserve"> </w:t>
      </w:r>
      <w:r>
        <w:t xml:space="preserve">[@npca-1993]</w:t>
      </w:r>
      <w:r>
        <w:t xml:space="preserve"> </w:t>
      </w:r>
      <w:r>
        <w:t xml:space="preserve">(</w:t>
      </w:r>
      <w:r>
        <w:t xml:space="preserve">“</w:t>
      </w:r>
      <w:r>
        <w:t xml:space="preserve">the school land trust is not only imposed on the disposition of proceeds from school trust lands, but also on the use of the land itself</w:t>
      </w:r>
      <w:r>
        <w:t xml:space="preserve">”</w:t>
      </w:r>
      <w:r>
        <w:t xml:space="preserve">; quotation and pin verified against the full opinion June 7, 2026).</w:t>
      </w:r>
    </w:p>
  </w:footnote>
  <w:footnote w:id="555">
    <w:p>
      <w:pPr>
        <w:pStyle w:val="FootnoteText"/>
      </w:pPr>
      <w:r>
        <w:rPr>
          <w:rStyle w:val="FootnoteReference"/>
        </w:rPr>
        <w:footnoteRef/>
      </w:r>
      <w:r>
        <w:t xml:space="preserve"> </w:t>
      </w:r>
      <w:r>
        <w:t xml:space="preserve">43 U.S.C. § 851 et seq.</w:t>
      </w:r>
      <w:r>
        <w:t xml:space="preserve"> </w:t>
      </w:r>
      <w:r>
        <w:t xml:space="preserve">[@act-usc-851]</w:t>
      </w:r>
      <w:r>
        <w:t xml:space="preserve">;</w:t>
      </w:r>
      <w:r>
        <w:t xml:space="preserve"> </w:t>
      </w:r>
      <w:r>
        <w:rPr>
          <w:i/>
        </w:rPr>
        <w:t xml:space="preserve">State of Oregon ex rel. Division of State Lands v. Bureau of Land Management</w:t>
      </w:r>
      <w:r>
        <w:t xml:space="preserve">, 876 F.2d 1419 (9th Cir. 1989)</w:t>
      </w:r>
      <w:r>
        <w:t xml:space="preserve"> </w:t>
      </w:r>
      <w:r>
        <w:t xml:space="preserve">[@oregon-dsl-blm-1989]</w:t>
      </w:r>
      <w:r>
        <w:t xml:space="preserve"> </w:t>
      </w:r>
      <w:r>
        <w:t xml:space="preserve">(history of the lieu-lands statutes and selection process).</w:t>
      </w:r>
    </w:p>
  </w:footnote>
  <w:footnote w:id="556">
    <w:p>
      <w:pPr>
        <w:pStyle w:val="FootnoteText"/>
      </w:pPr>
      <w:r>
        <w:rPr>
          <w:rStyle w:val="FootnoteReference"/>
        </w:rPr>
        <w:footnoteRef/>
      </w:r>
      <w:r>
        <w:t xml:space="preserve"> </w:t>
      </w:r>
      <w:r>
        <w:rPr>
          <w:i/>
        </w:rPr>
        <w:t xml:space="preserve">State of Utah v. Kleppe</w:t>
      </w:r>
      <w:r>
        <w:t xml:space="preserve">, 586 F.2d 756, 758 (10th Cir. 1978)</w:t>
      </w:r>
      <w:r>
        <w:t xml:space="preserve"> </w:t>
      </w:r>
      <w:r>
        <w:t xml:space="preserve">[@kleppe-1978]</w:t>
      </w:r>
      <w:r>
        <w:t xml:space="preserve"> </w:t>
      </w:r>
      <w:r>
        <w:t xml:space="preserve">(full opinion verified 2026-06-08; the</w:t>
      </w:r>
      <w:r>
        <w:t xml:space="preserve"> </w:t>
      </w:r>
      <w:r>
        <w:t xml:space="preserve">“</w:t>
      </w:r>
      <w:r>
        <w:t xml:space="preserve">binding permanent trust</w:t>
      </w:r>
      <w:r>
        <w:t xml:space="preserve">”</w:t>
      </w:r>
      <w:r>
        <w:t xml:space="preserve"> </w:t>
      </w:r>
      <w:r>
        <w:t xml:space="preserve">and</w:t>
      </w:r>
      <w:r>
        <w:t xml:space="preserve"> </w:t>
      </w:r>
      <w:r>
        <w:t xml:space="preserve">“</w:t>
      </w:r>
      <w:r>
        <w:t xml:space="preserve">bilateral in effect</w:t>
      </w:r>
      <w:r>
        <w:t xml:space="preserve">”</w:t>
      </w:r>
      <w:r>
        <w:t xml:space="preserve"> </w:t>
      </w:r>
      <w:r>
        <w:t xml:space="preserve">language is the Tenth Circuit’s articulation,</w:t>
      </w:r>
      <w:r>
        <w:t xml:space="preserve"> </w:t>
      </w:r>
      <w:r>
        <w:rPr>
          <w:i/>
        </w:rPr>
        <w:t xml:space="preserve">rev’d on other grounds sub nom. Andrus v. Utah</w:t>
      </w:r>
      <w:r>
        <w:t xml:space="preserve">, 446 U.S. 500 (1980), which reversed the indemnity-selection holding under the Taylor Grazing Act);</w:t>
      </w:r>
      <w:r>
        <w:t xml:space="preserve"> </w:t>
      </w:r>
      <w:r>
        <w:rPr>
          <w:i/>
        </w:rPr>
        <w:t xml:space="preserve">State of Utah v. Andrus</w:t>
      </w:r>
      <w:r>
        <w:t xml:space="preserve">, 486 F. Supp. 995, 1002 (D. Utah 1979)</w:t>
      </w:r>
      <w:r>
        <w:t xml:space="preserve"> </w:t>
      </w:r>
      <w:r>
        <w:t xml:space="preserve">[@utah-andrus-1979]</w:t>
      </w:r>
      <w:r>
        <w:t xml:space="preserve"> </w:t>
      </w:r>
      <w:r>
        <w:t xml:space="preserve">(access quotation and pin verified against the full opinion, June 7, 2026).</w:t>
      </w:r>
    </w:p>
  </w:footnote>
  <w:footnote w:id="557">
    <w:p>
      <w:pPr>
        <w:pStyle w:val="FootnoteText"/>
      </w:pPr>
      <w:r>
        <w:rPr>
          <w:rStyle w:val="FootnoteReference"/>
        </w:rPr>
        <w:footnoteRef/>
      </w:r>
      <w:r>
        <w:t xml:space="preserve"> </w:t>
      </w:r>
      <w:r>
        <w:rPr>
          <w:i/>
        </w:rPr>
        <w:t xml:space="preserve">Andrus v. Utah</w:t>
      </w:r>
      <w:r>
        <w:t xml:space="preserve">, 446 U.S. 500 (1980)</w:t>
      </w:r>
      <w:r>
        <w:t xml:space="preserve"> </w:t>
      </w:r>
      <w:r>
        <w:t xml:space="preserve">[@andrus-1980]</w:t>
      </w:r>
      <w:r>
        <w:t xml:space="preserve">.</w:t>
      </w:r>
    </w:p>
  </w:footnote>
  <w:footnote w:id="558">
    <w:p>
      <w:pPr>
        <w:pStyle w:val="FootnoteText"/>
      </w:pPr>
      <w:r>
        <w:rPr>
          <w:rStyle w:val="FootnoteReference"/>
        </w:rPr>
        <w:footnoteRef/>
      </w:r>
      <w:r>
        <w:t xml:space="preserve"> </w:t>
      </w:r>
      <w:r>
        <w:rPr>
          <w:i/>
        </w:rPr>
        <w:t xml:space="preserve">United States v. Cotter Corp.</w:t>
      </w:r>
      <w:r>
        <w:t xml:space="preserve">, Nos. C 79-0037, C 79-0307 (D. Utah Oct. 1, 1979)</w:t>
      </w:r>
      <w:r>
        <w:t xml:space="preserve"> </w:t>
      </w:r>
      <w:r>
        <w:t xml:space="preserve">[@cotter-1979]</w:t>
      </w:r>
      <w:r>
        <w:t xml:space="preserve"> </w:t>
      </w:r>
      <w:r>
        <w:t xml:space="preserve">(no primary held; the holding and posture are carried at secondary level only [VERIFY holding and posture on pull, Register G-3]).</w:t>
      </w:r>
    </w:p>
  </w:footnote>
  <w:footnote w:id="559">
    <w:p>
      <w:pPr>
        <w:pStyle w:val="FootnoteText"/>
      </w:pPr>
      <w:r>
        <w:rPr>
          <w:rStyle w:val="FootnoteReference"/>
        </w:rPr>
        <w:footnoteRef/>
      </w:r>
      <w:r>
        <w:t xml:space="preserve"> </w:t>
      </w:r>
      <w:r>
        <w:rPr>
          <w:i/>
        </w:rPr>
        <w:t xml:space="preserve">Andrus v. Utah</w:t>
      </w:r>
      <w:r>
        <w:t xml:space="preserve">, 446 U.S. 500, 522-23 (1980)</w:t>
      </w:r>
      <w:r>
        <w:t xml:space="preserve"> </w:t>
      </w:r>
      <w:r>
        <w:t xml:space="preserve">[@andrus-1980]</w:t>
      </w:r>
      <w:r>
        <w:t xml:space="preserve"> </w:t>
      </w:r>
      <w:r>
        <w:t xml:space="preserve">(Powell, J., dissenting) — the formulation the Oregon Supreme Court adopted in</w:t>
      </w:r>
      <w:r>
        <w:t xml:space="preserve"> </w:t>
      </w:r>
      <w:r>
        <w:rPr>
          <w:i/>
        </w:rPr>
        <w:t xml:space="preserve">Cascadia Wildlands v. Department of State Lands</w:t>
      </w:r>
      <w:r>
        <w:t xml:space="preserve">, 365 Or 750, 752 n.1 (2019)</w:t>
      </w:r>
      <w:r>
        <w:t xml:space="preserve"> </w:t>
      </w:r>
      <w:r>
        <w:t xml:space="preserve">[@cascadia-2019]</w:t>
      </w:r>
      <w:r>
        <w:t xml:space="preserve">; the majority’s</w:t>
      </w:r>
      <w:r>
        <w:t xml:space="preserve"> </w:t>
      </w:r>
      <w:r>
        <w:t xml:space="preserve">“</w:t>
      </w:r>
      <w:r>
        <w:t xml:space="preserve">solemn agreement</w:t>
      </w:r>
      <w:r>
        <w:t xml:space="preserve">”</w:t>
      </w:r>
      <w:r>
        <w:t xml:space="preserve"> </w:t>
      </w:r>
      <w:r>
        <w:t xml:space="preserve">and</w:t>
      </w:r>
      <w:r>
        <w:t xml:space="preserve"> </w:t>
      </w:r>
      <w:r>
        <w:t xml:space="preserve">“</w:t>
      </w:r>
      <w:r>
        <w:t xml:space="preserve">benefit of the bargain</w:t>
      </w:r>
      <w:r>
        <w:t xml:space="preserve">”</w:t>
      </w:r>
      <w:r>
        <w:t xml:space="preserve"> </w:t>
      </w:r>
      <w:r>
        <w:t xml:space="preserve">language is binding-opinion authority for the same structure.</w:t>
      </w:r>
    </w:p>
  </w:footnote>
  <w:footnote w:id="560">
    <w:p>
      <w:pPr>
        <w:pStyle w:val="FootnoteText"/>
      </w:pPr>
      <w:r>
        <w:rPr>
          <w:rStyle w:val="FootnoteReference"/>
        </w:rPr>
        <w:footnoteRef/>
      </w:r>
      <w:r>
        <w:t xml:space="preserve"> </w:t>
      </w:r>
      <w:r>
        <w:t xml:space="preserve">N.M. Const. art. XII</w:t>
      </w:r>
      <w:r>
        <w:t xml:space="preserve"> </w:t>
      </w:r>
      <w:r>
        <w:t xml:space="preserve">[@const-nm-art12]</w:t>
      </w:r>
      <w:r>
        <w:t xml:space="preserve"> </w:t>
      </w:r>
      <w:r>
        <w:t xml:space="preserve">(2022 amendment; congressional consent required under the federal compact); see Chapter 3.</w:t>
      </w:r>
    </w:p>
  </w:footnote>
  <w:footnote w:id="561">
    <w:p>
      <w:pPr>
        <w:pStyle w:val="FootnoteText"/>
      </w:pPr>
      <w:r>
        <w:rPr>
          <w:rStyle w:val="FootnoteReference"/>
        </w:rPr>
        <w:footnoteRef/>
      </w:r>
      <w:r>
        <w:t xml:space="preserve"> </w:t>
      </w:r>
      <w:r>
        <w:rPr>
          <w:i/>
        </w:rPr>
        <w:t xml:space="preserve">Cooper v. Roberts</w:t>
      </w:r>
      <w:r>
        <w:t xml:space="preserve">, 59 U.S. (18 How.) 173 (1855)</w:t>
      </w:r>
      <w:r>
        <w:t xml:space="preserve"> </w:t>
      </w:r>
      <w:r>
        <w:t xml:space="preserve">[@cooper-1855]</w:t>
      </w:r>
      <w:r>
        <w:t xml:space="preserve">. Accord, collected by state, at Chapter 2, § 2.7.</w:t>
      </w:r>
    </w:p>
  </w:footnote>
  <w:footnote w:id="563">
    <w:p>
      <w:pPr>
        <w:pStyle w:val="FootnoteText"/>
      </w:pPr>
      <w:r>
        <w:rPr>
          <w:rStyle w:val="FootnoteReference"/>
        </w:rPr>
        <w:footnoteRef/>
      </w:r>
      <w:r>
        <w:t xml:space="preserve"> </w:t>
      </w:r>
      <w:r>
        <w:rPr>
          <w:i/>
        </w:rPr>
        <w:t xml:space="preserve">Borax Consolidated, Ltd. v. Los Angeles</w:t>
      </w:r>
      <w:r>
        <w:t xml:space="preserve">, 296 U.S. 10, 22 (1935)</w:t>
      </w:r>
      <w:r>
        <w:t xml:space="preserve"> </w:t>
      </w:r>
      <w:r>
        <w:t xml:space="preserve">[@borax-1935]</w:t>
      </w:r>
      <w:r>
        <w:t xml:space="preserve">. Quotation and pin verified against the full opinion June 7, 2026; the full sentence reads</w:t>
      </w:r>
      <w:r>
        <w:t xml:space="preserve"> </w:t>
      </w:r>
      <w:r>
        <w:t xml:space="preserve">“</w:t>
      </w:r>
      <w:r>
        <w:t xml:space="preserve">It is a question which concerns the validity and effect of an act done by the United States,</w:t>
      </w:r>
      <w:r>
        <w:t xml:space="preserve">”</w:t>
      </w:r>
      <w:r>
        <w:t xml:space="preserve"> </w:t>
      </w:r>
      <w:r>
        <w:t xml:space="preserve">with the preceding sentence supplying</w:t>
      </w:r>
      <w:r>
        <w:t xml:space="preserve"> </w:t>
      </w:r>
      <w:r>
        <w:t xml:space="preserve">“</w:t>
      </w:r>
      <w:r>
        <w:t xml:space="preserve">necessarily a federal question.</w:t>
      </w:r>
      <w:r>
        <w:t xml:space="preserve">”</w:t>
      </w:r>
    </w:p>
  </w:footnote>
  <w:footnote w:id="564">
    <w:p>
      <w:pPr>
        <w:pStyle w:val="FootnoteText"/>
      </w:pPr>
      <w:r>
        <w:rPr>
          <w:rStyle w:val="FootnoteReference"/>
        </w:rPr>
        <w:footnoteRef/>
      </w:r>
      <w:r>
        <w:t xml:space="preserve"> </w:t>
      </w:r>
      <w:r>
        <w:rPr>
          <w:i/>
        </w:rPr>
        <w:t xml:space="preserve">United States v. Morrison</w:t>
      </w:r>
      <w:r>
        <w:t xml:space="preserve">, 240 U.S. 192, 205 (1916)</w:t>
      </w:r>
      <w:r>
        <w:t xml:space="preserve"> </w:t>
      </w:r>
      <w:r>
        <w:t xml:space="preserve">[@morrison-1916]</w:t>
      </w:r>
      <w:r>
        <w:t xml:space="preserve">. Quotations and pin verified against the full opinion June 7, 2026. Correction recorded: the opinion says</w:t>
      </w:r>
      <w:r>
        <w:t xml:space="preserve"> </w:t>
      </w:r>
      <w:r>
        <w:t xml:space="preserve">“</w:t>
      </w:r>
      <w:r>
        <w:t xml:space="preserve">definite,</w:t>
      </w:r>
      <w:r>
        <w:t xml:space="preserve">”</w:t>
      </w:r>
      <w:r>
        <w:t xml:space="preserve"> </w:t>
      </w:r>
      <w:r>
        <w:t xml:space="preserve">not</w:t>
      </w:r>
      <w:r>
        <w:t xml:space="preserve"> </w:t>
      </w:r>
      <w:r>
        <w:t xml:space="preserve">“</w:t>
      </w:r>
      <w:r>
        <w:t xml:space="preserve">definitive,</w:t>
      </w:r>
      <w:r>
        <w:t xml:space="preserve">”</w:t>
      </w:r>
      <w:r>
        <w:t xml:space="preserve"> </w:t>
      </w:r>
      <w:r>
        <w:t xml:space="preserve">and states the rule of the</w:t>
      </w:r>
      <w:r>
        <w:t xml:space="preserve"> </w:t>
      </w:r>
      <w:r>
        <w:rPr>
          <w:i/>
        </w:rPr>
        <w:t xml:space="preserve">Heydenfeldt</w:t>
      </w:r>
      <w:r>
        <w:t xml:space="preserve"> </w:t>
      </w:r>
      <w:r>
        <w:t xml:space="preserve">decision’s construction of the standard granting language; the original reads</w:t>
      </w:r>
      <w:r>
        <w:t xml:space="preserve"> </w:t>
      </w:r>
      <w:r>
        <w:t xml:space="preserve">“</w:t>
      </w:r>
      <w:r>
        <w:t xml:space="preserve">the States,</w:t>
      </w:r>
      <w:r>
        <w:t xml:space="preserve">”</w:t>
      </w:r>
      <w:r>
        <w:t xml:space="preserve"> </w:t>
      </w:r>
      <w:r>
        <w:t xml:space="preserve">capitalized.</w:t>
      </w:r>
    </w:p>
  </w:footnote>
  <w:footnote w:id="565">
    <w:p>
      <w:pPr>
        <w:pStyle w:val="FootnoteText"/>
      </w:pPr>
      <w:r>
        <w:rPr>
          <w:rStyle w:val="FootnoteReference"/>
        </w:rPr>
        <w:footnoteRef/>
      </w:r>
      <w:r>
        <w:t xml:space="preserve"> </w:t>
      </w:r>
      <w:r>
        <w:rPr>
          <w:i/>
        </w:rPr>
        <w:t xml:space="preserve">ASARCO Inc. v. Kadish</w:t>
      </w:r>
      <w:r>
        <w:t xml:space="preserve">, 490 U.S. 605, 626 (1989)</w:t>
      </w:r>
      <w:r>
        <w:t xml:space="preserve"> </w:t>
      </w:r>
      <w:r>
        <w:t xml:space="preserve">[@asarco-1989]</w:t>
      </w:r>
      <w:r>
        <w:t xml:space="preserve">; A.R.S. § 27-234 (the invalidated statute).</w:t>
      </w:r>
    </w:p>
  </w:footnote>
  <w:footnote w:id="566">
    <w:p>
      <w:pPr>
        <w:pStyle w:val="FootnoteText"/>
      </w:pPr>
      <w:r>
        <w:rPr>
          <w:rStyle w:val="FootnoteReference"/>
        </w:rPr>
        <w:footnoteRef/>
      </w:r>
      <w:r>
        <w:t xml:space="preserve"> </w:t>
      </w:r>
      <w:r>
        <w:t xml:space="preserve">Accord — the post-</w:t>
      </w:r>
      <w:r>
        <w:rPr>
          <w:i/>
        </w:rPr>
        <w:t xml:space="preserve">Morrison</w:t>
      </w:r>
      <w:r>
        <w:t xml:space="preserve"> </w:t>
      </w:r>
      <w:r>
        <w:t xml:space="preserve">body of law recognizing enforceable federal-state school trusts, as collected in Plaintiffs’ Response and Cross-Motion for Partial Summary Judgment (filed May 29, 2026; the project’s own filing) and carried as cited there:</w:t>
      </w:r>
      <w:r>
        <w:t xml:space="preserve"> </w:t>
      </w:r>
      <w:r>
        <w:rPr>
          <w:b/>
        </w:rPr>
        <w:t xml:space="preserve">Federal</w:t>
      </w:r>
      <w:r>
        <w:t xml:space="preserve"> </w:t>
      </w:r>
      <w:r>
        <w:t xml:space="preserve">—</w:t>
      </w:r>
      <w:r>
        <w:t xml:space="preserve"> </w:t>
      </w:r>
      <w:r>
        <w:rPr>
          <w:i/>
        </w:rPr>
        <w:t xml:space="preserve">Papasan v. Allain</w:t>
      </w:r>
      <w:r>
        <w:t xml:space="preserve">, 478 U.S. 265 (1986)</w:t>
      </w:r>
      <w:r>
        <w:t xml:space="preserve"> </w:t>
      </w:r>
      <w:r>
        <w:t xml:space="preserve">[@papasan-1986]</w:t>
      </w:r>
      <w:r>
        <w:t xml:space="preserve"> </w:t>
      </w:r>
      <w:r>
        <w:t xml:space="preserve">(Mississippi Sixteenth Section context — carried with a caution the briefing record does not supply: the opinion observes that</w:t>
      </w:r>
      <w:r>
        <w:t xml:space="preserve"> </w:t>
      </w:r>
      <w:r>
        <w:t xml:space="preserve">“</w:t>
      </w:r>
      <w:r>
        <w:t xml:space="preserve">it is not at all clear that the school lands grants to Mississippi created a binding trust</w:t>
      </w:r>
      <w:r>
        <w:t xml:space="preserve">”</w:t>
      </w:r>
      <w:r>
        <w:t xml:space="preserve"> </w:t>
      </w:r>
      <w:r>
        <w:t xml:space="preserve">and holds the petitioners’ trust claims barred by the Eleventh Amendment, 478 U.S. at 279-81, while the equal-protection claim proceeds; verified against the full opinion June 7, 2026;</w:t>
      </w:r>
      <w:r>
        <w:t xml:space="preserve"> </w:t>
      </w:r>
      <w:r>
        <w:rPr>
          <w:i/>
        </w:rPr>
        <w:t xml:space="preserve">Papasan</w:t>
      </w:r>
      <w:r>
        <w:t xml:space="preserve"> </w:t>
      </w:r>
      <w:r>
        <w:t xml:space="preserve">belongs in this collection only for its arguendo treatment of the trust characterization, not as a holding that the federal trust is enforceable against the state);</w:t>
      </w:r>
      <w:r>
        <w:t xml:space="preserve"> </w:t>
      </w:r>
      <w:r>
        <w:rPr>
          <w:b/>
        </w:rPr>
        <w:t xml:space="preserve">Federal (Colorado)</w:t>
      </w:r>
      <w:r>
        <w:t xml:space="preserve"> </w:t>
      </w:r>
      <w:r>
        <w:t xml:space="preserve">—</w:t>
      </w:r>
      <w:r>
        <w:t xml:space="preserve"> </w:t>
      </w:r>
      <w:r>
        <w:rPr>
          <w:i/>
        </w:rPr>
        <w:t xml:space="preserve">Branson School District RE-82 v. Romer</w:t>
      </w:r>
      <w:r>
        <w:t xml:space="preserve">, 161 F.3d 619 (10th Cir. 1998)</w:t>
      </w:r>
      <w:r>
        <w:t xml:space="preserve"> </w:t>
      </w:r>
      <w:r>
        <w:t xml:space="preserve">[@branson-1998]</w:t>
      </w:r>
      <w:r>
        <w:t xml:space="preserve"> </w:t>
      </w:r>
      <w:r>
        <w:t xml:space="preserve">(holding the 1875 Colorado Enabling Act created</w:t>
      </w:r>
      <w:r>
        <w:t xml:space="preserve"> </w:t>
      </w:r>
      <w:r>
        <w:t xml:space="preserve">“</w:t>
      </w:r>
      <w:r>
        <w:t xml:space="preserve">an enforceable federal trust</w:t>
      </w:r>
      <w:r>
        <w:t xml:space="preserve">”</w:t>
      </w:r>
      <w:r>
        <w:t xml:space="preserve"> </w:t>
      </w:r>
      <w:r>
        <w:t xml:space="preserve">with the school districts and children as beneficiaries entitled to enforce; verified against the full opinion, 2026-06-08); for the state-court accord see the trust-character collections at Chapter 4. CORRECTION (2026-06-08): the prior draft also listed</w:t>
      </w:r>
      <w:r>
        <w:t xml:space="preserve"> </w:t>
      </w:r>
      <w:r>
        <w:rPr>
          <w:i/>
        </w:rPr>
        <w:t xml:space="preserve">Savage v. Glendale Union High School Dist. No. 205</w:t>
      </w:r>
      <w:r>
        <w:t xml:space="preserve">, 343 F.3d 1036 (9th Cir. 2003), in this collection; the full opinion (now held in L0) shows</w:t>
      </w:r>
      <w:r>
        <w:t xml:space="preserve"> </w:t>
      </w:r>
      <w:r>
        <w:rPr>
          <w:i/>
        </w:rPr>
        <w:t xml:space="preserve">Savage</w:t>
      </w:r>
      <w:r>
        <w:t xml:space="preserve"> </w:t>
      </w:r>
      <w:r>
        <w:t xml:space="preserve">is an Eleventh Amendment</w:t>
      </w:r>
      <w:r>
        <w:t xml:space="preserve"> </w:t>
      </w:r>
      <w:r>
        <w:t xml:space="preserve">“</w:t>
      </w:r>
      <w:r>
        <w:t xml:space="preserve">arm of the state</w:t>
      </w:r>
      <w:r>
        <w:t xml:space="preserve">”</w:t>
      </w:r>
      <w:r>
        <w:t xml:space="preserve"> </w:t>
      </w:r>
      <w:r>
        <w:t xml:space="preserve">question under the Americans with Disabilities Act, not a school-trust trust-character or enforcement holding, and it has been removed from the accord.</w:t>
      </w:r>
    </w:p>
  </w:footnote>
  <w:footnote w:id="567">
    <w:p>
      <w:pPr>
        <w:pStyle w:val="FootnoteText"/>
      </w:pPr>
      <w:r>
        <w:rPr>
          <w:rStyle w:val="FootnoteReference"/>
        </w:rPr>
        <w:footnoteRef/>
      </w:r>
      <w:r>
        <w:t xml:space="preserve"> </w:t>
      </w:r>
      <w:r>
        <w:rPr>
          <w:i/>
        </w:rPr>
        <w:t xml:space="preserve">Branson School District RE-82 v. Romer</w:t>
      </w:r>
      <w:r>
        <w:t xml:space="preserve">, 958 F. Supp. 1501 (D. Colo. 1997), aff’d, 161 F.3d 619 (10th Cir. 1998)</w:t>
      </w:r>
      <w:r>
        <w:t xml:space="preserve"> </w:t>
      </w:r>
      <w:r>
        <w:t xml:space="preserve">[@branson-1998]</w:t>
      </w:r>
      <w:r>
        <w:t xml:space="preserve">; see Chapter 19.</w:t>
      </w:r>
    </w:p>
  </w:footnote>
  <w:footnote w:id="569">
    <w:p>
      <w:pPr>
        <w:pStyle w:val="FootnoteText"/>
      </w:pPr>
      <w:r>
        <w:rPr>
          <w:rStyle w:val="FootnoteReference"/>
        </w:rPr>
        <w:footnoteRef/>
      </w:r>
      <w:r>
        <w:t xml:space="preserve"> </w:t>
      </w:r>
      <w:r>
        <w:t xml:space="preserve">Authorities Register v1, Special Entry (June 6, 2026)</w:t>
      </w:r>
      <w:r>
        <w:t xml:space="preserve"> </w:t>
      </w:r>
      <w:r>
        <w:t xml:space="preserve">[@sullivan-a177308]</w:t>
      </w:r>
      <w:r>
        <w:t xml:space="preserve">; the holding is</w:t>
      </w:r>
      <w:r>
        <w:t xml:space="preserve"> </w:t>
      </w:r>
      <w:r>
        <w:rPr>
          <w:b/>
        </w:rPr>
        <w:t xml:space="preserve">[VERIFY — opinion being retrieved; see § 14.3 for the full Register flag]</w:t>
      </w:r>
      <w:r>
        <w:t xml:space="preserve"> </w:t>
      </w:r>
      <w:r>
        <w:t xml:space="preserve">and may not be stated as law.</w:t>
      </w:r>
    </w:p>
  </w:footnote>
  <w:footnote w:id="570">
    <w:p>
      <w:pPr>
        <w:pStyle w:val="FootnoteText"/>
      </w:pPr>
      <w:r>
        <w:rPr>
          <w:rStyle w:val="FootnoteReference"/>
        </w:rPr>
        <w:footnoteRef/>
      </w:r>
      <w:r>
        <w:t xml:space="preserve"> </w:t>
      </w:r>
      <w:r>
        <w:rPr>
          <w:i/>
        </w:rPr>
        <w:t xml:space="preserve">Trustees of Vincennes University v. Indiana</w:t>
      </w:r>
      <w:r>
        <w:t xml:space="preserve">, 55 U.S. (14 How.) 268, 274 (1852)</w:t>
      </w:r>
      <w:r>
        <w:t xml:space="preserve"> </w:t>
      </w:r>
      <w:r>
        <w:t xml:space="preserve">[@vincennes-1852]</w:t>
      </w:r>
      <w:r>
        <w:t xml:space="preserve"> </w:t>
      </w:r>
      <w:r>
        <w:t xml:space="preserve">(majority passage at 274; the dissent’s</w:t>
      </w:r>
      <w:r>
        <w:t xml:space="preserve"> </w:t>
      </w:r>
      <w:r>
        <w:t xml:space="preserve">“</w:t>
      </w:r>
      <w:r>
        <w:t xml:space="preserve">as the trustee to administer the trust</w:t>
      </w:r>
      <w:r>
        <w:t xml:space="preserve">”</w:t>
      </w:r>
      <w:r>
        <w:t xml:space="preserve"> </w:t>
      </w:r>
      <w:r>
        <w:t xml:space="preserve">phrasing at 279-80 is Taney, C.J. — attribution verified against the full opinion, 2026-06-10);</w:t>
      </w:r>
      <w:r>
        <w:t xml:space="preserve"> </w:t>
      </w:r>
      <w:r>
        <w:rPr>
          <w:i/>
        </w:rPr>
        <w:t xml:space="preserve">Cooper v. Roberts</w:t>
      </w:r>
      <w:r>
        <w:t xml:space="preserve">, 59 U.S. (18 How.) 173 (1855)</w:t>
      </w:r>
      <w:r>
        <w:t xml:space="preserve"> </w:t>
      </w:r>
      <w:r>
        <w:t xml:space="preserve">[@cooper-1855]</w:t>
      </w:r>
      <w:r>
        <w:t xml:space="preserve">.</w:t>
      </w:r>
    </w:p>
  </w:footnote>
  <w:footnote w:id="571">
    <w:p>
      <w:pPr>
        <w:pStyle w:val="FootnoteText"/>
      </w:pPr>
      <w:r>
        <w:rPr>
          <w:rStyle w:val="FootnoteReference"/>
        </w:rPr>
        <w:footnoteRef/>
      </w:r>
      <w:r>
        <w:t xml:space="preserve"> </w:t>
      </w:r>
      <w:r>
        <w:rPr>
          <w:i/>
        </w:rPr>
        <w:t xml:space="preserve">United States v. Morrison</w:t>
      </w:r>
      <w:r>
        <w:t xml:space="preserve">, 240 U.S. 192, 205 (1916)</w:t>
      </w:r>
      <w:r>
        <w:t xml:space="preserve"> </w:t>
      </w:r>
      <w:r>
        <w:t xml:space="preserve">[@morrison-1916]</w:t>
      </w:r>
      <w:r>
        <w:t xml:space="preserve">; the propagation of the 1910-act doctrine into the earlier-instrument states is documented throughout Chapters 4 through 11.</w:t>
      </w:r>
    </w:p>
  </w:footnote>
  <w:footnote w:id="572">
    <w:p>
      <w:pPr>
        <w:pStyle w:val="FootnoteText"/>
      </w:pPr>
      <w:r>
        <w:rPr>
          <w:rStyle w:val="FootnoteReference"/>
        </w:rPr>
        <w:footnoteRef/>
      </w:r>
      <w:r>
        <w:t xml:space="preserve"> </w:t>
      </w:r>
      <w:r>
        <w:rPr>
          <w:i/>
        </w:rPr>
        <w:t xml:space="preserve">State of Utah v. Kleppe</w:t>
      </w:r>
      <w:r>
        <w:t xml:space="preserve">, 586 F.2d 756 (10th Cir. 1978)</w:t>
      </w:r>
      <w:r>
        <w:t xml:space="preserve"> </w:t>
      </w:r>
      <w:r>
        <w:t xml:space="preserve">[@kleppe-1978]</w:t>
      </w:r>
      <w:r>
        <w:t xml:space="preserve">;</w:t>
      </w:r>
      <w:r>
        <w:t xml:space="preserve"> </w:t>
      </w:r>
      <w:r>
        <w:rPr>
          <w:i/>
        </w:rPr>
        <w:t xml:space="preserve">Andrus v. Utah</w:t>
      </w:r>
      <w:r>
        <w:t xml:space="preserve">, 446 U.S. 500 (1980)</w:t>
      </w:r>
      <w:r>
        <w:t xml:space="preserve"> </w:t>
      </w:r>
      <w:r>
        <w:t xml:space="preserve">[@andrus-1980]</w:t>
      </w:r>
      <w:r>
        <w:t xml:space="preserve">;</w:t>
      </w:r>
      <w:r>
        <w:t xml:space="preserve"> </w:t>
      </w:r>
      <w:r>
        <w:rPr>
          <w:i/>
        </w:rPr>
        <w:t xml:space="preserve">United States v. Cotter Corp.</w:t>
      </w:r>
      <w:r>
        <w:t xml:space="preserve"> </w:t>
      </w:r>
      <w:r>
        <w:t xml:space="preserve">(D. Utah 1979)</w:t>
      </w:r>
      <w:r>
        <w:t xml:space="preserve"> </w:t>
      </w:r>
      <w:r>
        <w:t xml:space="preserve">[@cotter-1979]</w:t>
      </w:r>
      <w:r>
        <w:t xml:space="preserve">.</w:t>
      </w:r>
    </w:p>
  </w:footnote>
  <w:footnote w:id="573">
    <w:p>
      <w:pPr>
        <w:pStyle w:val="FootnoteText"/>
      </w:pPr>
      <w:r>
        <w:rPr>
          <w:rStyle w:val="FootnoteReference"/>
        </w:rPr>
        <w:footnoteRef/>
      </w:r>
      <w:r>
        <w:t xml:space="preserve"> </w:t>
      </w:r>
      <w:r>
        <w:t xml:space="preserve">Accord cases on United States enforcement of pre-1910 grants: not yet collected — a deliberate research assignment, not an oversight; see Architecture § C, verification wave 2.</w:t>
      </w:r>
    </w:p>
  </w:footnote>
  <w:footnote w:id="578">
    <w:p>
      <w:pPr>
        <w:pStyle w:val="FootnoteText"/>
      </w:pPr>
      <w:r>
        <w:rPr>
          <w:rStyle w:val="FootnoteReference"/>
        </w:rPr>
        <w:footnoteRef/>
      </w:r>
      <w:r>
        <w:t xml:space="preserve"> </w:t>
      </w:r>
      <w:r>
        <w:t xml:space="preserve">Lead case:</w:t>
      </w:r>
      <w:r>
        <w:t xml:space="preserve"> </w:t>
      </w:r>
      <w:r>
        <w:rPr>
          <w:i/>
        </w:rPr>
        <w:t xml:space="preserve">Eagle Point Irrigation District v. Cowden</w:t>
      </w:r>
      <w:r>
        <w:t xml:space="preserve">, 137 Or 121, 124 (1931)</w:t>
      </w:r>
      <w:r>
        <w:t xml:space="preserve"> </w:t>
      </w:r>
      <w:r>
        <w:t xml:space="preserve">[@eagle-point-1931]</w:t>
      </w:r>
      <w:r>
        <w:t xml:space="preserve"> </w:t>
      </w:r>
      <w:r>
        <w:t xml:space="preserve">(</w:t>
      </w:r>
      <w:r>
        <w:t xml:space="preserve">“</w:t>
      </w:r>
      <w:r>
        <w:t xml:space="preserve">The state land board in loaning these funds does so in the execution of a trust of the highest nature, which has been created by the fundamental law of this state.</w:t>
      </w:r>
      <w:r>
        <w:t xml:space="preserve">”</w:t>
      </w:r>
      <w:r>
        <w:t xml:space="preserve">).</w:t>
      </w:r>
    </w:p>
  </w:footnote>
  <w:footnote w:id="579">
    <w:p>
      <w:pPr>
        <w:pStyle w:val="FootnoteText"/>
      </w:pPr>
      <w:r>
        <w:rPr>
          <w:rStyle w:val="FootnoteReference"/>
        </w:rPr>
        <w:footnoteRef/>
      </w:r>
      <w:r>
        <w:t xml:space="preserve"> </w:t>
      </w:r>
      <w:r>
        <w:t xml:space="preserve">Merits adjudication of school-trustee conduct, collected by state:</w:t>
      </w:r>
      <w:r>
        <w:t xml:space="preserve"> </w:t>
      </w:r>
      <w:r>
        <w:rPr>
          <w:b/>
        </w:rPr>
        <w:t xml:space="preserve">Federal (Arizona)</w:t>
      </w:r>
      <w:r>
        <w:t xml:space="preserve"> </w:t>
      </w:r>
      <w:r>
        <w:t xml:space="preserve">—</w:t>
      </w:r>
      <w:r>
        <w:t xml:space="preserve"> </w:t>
      </w:r>
      <w:r>
        <w:rPr>
          <w:i/>
        </w:rPr>
        <w:t xml:space="preserve">ASARCO Inc. v. Kadish</w:t>
      </w:r>
      <w:r>
        <w:t xml:space="preserve">, 490 U.S. 605, 626 (1989)</w:t>
      </w:r>
      <w:r>
        <w:t xml:space="preserve"> </w:t>
      </w:r>
      <w:r>
        <w:t xml:space="preserve">[@asarco-1989]</w:t>
      </w:r>
      <w:r>
        <w:t xml:space="preserve"> </w:t>
      </w:r>
      <w:r>
        <w:t xml:space="preserve">(affirming state-court invalidation of a mineral-leasing statute for nonconformity with Enabling Act § 28; pin 626 verified against the full opinion, 2026-06-10);</w:t>
      </w:r>
      <w:r>
        <w:t xml:space="preserve"> </w:t>
      </w:r>
      <w:r>
        <w:rPr>
          <w:b/>
        </w:rPr>
        <w:t xml:space="preserve">Federal (New Mexico)</w:t>
      </w:r>
      <w:r>
        <w:t xml:space="preserve"> </w:t>
      </w:r>
      <w:r>
        <w:t xml:space="preserve">—</w:t>
      </w:r>
      <w:r>
        <w:t xml:space="preserve"> </w:t>
      </w:r>
      <w:r>
        <w:rPr>
          <w:i/>
        </w:rPr>
        <w:t xml:space="preserve">Ervien v. United States</w:t>
      </w:r>
      <w:r>
        <w:t xml:space="preserve">, 251 U.S. 41, 47 (1919)</w:t>
      </w:r>
      <w:r>
        <w:t xml:space="preserve"> </w:t>
      </w:r>
      <w:r>
        <w:t xml:space="preserve">[@ervien-1919]</w:t>
      </w:r>
      <w:r>
        <w:t xml:space="preserve"> </w:t>
      </w:r>
      <w:r>
        <w:t xml:space="preserve">(promotional diversion adjudicated and condemned);</w:t>
      </w:r>
      <w:r>
        <w:t xml:space="preserve"> </w:t>
      </w:r>
      <w:r>
        <w:rPr>
          <w:b/>
        </w:rPr>
        <w:t xml:space="preserve">Alaska</w:t>
      </w:r>
      <w:r>
        <w:t xml:space="preserve"> </w:t>
      </w:r>
      <w:r>
        <w:t xml:space="preserve">—</w:t>
      </w:r>
      <w:r>
        <w:t xml:space="preserve"> </w:t>
      </w:r>
      <w:r>
        <w:rPr>
          <w:i/>
        </w:rPr>
        <w:t xml:space="preserve">State v. University of Alaska</w:t>
      </w:r>
      <w:r>
        <w:t xml:space="preserve">, 624 P.2d 807 (Alaska 1981)</w:t>
      </w:r>
      <w:r>
        <w:t xml:space="preserve"> </w:t>
      </w:r>
      <w:r>
        <w:t xml:space="preserve">[@university-of-alaska-1981]</w:t>
      </w:r>
      <w:r>
        <w:t xml:space="preserve">;</w:t>
      </w:r>
      <w:r>
        <w:t xml:space="preserve"> </w:t>
      </w:r>
      <w:r>
        <w:rPr>
          <w:b/>
        </w:rPr>
        <w:t xml:space="preserve">Idaho</w:t>
      </w:r>
      <w:r>
        <w:t xml:space="preserve"> </w:t>
      </w:r>
      <w:r>
        <w:t xml:space="preserve">—</w:t>
      </w:r>
      <w:r>
        <w:t xml:space="preserve"> </w:t>
      </w:r>
      <w:r>
        <w:rPr>
          <w:i/>
        </w:rPr>
        <w:t xml:space="preserve">Idaho Watersheds Project v. State Bd. of Land Comm’rs (IWP II)</w:t>
      </w:r>
      <w:r>
        <w:t xml:space="preserve">, 133 Idaho 64 (1999)</w:t>
      </w:r>
      <w:r>
        <w:t xml:space="preserve"> </w:t>
      </w:r>
      <w:r>
        <w:t xml:space="preserve">[@idaho-watersheds-1999]</w:t>
      </w:r>
      <w:r>
        <w:t xml:space="preserve">;</w:t>
      </w:r>
      <w:r>
        <w:t xml:space="preserve"> </w:t>
      </w:r>
      <w:r>
        <w:rPr>
          <w:b/>
        </w:rPr>
        <w:t xml:space="preserve">Montana</w:t>
      </w:r>
      <w:r>
        <w:t xml:space="preserve"> </w:t>
      </w:r>
      <w:r>
        <w:t xml:space="preserve">—</w:t>
      </w:r>
      <w:r>
        <w:t xml:space="preserve"> </w:t>
      </w:r>
      <w:r>
        <w:rPr>
          <w:i/>
        </w:rPr>
        <w:t xml:space="preserve">Montanans for the Responsible Use of the School Trust v. State</w:t>
      </w:r>
      <w:r>
        <w:t xml:space="preserve">, 1999 MT 263</w:t>
      </w:r>
      <w:r>
        <w:t xml:space="preserve"> </w:t>
      </w:r>
      <w:r>
        <w:t xml:space="preserve">[@montrust-1999]</w:t>
      </w:r>
      <w:r>
        <w:t xml:space="preserve"> </w:t>
      </w:r>
      <w:r>
        <w:t xml:space="preserve">(four statutes and a Department rental policy adjudicated and struck; § 77-1-208 itself sustained);</w:t>
      </w:r>
      <w:r>
        <w:t xml:space="preserve"> </w:t>
      </w:r>
      <w:r>
        <w:rPr>
          <w:b/>
        </w:rPr>
        <w:t xml:space="preserve">Nebraska</w:t>
      </w:r>
      <w:r>
        <w:t xml:space="preserve"> </w:t>
      </w:r>
      <w:r>
        <w:t xml:space="preserve">—</w:t>
      </w:r>
      <w:r>
        <w:t xml:space="preserve"> </w:t>
      </w:r>
      <w:r>
        <w:rPr>
          <w:i/>
        </w:rPr>
        <w:t xml:space="preserve">State ex rel. Ebke v. Board of Educational Lands &amp; Funds</w:t>
      </w:r>
      <w:r>
        <w:t xml:space="preserve">, 154 Neb. 244, 47 N.W.2d 520 (1951)</w:t>
      </w:r>
      <w:r>
        <w:t xml:space="preserve"> </w:t>
      </w:r>
      <w:r>
        <w:t xml:space="preserve">[@ebke-1951]</w:t>
      </w:r>
      <w:r>
        <w:t xml:space="preserve">;</w:t>
      </w:r>
      <w:r>
        <w:t xml:space="preserve"> </w:t>
      </w:r>
      <w:r>
        <w:rPr>
          <w:b/>
        </w:rPr>
        <w:t xml:space="preserve">New Mexico</w:t>
      </w:r>
      <w:r>
        <w:t xml:space="preserve"> </w:t>
      </w:r>
      <w:r>
        <w:t xml:space="preserve">—</w:t>
      </w:r>
      <w:r>
        <w:t xml:space="preserve"> </w:t>
      </w:r>
      <w:r>
        <w:rPr>
          <w:i/>
        </w:rPr>
        <w:t xml:space="preserve">State ex rel. King v. Lyons</w:t>
      </w:r>
      <w:r>
        <w:t xml:space="preserve">, 2011-NMSC-004, 248 P.3d 878</w:t>
      </w:r>
      <w:r>
        <w:t xml:space="preserve"> </w:t>
      </w:r>
      <w:r>
        <w:t xml:space="preserve">[@lyons-2011]</w:t>
      </w:r>
      <w:r>
        <w:t xml:space="preserve">;</w:t>
      </w:r>
      <w:r>
        <w:t xml:space="preserve"> </w:t>
      </w:r>
      <w:r>
        <w:rPr>
          <w:b/>
        </w:rPr>
        <w:t xml:space="preserve">Oklahoma</w:t>
      </w:r>
      <w:r>
        <w:t xml:space="preserve"> </w:t>
      </w:r>
      <w:r>
        <w:t xml:space="preserve">—</w:t>
      </w:r>
      <w:r>
        <w:t xml:space="preserve"> </w:t>
      </w:r>
      <w:r>
        <w:rPr>
          <w:i/>
        </w:rPr>
        <w:t xml:space="preserve">Oklahoma Education Ass’n, Inc. v. Nigh</w:t>
      </w:r>
      <w:r>
        <w:t xml:space="preserve">, 642 P.2d 230 (Okla. 1982)</w:t>
      </w:r>
      <w:r>
        <w:t xml:space="preserve"> </w:t>
      </w:r>
      <w:r>
        <w:t xml:space="preserve">[@nigh-1982]</w:t>
      </w:r>
      <w:r>
        <w:t xml:space="preserve">;</w:t>
      </w:r>
      <w:r>
        <w:t xml:space="preserve"> </w:t>
      </w:r>
      <w:r>
        <w:rPr>
          <w:b/>
        </w:rPr>
        <w:t xml:space="preserve">South Dakota</w:t>
      </w:r>
      <w:r>
        <w:t xml:space="preserve"> </w:t>
      </w:r>
      <w:r>
        <w:t xml:space="preserve">—</w:t>
      </w:r>
      <w:r>
        <w:t xml:space="preserve"> </w:t>
      </w:r>
      <w:r>
        <w:rPr>
          <w:i/>
        </w:rPr>
        <w:t xml:space="preserve">Kanaly v. State ex rel. Janklow</w:t>
      </w:r>
      <w:r>
        <w:t xml:space="preserve">, 368 N.W.2d 819 (S.D. 1985)</w:t>
      </w:r>
      <w:r>
        <w:t xml:space="preserve"> </w:t>
      </w:r>
      <w:r>
        <w:t xml:space="preserve">[@kanaly-1985]</w:t>
      </w:r>
      <w:r>
        <w:t xml:space="preserve">;</w:t>
      </w:r>
      <w:r>
        <w:t xml:space="preserve"> </w:t>
      </w:r>
      <w:r>
        <w:rPr>
          <w:b/>
        </w:rPr>
        <w:t xml:space="preserve">Utah</w:t>
      </w:r>
      <w:r>
        <w:t xml:space="preserve"> </w:t>
      </w:r>
      <w:r>
        <w:t xml:space="preserve">—</w:t>
      </w:r>
      <w:r>
        <w:t xml:space="preserve"> </w:t>
      </w:r>
      <w:r>
        <w:rPr>
          <w:i/>
        </w:rPr>
        <w:t xml:space="preserve">National Parks &amp; Conservation Association v. Board of State Lands</w:t>
      </w:r>
      <w:r>
        <w:t xml:space="preserve">, 869 P.2d 909 (Utah 1993)</w:t>
      </w:r>
      <w:r>
        <w:t xml:space="preserve"> </w:t>
      </w:r>
      <w:r>
        <w:t xml:space="preserve">[@npca-1993]</w:t>
      </w:r>
      <w:r>
        <w:t xml:space="preserve">;</w:t>
      </w:r>
      <w:r>
        <w:t xml:space="preserve"> </w:t>
      </w:r>
      <w:r>
        <w:rPr>
          <w:b/>
        </w:rPr>
        <w:t xml:space="preserve">Washington</w:t>
      </w:r>
      <w:r>
        <w:t xml:space="preserve"> </w:t>
      </w:r>
      <w:r>
        <w:t xml:space="preserve">—</w:t>
      </w:r>
      <w:r>
        <w:t xml:space="preserve"> </w:t>
      </w:r>
      <w:r>
        <w:rPr>
          <w:i/>
        </w:rPr>
        <w:t xml:space="preserve">County of Skamania v. State</w:t>
      </w:r>
      <w:r>
        <w:t xml:space="preserve">, 102 Wn.2d 127, 685 P.2d 576 (1984)</w:t>
      </w:r>
      <w:r>
        <w:t xml:space="preserve"> </w:t>
      </w:r>
      <w:r>
        <w:t xml:space="preserve">[@skamania-1984]</w:t>
      </w:r>
      <w:r>
        <w:t xml:space="preserve">.</w:t>
      </w:r>
    </w:p>
  </w:footnote>
  <w:footnote w:id="580">
    <w:p>
      <w:pPr>
        <w:pStyle w:val="FootnoteText"/>
      </w:pPr>
      <w:r>
        <w:rPr>
          <w:rStyle w:val="FootnoteReference"/>
        </w:rPr>
        <w:footnoteRef/>
      </w:r>
      <w:r>
        <w:t xml:space="preserve"> </w:t>
      </w:r>
      <w:r>
        <w:rPr>
          <w:i/>
        </w:rPr>
        <w:t xml:space="preserve">Illinois Central Railroad Co. v. Illinois</w:t>
      </w:r>
      <w:r>
        <w:t xml:space="preserve">, 146 U.S. 387, 460 (1892)</w:t>
      </w:r>
      <w:r>
        <w:t xml:space="preserve"> </w:t>
      </w:r>
      <w:r>
        <w:t xml:space="preserve">[@illinois-central-1892]</w:t>
      </w:r>
      <w:r>
        <w:t xml:space="preserve"> </w:t>
      </w:r>
      <w:r>
        <w:t xml:space="preserve">(quotation verified against the L0 capture of the full opinion, 2026-06-07). Accord cases applying the no-legislating-away principle specifically through equity’s trustee-supervision jurisdiction not yet collected; see Architecture § C, verification wave 2.</w:t>
      </w:r>
    </w:p>
  </w:footnote>
  <w:footnote w:id="582">
    <w:p>
      <w:pPr>
        <w:pStyle w:val="FootnoteText"/>
      </w:pPr>
      <w:r>
        <w:rPr>
          <w:rStyle w:val="FootnoteReference"/>
        </w:rPr>
        <w:footnoteRef/>
      </w:r>
      <w:r>
        <w:t xml:space="preserve"> </w:t>
      </w:r>
      <w:r>
        <w:rPr>
          <w:i/>
        </w:rPr>
        <w:t xml:space="preserve">Putnam v. Norblad</w:t>
      </w:r>
      <w:r>
        <w:t xml:space="preserve">, 134 Or 433, 440-41 (1930)</w:t>
      </w:r>
      <w:r>
        <w:t xml:space="preserve"> </w:t>
      </w:r>
      <w:r>
        <w:t xml:space="preserve">[@putnam-1930]</w:t>
      </w:r>
      <w:r>
        <w:t xml:space="preserve"> </w:t>
      </w:r>
      <w:r>
        <w:t xml:space="preserve">(quotations verified verbatim against the full L0 opinion, pins set 2026-06-10; the political-question passage spans</w:t>
      </w:r>
      <w:r>
        <w:t xml:space="preserve"> </w:t>
      </w:r>
      <w:r>
        <w:rPr>
          <w:i/>
        </w:rPr>
        <w:t xml:space="preserve">440-41, and the authority it adopts is expressly limited to cases</w:t>
      </w:r>
      <w:r>
        <w:rPr>
          <w:i/>
        </w:rPr>
        <w:t xml:space="preserve"> </w:t>
      </w:r>
      <w:r>
        <w:rPr>
          <w:i/>
        </w:rPr>
        <w:t xml:space="preserve">“</w:t>
      </w:r>
      <w:r>
        <w:rPr>
          <w:i/>
        </w:rPr>
        <w:t xml:space="preserve">when rights of property are not involved,</w:t>
      </w:r>
      <w:r>
        <w:rPr>
          <w:i/>
        </w:rPr>
        <w:t xml:space="preserve">”</w:t>
      </w:r>
      <w:r>
        <w:rPr>
          <w:i/>
        </w:rPr>
        <w:t xml:space="preserve"> </w:t>
      </w:r>
      <w:r>
        <w:t xml:space="preserve">439, quoting</w:t>
      </w:r>
      <w:r>
        <w:t xml:space="preserve"> </w:t>
      </w:r>
      <w:r>
        <w:rPr>
          <w:i/>
        </w:rPr>
        <w:t xml:space="preserve">State ex rel. Taylor v. Lord</w:t>
      </w:r>
      <w:r>
        <w:t xml:space="preserve">). The parallel citation is 293 P. 940 per the Caselaw Access Project volume metadata; the State’s 2026 summary-judgment brief cites</w:t>
      </w:r>
      <w:r>
        <w:t xml:space="preserve"> </w:t>
      </w:r>
      <w:r>
        <w:t xml:space="preserve">“</w:t>
      </w:r>
      <w:r>
        <w:t xml:space="preserve">295 P 949</w:t>
      </w:r>
      <w:r>
        <w:t xml:space="preserve">”</w:t>
      </w:r>
      <w:r>
        <w:t xml:space="preserve"> </w:t>
      </w:r>
      <w:r>
        <w:t xml:space="preserve">[VERIFY against the bound Pacific Reporter].</w:t>
      </w:r>
    </w:p>
  </w:footnote>
  <w:footnote w:id="583">
    <w:p>
      <w:pPr>
        <w:pStyle w:val="FootnoteText"/>
      </w:pPr>
      <w:r>
        <w:rPr>
          <w:rStyle w:val="FootnoteReference"/>
        </w:rPr>
        <w:footnoteRef/>
      </w:r>
      <w:r>
        <w:t xml:space="preserve"> </w:t>
      </w:r>
      <w:r>
        <w:rPr>
          <w:i/>
        </w:rPr>
        <w:t xml:space="preserve">Corpe v. Brooks</w:t>
      </w:r>
      <w:r>
        <w:t xml:space="preserve">, 8 Or 222, 223-24 (1880)</w:t>
      </w:r>
      <w:r>
        <w:t xml:space="preserve"> </w:t>
      </w:r>
      <w:r>
        <w:t xml:space="preserve">[@corpe-1880]</w:t>
      </w:r>
      <w:r>
        <w:t xml:space="preserve"> </w:t>
      </w:r>
      <w:r>
        <w:t xml:space="preserve">(quotations verified verbatim against the L0 capture of the opinion, 2026-06-08:</w:t>
      </w:r>
      <w:r>
        <w:t xml:space="preserve"> </w:t>
      </w:r>
      <w:r>
        <w:t xml:space="preserve">“</w:t>
      </w:r>
      <w:r>
        <w:t xml:space="preserve">exercises its powers independent of the judiciary department</w:t>
      </w:r>
      <w:r>
        <w:t xml:space="preserve">”</w:t>
      </w:r>
      <w:r>
        <w:t xml:space="preserve"> </w:t>
      </w:r>
      <w:r>
        <w:t xml:space="preserve">at 223; the co-ordinate-department sentence at 224).</w:t>
      </w:r>
    </w:p>
  </w:footnote>
  <w:footnote w:id="584">
    <w:p>
      <w:pPr>
        <w:pStyle w:val="FootnoteText"/>
      </w:pPr>
      <w:r>
        <w:rPr>
          <w:rStyle w:val="FootnoteReference"/>
        </w:rPr>
        <w:footnoteRef/>
      </w:r>
      <w:r>
        <w:t xml:space="preserve"> </w:t>
      </w:r>
      <w:r>
        <w:rPr>
          <w:i/>
        </w:rPr>
        <w:t xml:space="preserve">State ex rel. Metropolitan Public Defender Services, Inc. v. Courtney</w:t>
      </w:r>
      <w:r>
        <w:t xml:space="preserve">, 335 Or 236 (2003)</w:t>
      </w:r>
      <w:r>
        <w:t xml:space="preserve"> </w:t>
      </w:r>
      <w:r>
        <w:t xml:space="preserve">[@courtney-2003]</w:t>
      </w:r>
      <w:r>
        <w:t xml:space="preserve"> </w:t>
      </w:r>
      <w:r>
        <w:t xml:space="preserve">(modern Oregon separation-of-powers / inherent-power limits; the</w:t>
      </w:r>
      <w:r>
        <w:t xml:space="preserve"> </w:t>
      </w:r>
      <w:r>
        <w:t xml:space="preserve">“</w:t>
      </w:r>
      <w:r>
        <w:t xml:space="preserve">unduly burden or substantially interfere</w:t>
      </w:r>
      <w:r>
        <w:t xml:space="preserve">”</w:t>
      </w:r>
      <w:r>
        <w:t xml:space="preserve"> </w:t>
      </w:r>
      <w:r>
        <w:t xml:space="preserve">standard). Verified against the L0 primary June 9, 2026.</w:t>
      </w:r>
      <w:r>
        <w:t xml:space="preserve"> </w:t>
      </w:r>
      <w:r>
        <w:rPr>
          <w:i/>
        </w:rPr>
        <w:t xml:space="preserve">Rooney v. Kulongoski</w:t>
      </w:r>
      <w:r>
        <w:t xml:space="preserve">, 322 Or 15, 28 (1995)</w:t>
      </w:r>
      <w:r>
        <w:t xml:space="preserve"> </w:t>
      </w:r>
      <w:r>
        <w:t xml:space="preserve">[@rooney-kulongoski]</w:t>
      </w:r>
      <w:r>
        <w:t xml:space="preserve"> </w:t>
      </w:r>
      <w:r>
        <w:t xml:space="preserve">(cited for the requirement that a separation-of-powers violation be</w:t>
      </w:r>
      <w:r>
        <w:t xml:space="preserve"> </w:t>
      </w:r>
      <w:r>
        <w:t xml:space="preserve">“</w:t>
      </w:r>
      <w:r>
        <w:t xml:space="preserve">clear</w:t>
      </w:r>
      <w:r>
        <w:t xml:space="preserve">”</w:t>
      </w:r>
      <w:r>
        <w:t xml:space="preserve">; verified verbatim against the L0 primary 2026-06-09 – the opinion at 28 states that</w:t>
      </w:r>
      <w:r>
        <w:t xml:space="preserve"> </w:t>
      </w:r>
      <w:r>
        <w:t xml:space="preserve">“</w:t>
      </w:r>
      <w:r>
        <w:t xml:space="preserve">a violation of separation of powers may be found only if the problem is clear,</w:t>
      </w:r>
      <w:r>
        <w:t xml:space="preserve">”</w:t>
      </w:r>
      <w:r>
        <w:t xml:space="preserve"> </w:t>
      </w:r>
      <w:r>
        <w:t xml:space="preserve">citing</w:t>
      </w:r>
      <w:r>
        <w:t xml:space="preserve"> </w:t>
      </w:r>
      <w:r>
        <w:rPr>
          <w:i/>
        </w:rPr>
        <w:t xml:space="preserve">State ex rel. Emerald PUD v. Joseph</w:t>
      </w:r>
      <w:r>
        <w:t xml:space="preserve">, 292 Or 357, 361 (1982)).</w:t>
      </w:r>
    </w:p>
  </w:footnote>
  <w:footnote w:id="585">
    <w:p>
      <w:pPr>
        <w:pStyle w:val="FootnoteText"/>
      </w:pPr>
      <w:r>
        <w:rPr>
          <w:rStyle w:val="FootnoteReference"/>
        </w:rPr>
        <w:footnoteRef/>
      </w:r>
      <w:r>
        <w:t xml:space="preserve"> </w:t>
      </w:r>
      <w:r>
        <w:rPr>
          <w:i/>
        </w:rPr>
        <w:t xml:space="preserve">Johnson v. Department of Revenue</w:t>
      </w:r>
      <w:r>
        <w:t xml:space="preserve">, 292 Or 373, 382 (1982)</w:t>
      </w:r>
      <w:r>
        <w:t xml:space="preserve"> </w:t>
      </w:r>
      <w:r>
        <w:t xml:space="preserve">[@johnson-1982]</w:t>
      </w:r>
      <w:r>
        <w:t xml:space="preserve">;</w:t>
      </w:r>
      <w:r>
        <w:t xml:space="preserve"> </w:t>
      </w:r>
      <w:r>
        <w:rPr>
          <w:i/>
        </w:rPr>
        <w:t xml:space="preserve">Cascadia Wildlands v. Department of State Lands</w:t>
      </w:r>
      <w:r>
        <w:t xml:space="preserve">, 365 Or 750, 765-66 (2019)</w:t>
      </w:r>
      <w:r>
        <w:t xml:space="preserve"> </w:t>
      </w:r>
      <w:r>
        <w:t xml:space="preserve">[@cascadia-2019]</w:t>
      </w:r>
      <w:r>
        <w:t xml:space="preserve">. Both quotations verified verbatim against the full L0 opinions, pins confirmed 2026-06-10 (the</w:t>
      </w:r>
      <w:r>
        <w:t xml:space="preserve"> </w:t>
      </w:r>
      <w:r>
        <w:rPr>
          <w:i/>
        </w:rPr>
        <w:t xml:space="preserve">Johnson</w:t>
      </w:r>
      <w:r>
        <w:t xml:space="preserve"> </w:t>
      </w:r>
      <w:r>
        <w:t xml:space="preserve">blockquote sits at</w:t>
      </w:r>
      <w:r>
        <w:t xml:space="preserve"> </w:t>
      </w:r>
      <w:r>
        <w:rPr>
          <w:i/>
        </w:rPr>
        <w:t xml:space="preserve">764 of</w:t>
      </w:r>
      <w:r>
        <w:rPr>
          <w:i/>
        </w:rPr>
        <w:t xml:space="preserve"> </w:t>
      </w:r>
      <w:r>
        <w:t xml:space="preserve">Cascadia</w:t>
      </w:r>
      <w:r>
        <w:rPr>
          <w:i/>
        </w:rPr>
        <w:t xml:space="preserve">; the core-function and greatest-benefit passages at</w:t>
      </w:r>
      <w:r>
        <w:rPr>
          <w:i/>
        </w:rPr>
        <w:t xml:space="preserve"> </w:t>
      </w:r>
      <w:r>
        <w:t xml:space="preserve">765-66).</w:t>
      </w:r>
    </w:p>
  </w:footnote>
  <w:footnote w:id="586">
    <w:p>
      <w:pPr>
        <w:pStyle w:val="FootnoteText"/>
      </w:pPr>
      <w:r>
        <w:rPr>
          <w:rStyle w:val="FootnoteReference"/>
        </w:rPr>
        <w:footnoteRef/>
      </w:r>
      <w:r>
        <w:t xml:space="preserve"> </w:t>
      </w:r>
      <w:r>
        <w:rPr>
          <w:b/>
        </w:rPr>
        <w:t xml:space="preserve">Colorado (federal)</w:t>
      </w:r>
      <w:r>
        <w:t xml:space="preserve"> </w:t>
      </w:r>
      <w:r>
        <w:t xml:space="preserve">—</w:t>
      </w:r>
      <w:r>
        <w:t xml:space="preserve"> </w:t>
      </w:r>
      <w:r>
        <w:rPr>
          <w:i/>
        </w:rPr>
        <w:t xml:space="preserve">Branson School District RE-82 v. Romer</w:t>
      </w:r>
      <w:r>
        <w:t xml:space="preserve">, 161 F.3d 619 (10th Cir. 1998)</w:t>
      </w:r>
      <w:r>
        <w:t xml:space="preserve"> </w:t>
      </w:r>
      <w:r>
        <w:t xml:space="preserve">[@branson-1998]</w:t>
      </w:r>
      <w:r>
        <w:t xml:space="preserve">;</w:t>
      </w:r>
      <w:r>
        <w:t xml:space="preserve"> </w:t>
      </w:r>
      <w:r>
        <w:rPr>
          <w:b/>
        </w:rPr>
        <w:t xml:space="preserve">Montana</w:t>
      </w:r>
      <w:r>
        <w:t xml:space="preserve"> </w:t>
      </w:r>
      <w:r>
        <w:t xml:space="preserve">—</w:t>
      </w:r>
      <w:r>
        <w:t xml:space="preserve"> </w:t>
      </w:r>
      <w:r>
        <w:rPr>
          <w:i/>
        </w:rPr>
        <w:t xml:space="preserve">Montanans for the Responsible Use of the School Trust v. Darkenwald</w:t>
      </w:r>
      <w:r>
        <w:t xml:space="preserve">, 2005 MT 190, 328 Mont. 105</w:t>
      </w:r>
      <w:r>
        <w:t xml:space="preserve"> </w:t>
      </w:r>
      <w:r>
        <w:t xml:space="preserve">[@darkenwald-2005]</w:t>
      </w:r>
      <w:r>
        <w:t xml:space="preserve">. Both are merits decisions; see § 16.4(d) for why that matters here.</w:t>
      </w:r>
    </w:p>
  </w:footnote>
  <w:footnote w:id="587">
    <w:p>
      <w:pPr>
        <w:pStyle w:val="FootnoteText"/>
      </w:pPr>
      <w:r>
        <w:rPr>
          <w:rStyle w:val="FootnoteReference"/>
        </w:rPr>
        <w:footnoteRef/>
      </w:r>
      <w:r>
        <w:t xml:space="preserve"> </w:t>
      </w:r>
      <w:r>
        <w:t xml:space="preserve">Positions per the public filings in</w:t>
      </w:r>
      <w:r>
        <w:t xml:space="preserve"> </w:t>
      </w:r>
      <w:r>
        <w:rPr>
          <w:i/>
        </w:rPr>
        <w:t xml:space="preserve">Siuslaw School District 97J v. State of Oregon</w:t>
      </w:r>
      <w:r>
        <w:t xml:space="preserve">, Coos County Circuit Court No. 24CV38372</w:t>
      </w:r>
      <w:r>
        <w:t xml:space="preserve"> </w:t>
      </w:r>
      <w:r>
        <w:t xml:space="preserve">[@siuslaw-24cv38372]</w:t>
      </w:r>
      <w:r>
        <w:t xml:space="preserve">: Defendants’ Motion for Summary Judgment (May 13, 2026), Part IV.D; Plaintiffs’ Response and Cross-Motion for Partial Summary Judgment (May 29, 2026).</w:t>
      </w:r>
    </w:p>
  </w:footnote>
  <w:footnote w:id="589">
    <w:p>
      <w:pPr>
        <w:pStyle w:val="FootnoteText"/>
      </w:pPr>
      <w:r>
        <w:rPr>
          <w:rStyle w:val="FootnoteReference"/>
        </w:rPr>
        <w:footnoteRef/>
      </w:r>
      <w:r>
        <w:t xml:space="preserve"> </w:t>
      </w:r>
      <w:r>
        <w:rPr>
          <w:i/>
        </w:rPr>
        <w:t xml:space="preserve">Putnam v. Norblad</w:t>
      </w:r>
      <w:r>
        <w:t xml:space="preserve">, 134 Or 433, 441 (1930)</w:t>
      </w:r>
      <w:r>
        <w:t xml:space="preserve"> </w:t>
      </w:r>
      <w:r>
        <w:t xml:space="preserve">[@putnam-1930]</w:t>
      </w:r>
      <w:r>
        <w:t xml:space="preserve"> </w:t>
      </w:r>
      <w:r>
        <w:t xml:space="preserve">(the ministerial-duty passage verified verbatim against the full L0 opinion and pinned at *441, 2026-06-10).</w:t>
      </w:r>
    </w:p>
  </w:footnote>
  <w:footnote w:id="590">
    <w:p>
      <w:pPr>
        <w:pStyle w:val="FootnoteText"/>
      </w:pPr>
      <w:r>
        <w:rPr>
          <w:rStyle w:val="FootnoteReference"/>
        </w:rPr>
        <w:footnoteRef/>
      </w:r>
      <w:r>
        <w:t xml:space="preserve"> </w:t>
      </w:r>
      <w:r>
        <w:t xml:space="preserve">The Oregon merits line:</w:t>
      </w:r>
      <w:r>
        <w:t xml:space="preserve"> </w:t>
      </w:r>
      <w:r>
        <w:rPr>
          <w:i/>
        </w:rPr>
        <w:t xml:space="preserve">State Land Board v. Lee</w:t>
      </w:r>
      <w:r>
        <w:t xml:space="preserve">, 84 Or 431 (1917)</w:t>
      </w:r>
      <w:r>
        <w:t xml:space="preserve"> </w:t>
      </w:r>
      <w:r>
        <w:t xml:space="preserve">[@lee-1917]</w:t>
      </w:r>
      <w:r>
        <w:t xml:space="preserve">;</w:t>
      </w:r>
      <w:r>
        <w:t xml:space="preserve"> </w:t>
      </w:r>
      <w:r>
        <w:rPr>
          <w:i/>
        </w:rPr>
        <w:t xml:space="preserve">Grand Prize Hydraulic Mines v. Boswell</w:t>
      </w:r>
      <w:r>
        <w:t xml:space="preserve">, 83 Or 1 (1917)</w:t>
      </w:r>
      <w:r>
        <w:t xml:space="preserve"> </w:t>
      </w:r>
      <w:r>
        <w:t xml:space="preserve">[@grand-prize-1917]</w:t>
      </w:r>
      <w:r>
        <w:t xml:space="preserve">;</w:t>
      </w:r>
      <w:r>
        <w:t xml:space="preserve"> </w:t>
      </w:r>
      <w:r>
        <w:rPr>
          <w:i/>
        </w:rPr>
        <w:t xml:space="preserve">Eagle Point</w:t>
      </w:r>
      <w:r>
        <w:t xml:space="preserve">, 137 Or 121 (1931)</w:t>
      </w:r>
      <w:r>
        <w:t xml:space="preserve"> </w:t>
      </w:r>
      <w:r>
        <w:t xml:space="preserve">[@eagle-point-1931]</w:t>
      </w:r>
      <w:r>
        <w:t xml:space="preserve">;</w:t>
      </w:r>
      <w:r>
        <w:t xml:space="preserve"> </w:t>
      </w:r>
      <w:r>
        <w:rPr>
          <w:i/>
        </w:rPr>
        <w:t xml:space="preserve">Johnson</w:t>
      </w:r>
      <w:r>
        <w:t xml:space="preserve">, 292 Or 373 (1982)</w:t>
      </w:r>
      <w:r>
        <w:t xml:space="preserve"> </w:t>
      </w:r>
      <w:r>
        <w:t xml:space="preserve">[@johnson-1982]</w:t>
      </w:r>
      <w:r>
        <w:t xml:space="preserve">;</w:t>
      </w:r>
      <w:r>
        <w:t xml:space="preserve"> </w:t>
      </w:r>
      <w:r>
        <w:rPr>
          <w:i/>
        </w:rPr>
        <w:t xml:space="preserve">Cascadia Wildlands</w:t>
      </w:r>
      <w:r>
        <w:t xml:space="preserve">, 365 Or 750 (2019)</w:t>
      </w:r>
      <w:r>
        <w:t xml:space="preserve"> </w:t>
      </w:r>
      <w:r>
        <w:t xml:space="preserve">[@cascadia-2019]</w:t>
      </w:r>
      <w:r>
        <w:t xml:space="preserve">. None abstained.</w:t>
      </w:r>
    </w:p>
  </w:footnote>
  <w:footnote w:id="591">
    <w:p>
      <w:pPr>
        <w:pStyle w:val="FootnoteText"/>
      </w:pPr>
      <w:r>
        <w:rPr>
          <w:rStyle w:val="FootnoteReference"/>
        </w:rPr>
        <w:footnoteRef/>
      </w:r>
      <w:r>
        <w:t xml:space="preserve"> </w:t>
      </w:r>
      <w:r>
        <w:rPr>
          <w:i/>
        </w:rPr>
        <w:t xml:space="preserve">Couey v. Atkins</w:t>
      </w:r>
      <w:r>
        <w:t xml:space="preserve">, 357 Or 460 (2015)</w:t>
      </w:r>
      <w:r>
        <w:t xml:space="preserve"> </w:t>
      </w:r>
      <w:r>
        <w:t xml:space="preserve">[@couey-2015]</w:t>
      </w:r>
      <w:r>
        <w:t xml:space="preserve"> </w:t>
      </w:r>
      <w:r>
        <w:t xml:space="preserve">(an initiative-petition mootness case, not a school-trust case: ORS 14.175 held validly enacted, and the</w:t>
      </w:r>
      <w:r>
        <w:t xml:space="preserve"> </w:t>
      </w:r>
      <w:r>
        <w:t xml:space="preserve">“</w:t>
      </w:r>
      <w:r>
        <w:t xml:space="preserve">judicial power</w:t>
      </w:r>
      <w:r>
        <w:t xml:space="preserve">”</w:t>
      </w:r>
      <w:r>
        <w:t xml:space="preserve"> </w:t>
      </w:r>
      <w:r>
        <w:t xml:space="preserve">clause held to impose no Article III-style justiciability limits, disavowing</w:t>
      </w:r>
      <w:r>
        <w:t xml:space="preserve"> </w:t>
      </w:r>
      <w:r>
        <w:rPr>
          <w:i/>
        </w:rPr>
        <w:t xml:space="preserve">Yancy v. Shatzer</w:t>
      </w:r>
      <w:r>
        <w:t xml:space="preserve"> </w:t>
      </w:r>
      <w:r>
        <w:t xml:space="preserve">— characterization corrected against the full opinion, 2026-06-10). Accord modern-justiciability cases from other trust states not yet collected; see Architecture § C, verification wave 2.</w:t>
      </w:r>
    </w:p>
  </w:footnote>
  <w:footnote w:id="592">
    <w:p>
      <w:pPr>
        <w:pStyle w:val="FootnoteText"/>
      </w:pPr>
      <w:r>
        <w:rPr>
          <w:rStyle w:val="FootnoteReference"/>
        </w:rPr>
        <w:footnoteRef/>
      </w:r>
      <w:r>
        <w:t xml:space="preserve"> </w:t>
      </w:r>
      <w:r>
        <w:rPr>
          <w:i/>
        </w:rPr>
        <w:t xml:space="preserve">Marbury v. Madison</w:t>
      </w:r>
      <w:r>
        <w:t xml:space="preserve">, 5 U.S. (1 Cranch) 137, 177 (1803)</w:t>
      </w:r>
      <w:r>
        <w:t xml:space="preserve"> </w:t>
      </w:r>
      <w:r>
        <w:t xml:space="preserve">[@marbury-1803]</w:t>
      </w:r>
      <w:r>
        <w:t xml:space="preserve"> </w:t>
      </w:r>
      <w:r>
        <w:t xml:space="preserve">(quotation verified against the L0 capture of the full opinion, 2026-06-07; the Oregon Supreme Court quotes the same passage, with added commas, in</w:t>
      </w:r>
      <w:r>
        <w:t xml:space="preserve"> </w:t>
      </w:r>
      <w:r>
        <w:rPr>
          <w:i/>
        </w:rPr>
        <w:t xml:space="preserve">Pendleton School District 16R v. State</w:t>
      </w:r>
      <w:r>
        <w:t xml:space="preserve">, 345 Or 596 (2009)</w:t>
      </w:r>
      <w:r>
        <w:t xml:space="preserve"> </w:t>
      </w:r>
      <w:r>
        <w:t xml:space="preserve">[@pendleton-2009]</w:t>
      </w:r>
      <w:r>
        <w:t xml:space="preserve">).</w:t>
      </w:r>
    </w:p>
  </w:footnote>
  <w:footnote w:id="593">
    <w:p>
      <w:pPr>
        <w:pStyle w:val="FootnoteText"/>
      </w:pPr>
      <w:r>
        <w:rPr>
          <w:rStyle w:val="FootnoteReference"/>
        </w:rPr>
        <w:footnoteRef/>
      </w:r>
      <w:r>
        <w:t xml:space="preserve"> </w:t>
      </w:r>
      <w:r>
        <w:rPr>
          <w:b/>
        </w:rPr>
        <w:t xml:space="preserve">Montana</w:t>
      </w:r>
      <w:r>
        <w:t xml:space="preserve"> </w:t>
      </w:r>
      <w:r>
        <w:t xml:space="preserve">—</w:t>
      </w:r>
      <w:r>
        <w:t xml:space="preserve"> </w:t>
      </w:r>
      <w:r>
        <w:rPr>
          <w:i/>
        </w:rPr>
        <w:t xml:space="preserve">Montrust</w:t>
      </w:r>
      <w:r>
        <w:t xml:space="preserve">, 1999 MT 263</w:t>
      </w:r>
      <w:r>
        <w:t xml:space="preserve"> </w:t>
      </w:r>
      <w:r>
        <w:t xml:space="preserve">[@montrust-1999]</w:t>
      </w:r>
      <w:r>
        <w:t xml:space="preserve">;</w:t>
      </w:r>
      <w:r>
        <w:t xml:space="preserve"> </w:t>
      </w:r>
      <w:r>
        <w:rPr>
          <w:b/>
        </w:rPr>
        <w:t xml:space="preserve">Nebraska</w:t>
      </w:r>
      <w:r>
        <w:t xml:space="preserve"> </w:t>
      </w:r>
      <w:r>
        <w:t xml:space="preserve">—</w:t>
      </w:r>
      <w:r>
        <w:t xml:space="preserve"> </w:t>
      </w:r>
      <w:r>
        <w:rPr>
          <w:i/>
        </w:rPr>
        <w:t xml:space="preserve">Ebke</w:t>
      </w:r>
      <w:r>
        <w:t xml:space="preserve">, 154 Neb. 244 (1951)</w:t>
      </w:r>
      <w:r>
        <w:t xml:space="preserve"> </w:t>
      </w:r>
      <w:r>
        <w:t xml:space="preserve">[@ebke-1951]</w:t>
      </w:r>
      <w:r>
        <w:t xml:space="preserve">;</w:t>
      </w:r>
      <w:r>
        <w:t xml:space="preserve"> </w:t>
      </w:r>
      <w:r>
        <w:rPr>
          <w:b/>
        </w:rPr>
        <w:t xml:space="preserve">Oklahoma</w:t>
      </w:r>
      <w:r>
        <w:t xml:space="preserve"> </w:t>
      </w:r>
      <w:r>
        <w:t xml:space="preserve">—</w:t>
      </w:r>
      <w:r>
        <w:t xml:space="preserve"> </w:t>
      </w:r>
      <w:r>
        <w:rPr>
          <w:i/>
        </w:rPr>
        <w:t xml:space="preserve">Nigh</w:t>
      </w:r>
      <w:r>
        <w:t xml:space="preserve">, 642 P.2d 230 (Okla. 1982)</w:t>
      </w:r>
      <w:r>
        <w:t xml:space="preserve"> </w:t>
      </w:r>
      <w:r>
        <w:t xml:space="preserve">[@nigh-1982]</w:t>
      </w:r>
      <w:r>
        <w:t xml:space="preserve"> </w:t>
      </w:r>
      <w:r>
        <w:t xml:space="preserve">(</w:t>
      </w:r>
      <w:r>
        <w:t xml:space="preserve">“</w:t>
      </w:r>
      <w:r>
        <w:t xml:space="preserve">No Act of the Legislature can validly alter, modify or diminish the State’s duty as Trustee of the school land trust . . . .</w:t>
      </w:r>
      <w:r>
        <w:t xml:space="preserve">”</w:t>
      </w:r>
      <w:r>
        <w:t xml:space="preserve">).</w:t>
      </w:r>
    </w:p>
  </w:footnote>
  <w:footnote w:id="595">
    <w:p>
      <w:pPr>
        <w:pStyle w:val="FootnoteText"/>
      </w:pPr>
      <w:r>
        <w:rPr>
          <w:rStyle w:val="FootnoteReference"/>
        </w:rPr>
        <w:footnoteRef/>
      </w:r>
      <w:r>
        <w:t xml:space="preserve"> </w:t>
      </w:r>
      <w:r>
        <w:rPr>
          <w:i/>
        </w:rPr>
        <w:t xml:space="preserve">Pendleton School District 16R v. State</w:t>
      </w:r>
      <w:r>
        <w:t xml:space="preserve">, 345 Or 596, 610 (2009)</w:t>
      </w:r>
      <w:r>
        <w:t xml:space="preserve"> </w:t>
      </w:r>
      <w:r>
        <w:t xml:space="preserve">[@pendleton-2009]</w:t>
      </w:r>
      <w:r>
        <w:t xml:space="preserve"> </w:t>
      </w:r>
      <w:r>
        <w:t xml:space="preserve">(quotation verified verbatim against the full L0 opinion and pinned at</w:t>
      </w:r>
      <w:r>
        <w:t xml:space="preserve"> </w:t>
      </w:r>
      <w:r>
        <w:rPr>
          <w:i/>
        </w:rPr>
        <w:t xml:space="preserve">610, 2026-06-10; the</w:t>
      </w:r>
      <w:r>
        <w:rPr>
          <w:i/>
        </w:rPr>
        <w:t xml:space="preserve"> </w:t>
      </w:r>
      <w:r>
        <w:t xml:space="preserve">Marbury* passage sits at *609).</w:t>
      </w:r>
    </w:p>
  </w:footnote>
  <w:footnote w:id="596">
    <w:p>
      <w:pPr>
        <w:pStyle w:val="FootnoteText"/>
      </w:pPr>
      <w:r>
        <w:rPr>
          <w:rStyle w:val="FootnoteReference"/>
        </w:rPr>
        <w:footnoteRef/>
      </w:r>
      <w:r>
        <w:t xml:space="preserve"> </w:t>
      </w:r>
      <w:r>
        <w:rPr>
          <w:i/>
        </w:rPr>
        <w:t xml:space="preserve">Central Oregon Irrigation District v. Deschutes County</w:t>
      </w:r>
      <w:r>
        <w:t xml:space="preserve">, 168 Or 493, 507 (1942)</w:t>
      </w:r>
      <w:r>
        <w:t xml:space="preserve"> </w:t>
      </w:r>
      <w:r>
        <w:t xml:space="preserve">[@cent-or-irr-1942]</w:t>
      </w:r>
      <w:r>
        <w:t xml:space="preserve"> </w:t>
      </w:r>
      <w:r>
        <w:t xml:space="preserve">(a demurrer to an application for declaratory judgment must be overruled, and the court must proceed to enter a declaration of the parties’ rights, where the application states a justiciable controversy even though the plaintiff is entitled to no relief). Holding verified against the L0 primary June 9, 2026: the opinion does</w:t>
      </w:r>
      <w:r>
        <w:t xml:space="preserve"> </w:t>
      </w:r>
      <w:r>
        <w:rPr>
          <w:b/>
        </w:rPr>
        <w:t xml:space="preserve">not</w:t>
      </w:r>
      <w:r>
        <w:t xml:space="preserve"> </w:t>
      </w:r>
      <w:r>
        <w:t xml:space="preserve">contain the phrase</w:t>
      </w:r>
      <w:r>
        <w:t xml:space="preserve"> </w:t>
      </w:r>
      <w:r>
        <w:t xml:space="preserve">“</w:t>
      </w:r>
      <w:r>
        <w:t xml:space="preserve">appropriate declarations</w:t>
      </w:r>
      <w:r>
        <w:t xml:space="preserve">”</w:t>
      </w:r>
      <w:r>
        <w:t xml:space="preserve"> </w:t>
      </w:r>
      <w:r>
        <w:t xml:space="preserve">(de-quoted to paraphrase), and</w:t>
      </w:r>
      <w:r>
        <w:t xml:space="preserve"> </w:t>
      </w:r>
      <w:r>
        <w:rPr>
          <w:i/>
        </w:rPr>
        <w:t xml:space="preserve">Bishop v. KC Development Group, LLC</w:t>
      </w:r>
      <w:r>
        <w:t xml:space="preserve">, 300 Or App 584 (2019), is removed from this accord — it dismissed the appeal as moot and addresses when a declaratory action becomes moot, not the court’s duty to declare.</w:t>
      </w:r>
    </w:p>
  </w:footnote>
  <w:footnote w:id="597">
    <w:p>
      <w:pPr>
        <w:pStyle w:val="FootnoteText"/>
      </w:pPr>
      <w:r>
        <w:rPr>
          <w:rStyle w:val="FootnoteReference"/>
        </w:rPr>
        <w:footnoteRef/>
      </w:r>
      <w:r>
        <w:t xml:space="preserve"> </w:t>
      </w:r>
      <w:r>
        <w:rPr>
          <w:i/>
        </w:rPr>
        <w:t xml:space="preserve">North Carolina School Boards Association v. Moore</w:t>
      </w:r>
      <w:r>
        <w:t xml:space="preserve">, 359 N.C. 474, 512, 614 S.E.2d 504 (2005)</w:t>
      </w:r>
      <w:r>
        <w:t xml:space="preserve"> </w:t>
      </w:r>
      <w:r>
        <w:t xml:space="preserve">[@nc-school-boards-2005]</w:t>
      </w:r>
      <w:r>
        <w:t xml:space="preserve"> </w:t>
      </w:r>
      <w:r>
        <w:t xml:space="preserve">(</w:t>
      </w:r>
      <w:r>
        <w:t xml:space="preserve">“</w:t>
      </w:r>
      <w:r>
        <w:t xml:space="preserve">Article IX, Section 7 of our state constitution, applicable to this litigation, does not fall into the category of self-executing provisions.</w:t>
      </w:r>
      <w:r>
        <w:t xml:space="preserve">”</w:t>
      </w:r>
      <w:r>
        <w:t xml:space="preserve">; verified against the L0 capture of the full opinion, 2026-06-07). North Carolina is not a trust-lands state; the case is cited for the enforcement-design lesson, not as trust doctrine.</w:t>
      </w:r>
    </w:p>
  </w:footnote>
  <w:footnote w:id="598">
    <w:p>
      <w:pPr>
        <w:pStyle w:val="FootnoteText"/>
      </w:pPr>
      <w:r>
        <w:rPr>
          <w:rStyle w:val="FootnoteReference"/>
        </w:rPr>
        <w:footnoteRef/>
      </w:r>
      <w:r>
        <w:t xml:space="preserve"> </w:t>
      </w:r>
      <w:r>
        <w:rPr>
          <w:i/>
        </w:rPr>
        <w:t xml:space="preserve">Siuslaw School District 97J v. State of Oregon</w:t>
      </w:r>
      <w:r>
        <w:t xml:space="preserve">, No. 24CV38372</w:t>
      </w:r>
      <w:r>
        <w:t xml:space="preserve"> </w:t>
      </w:r>
      <w:r>
        <w:t xml:space="preserve">[@siuslaw-24cv38372]</w:t>
      </w:r>
      <w:r>
        <w:t xml:space="preserve">; the</w:t>
      </w:r>
      <w:r>
        <w:t xml:space="preserve"> </w:t>
      </w:r>
      <w:r>
        <w:rPr>
          <w:i/>
        </w:rPr>
        <w:t xml:space="preserve">Pendleton</w:t>
      </w:r>
      <w:r>
        <w:t xml:space="preserve"> </w:t>
      </w:r>
      <w:r>
        <w:t xml:space="preserve">co-plaintiff fact is a matter of public court records carried in the project’s research files [VERIFY against the caption lists of the two cases before publication].</w:t>
      </w:r>
    </w:p>
  </w:footnote>
  <w:footnote w:id="600">
    <w:p>
      <w:pPr>
        <w:pStyle w:val="FootnoteText"/>
      </w:pPr>
      <w:r>
        <w:rPr>
          <w:rStyle w:val="FootnoteReference"/>
        </w:rPr>
        <w:footnoteRef/>
      </w:r>
      <w:r>
        <w:t xml:space="preserve"> </w:t>
      </w:r>
      <w:r>
        <w:t xml:space="preserve">See § 16.4(a) and the authorities collected there.</w:t>
      </w:r>
    </w:p>
  </w:footnote>
  <w:footnote w:id="601">
    <w:p>
      <w:pPr>
        <w:pStyle w:val="FootnoteText"/>
      </w:pPr>
      <w:r>
        <w:rPr>
          <w:rStyle w:val="FootnoteReference"/>
        </w:rPr>
        <w:footnoteRef/>
      </w:r>
      <w:r>
        <w:t xml:space="preserve"> </w:t>
      </w:r>
      <w:r>
        <w:t xml:space="preserve">See the state-by-state merits collection at § 16.2 (the master collection for this proposition).</w:t>
      </w:r>
    </w:p>
  </w:footnote>
  <w:footnote w:id="605">
    <w:p>
      <w:pPr>
        <w:pStyle w:val="FootnoteText"/>
      </w:pPr>
      <w:r>
        <w:rPr>
          <w:rStyle w:val="FootnoteReference"/>
        </w:rPr>
        <w:footnoteRef/>
      </w:r>
      <w:r>
        <w:t xml:space="preserve"> </w:t>
      </w:r>
      <w:r>
        <w:t xml:space="preserve">ORS 30.260(8) (definition of</w:t>
      </w:r>
      <w:r>
        <w:t xml:space="preserve"> </w:t>
      </w:r>
      <w:r>
        <w:t xml:space="preserve">“</w:t>
      </w:r>
      <w:r>
        <w:t xml:space="preserve">tort</w:t>
      </w:r>
      <w:r>
        <w:t xml:space="preserve">”</w:t>
      </w:r>
      <w:r>
        <w:t xml:space="preserve">); ORS 30.275 (notice of claim; 180 days in the ordinary case); ORS 30.265 (scope of liability; substitution of the public body); ORS 30.271–30.273 (damage limitations)</w:t>
      </w:r>
      <w:r>
        <w:t xml:space="preserve"> </w:t>
      </w:r>
      <w:r>
        <w:t xml:space="preserve">[@act-ors30-otca]</w:t>
      </w:r>
      <w:r>
        <w:t xml:space="preserve">. [VERIFY the subsection-by-subsection mapping against the current statutory text — the structural description was first assembled from the 24CV38372 briefing record and should rest on the statute directly.]</w:t>
      </w:r>
    </w:p>
  </w:footnote>
  <w:footnote w:id="606">
    <w:p>
      <w:pPr>
        <w:pStyle w:val="FootnoteText"/>
      </w:pPr>
      <w:r>
        <w:rPr>
          <w:rStyle w:val="FootnoteReference"/>
        </w:rPr>
        <w:footnoteRef/>
      </w:r>
      <w:r>
        <w:t xml:space="preserve"> </w:t>
      </w:r>
      <w:r>
        <w:rPr>
          <w:i/>
        </w:rPr>
        <w:t xml:space="preserve">Anderson v. Department of Revenue</w:t>
      </w:r>
      <w:r>
        <w:t xml:space="preserve">, 313 Or 1 (1992)</w:t>
      </w:r>
      <w:r>
        <w:t xml:space="preserve"> </w:t>
      </w:r>
      <w:r>
        <w:t xml:space="preserve">[@anderson-1992]</w:t>
      </w:r>
      <w:r>
        <w:t xml:space="preserve">;</w:t>
      </w:r>
      <w:r>
        <w:t xml:space="preserve"> </w:t>
      </w:r>
      <w:r>
        <w:rPr>
          <w:i/>
        </w:rPr>
        <w:t xml:space="preserve">James &amp; Yost, Inc. v. State Board of Higher Education</w:t>
      </w:r>
      <w:r>
        <w:t xml:space="preserve">, 216 Or 598 (1959)</w:t>
      </w:r>
      <w:r>
        <w:t xml:space="preserve"> </w:t>
      </w:r>
      <w:r>
        <w:t xml:space="preserve">[@james-yost-1959]</w:t>
      </w:r>
      <w:r>
        <w:t xml:space="preserve"> </w:t>
      </w:r>
      <w:r>
        <w:t xml:space="preserve">(the standard Oregon waiver-doctrine citations). Parallel sovereign-immunity frameworks in the other trust states not yet collected; see Architecture § C, verification wave 2.</w:t>
      </w:r>
    </w:p>
  </w:footnote>
  <w:footnote w:id="607">
    <w:p>
      <w:pPr>
        <w:pStyle w:val="FootnoteText"/>
      </w:pPr>
      <w:r>
        <w:rPr>
          <w:rStyle w:val="FootnoteReference"/>
        </w:rPr>
        <w:footnoteRef/>
      </w:r>
      <w:r>
        <w:t xml:space="preserve"> </w:t>
      </w:r>
      <w:r>
        <w:t xml:space="preserve">Lead case:</w:t>
      </w:r>
      <w:r>
        <w:t xml:space="preserve"> </w:t>
      </w:r>
      <w:r>
        <w:rPr>
          <w:i/>
        </w:rPr>
        <w:t xml:space="preserve">Miller v. Grants Pass Irrigation District</w:t>
      </w:r>
      <w:r>
        <w:t xml:space="preserve">, 297 Or 312 (1984)</w:t>
      </w:r>
      <w:r>
        <w:t xml:space="preserve"> </w:t>
      </w:r>
      <w:r>
        <w:t xml:space="preserve">[@miller-grants-pass-1984]</w:t>
      </w:r>
      <w:r>
        <w:t xml:space="preserve">. The applied line includes</w:t>
      </w:r>
      <w:r>
        <w:t xml:space="preserve"> </w:t>
      </w:r>
      <w:r>
        <w:rPr>
          <w:i/>
        </w:rPr>
        <w:t xml:space="preserve">Pritchard v. City of Portland</w:t>
      </w:r>
      <w:r>
        <w:t xml:space="preserve">, 310 Or 235 (1990)</w:t>
      </w:r>
      <w:r>
        <w:t xml:space="preserve"> </w:t>
      </w:r>
      <w:r>
        <w:t xml:space="preserve">[@pritchard-1990]</w:t>
      </w:r>
      <w:r>
        <w:t xml:space="preserve">;</w:t>
      </w:r>
      <w:r>
        <w:t xml:space="preserve"> </w:t>
      </w:r>
      <w:r>
        <w:rPr>
          <w:i/>
        </w:rPr>
        <w:t xml:space="preserve">Lowrimore v. Dimmitt</w:t>
      </w:r>
      <w:r>
        <w:t xml:space="preserve">, 310 Or 291 (1990)</w:t>
      </w:r>
      <w:r>
        <w:t xml:space="preserve"> </w:t>
      </w:r>
      <w:r>
        <w:t xml:space="preserve">[@lowrimore-1990]</w:t>
      </w:r>
      <w:r>
        <w:t xml:space="preserve">;</w:t>
      </w:r>
      <w:r>
        <w:t xml:space="preserve"> </w:t>
      </w:r>
      <w:r>
        <w:rPr>
          <w:i/>
        </w:rPr>
        <w:t xml:space="preserve">Vokoun v. City of Lake Oswego</w:t>
      </w:r>
      <w:r>
        <w:t xml:space="preserve">, 335 Or 19 (2002)</w:t>
      </w:r>
      <w:r>
        <w:t xml:space="preserve"> </w:t>
      </w:r>
      <w:r>
        <w:t xml:space="preserve">[@vokoun-2002]</w:t>
      </w:r>
      <w:r>
        <w:t xml:space="preserve">;</w:t>
      </w:r>
      <w:r>
        <w:t xml:space="preserve"> </w:t>
      </w:r>
      <w:r>
        <w:rPr>
          <w:i/>
        </w:rPr>
        <w:t xml:space="preserve">Westfall v. State</w:t>
      </w:r>
      <w:r>
        <w:t xml:space="preserve">, 355 Or 144 (2014)</w:t>
      </w:r>
      <w:r>
        <w:t xml:space="preserve"> </w:t>
      </w:r>
      <w:r>
        <w:t xml:space="preserve">[@westfall-2014]</w:t>
      </w:r>
      <w:r>
        <w:t xml:space="preserve">;</w:t>
      </w:r>
      <w:r>
        <w:t xml:space="preserve"> </w:t>
      </w:r>
      <w:r>
        <w:rPr>
          <w:i/>
        </w:rPr>
        <w:t xml:space="preserve">Garrison v. Deschutes County</w:t>
      </w:r>
      <w:r>
        <w:t xml:space="preserve">, 334 Or 264 (2002)</w:t>
      </w:r>
      <w:r>
        <w:t xml:space="preserve"> </w:t>
      </w:r>
      <w:r>
        <w:t xml:space="preserve">[@garrison-2002]</w:t>
      </w:r>
      <w:r>
        <w:t xml:space="preserve">;</w:t>
      </w:r>
      <w:r>
        <w:t xml:space="preserve"> </w:t>
      </w:r>
      <w:r>
        <w:rPr>
          <w:i/>
        </w:rPr>
        <w:t xml:space="preserve">Ramirez v. Hawaii T&amp;S Enterprises, Inc.</w:t>
      </w:r>
      <w:r>
        <w:t xml:space="preserve">, 179 Or App 416 (2002)</w:t>
      </w:r>
      <w:r>
        <w:t xml:space="preserve"> </w:t>
      </w:r>
      <w:r>
        <w:t xml:space="preserve">[@ramirez-2002]</w:t>
      </w:r>
      <w:r>
        <w:t xml:space="preserve">;</w:t>
      </w:r>
      <w:r>
        <w:t xml:space="preserve"> </w:t>
      </w:r>
      <w:r>
        <w:rPr>
          <w:i/>
        </w:rPr>
        <w:t xml:space="preserve">Mann v. McCullough</w:t>
      </w:r>
      <w:r>
        <w:t xml:space="preserve">, 174 Or App 599 (2001)</w:t>
      </w:r>
      <w:r>
        <w:t xml:space="preserve"> </w:t>
      </w:r>
      <w:r>
        <w:t xml:space="preserve">[@mann-2001]</w:t>
      </w:r>
      <w:r>
        <w:t xml:space="preserve">;</w:t>
      </w:r>
      <w:r>
        <w:t xml:space="preserve"> </w:t>
      </w:r>
      <w:r>
        <w:rPr>
          <w:i/>
        </w:rPr>
        <w:t xml:space="preserve">Sager v. City of Portland</w:t>
      </w:r>
      <w:r>
        <w:t xml:space="preserve">, 68 Or App 808 (1984)</w:t>
      </w:r>
      <w:r>
        <w:t xml:space="preserve"> </w:t>
      </w:r>
      <w:r>
        <w:t xml:space="preserve">[@sager-1984]</w:t>
      </w:r>
      <w:r>
        <w:t xml:space="preserve">.</w:t>
      </w:r>
    </w:p>
  </w:footnote>
  <w:footnote w:id="608">
    <w:p>
      <w:pPr>
        <w:pStyle w:val="FootnoteText"/>
      </w:pPr>
      <w:r>
        <w:rPr>
          <w:rStyle w:val="FootnoteReference"/>
        </w:rPr>
        <w:footnoteRef/>
      </w:r>
      <w:r>
        <w:t xml:space="preserve"> </w:t>
      </w:r>
      <w:r>
        <w:rPr>
          <w:i/>
        </w:rPr>
        <w:t xml:space="preserve">Holmes v. Olcott</w:t>
      </w:r>
      <w:r>
        <w:t xml:space="preserve">, 96 Or 33 (1920)</w:t>
      </w:r>
      <w:r>
        <w:t xml:space="preserve"> </w:t>
      </w:r>
      <w:r>
        <w:t xml:space="preserve">[@holmes-1920]</w:t>
      </w:r>
      <w:r>
        <w:t xml:space="preserve"> </w:t>
      </w:r>
      <w:r>
        <w:t xml:space="preserve">(appropriations doctrine; proposition verified against the held primary, 2026-06-07 — the opinion construes Or. Const. Art. IX, § 4:</w:t>
      </w:r>
      <w:r>
        <w:t xml:space="preserve"> </w:t>
      </w:r>
      <w:r>
        <w:t xml:space="preserve">“</w:t>
      </w:r>
      <w:r>
        <w:t xml:space="preserve">No money shall be drawn from the treasury but in pursuance of appropriations made by law</w:t>
      </w:r>
      <w:r>
        <w:t xml:space="preserve">”</w:t>
      </w:r>
      <w:r>
        <w:t xml:space="preserve">). Its remedial implications are treated at § 18.6; declaratory and invalidation remedies do not draw on the treasury.</w:t>
      </w:r>
    </w:p>
  </w:footnote>
  <w:footnote w:id="610">
    <w:p>
      <w:pPr>
        <w:pStyle w:val="FootnoteText"/>
      </w:pPr>
      <w:r>
        <w:rPr>
          <w:rStyle w:val="FootnoteReference"/>
        </w:rPr>
        <w:footnoteRef/>
      </w:r>
      <w:r>
        <w:t xml:space="preserve"> </w:t>
      </w:r>
      <w:r>
        <w:rPr>
          <w:i/>
        </w:rPr>
        <w:t xml:space="preserve">Hanggi v. Hartford Fire Insurance Co.</w:t>
      </w:r>
      <w:r>
        <w:t xml:space="preserve">, 132 Or App 601 (1995), rev. dismissed as improvidently granted, 322 Or 573 (1996)</w:t>
      </w:r>
      <w:r>
        <w:t xml:space="preserve"> </w:t>
      </w:r>
      <w:r>
        <w:t xml:space="preserve">[@hanggi-1995]</w:t>
      </w:r>
      <w:r>
        <w:t xml:space="preserve">.</w:t>
      </w:r>
    </w:p>
  </w:footnote>
  <w:footnote w:id="611">
    <w:p>
      <w:pPr>
        <w:pStyle w:val="FootnoteText"/>
      </w:pPr>
      <w:r>
        <w:rPr>
          <w:rStyle w:val="FootnoteReference"/>
        </w:rPr>
        <w:footnoteRef/>
      </w:r>
      <w:r>
        <w:t xml:space="preserve"> </w:t>
      </w:r>
      <w:r>
        <w:rPr>
          <w:i/>
        </w:rPr>
        <w:t xml:space="preserve">Lindland v. United Business Investments, Inc.</w:t>
      </w:r>
      <w:r>
        <w:t xml:space="preserve">, 298 Or 318, 327, 693 P.2d 20 (1984)</w:t>
      </w:r>
      <w:r>
        <w:t xml:space="preserve"> </w:t>
      </w:r>
      <w:r>
        <w:t xml:space="preserve">[@lindland-1984]</w:t>
      </w:r>
      <w:r>
        <w:t xml:space="preserve"> </w:t>
      </w:r>
      <w:r>
        <w:t xml:space="preserve">(burden-rule quotation verified against the held CAP full text, 2026-06-07; the parallel cite is 693 P.2d 20 — the defense briefing’s</w:t>
      </w:r>
      <w:r>
        <w:t xml:space="preserve"> </w:t>
      </w:r>
      <w:r>
        <w:t xml:space="preserve">“</w:t>
      </w:r>
      <w:r>
        <w:t xml:space="preserve">692 P2d 91</w:t>
      </w:r>
      <w:r>
        <w:t xml:space="preserve">”</w:t>
      </w:r>
      <w:r>
        <w:t xml:space="preserve"> </w:t>
      </w:r>
      <w:r>
        <w:t xml:space="preserve">is not supported [VERIFY the Or. pin 327 against the bound volume]);</w:t>
      </w:r>
      <w:r>
        <w:t xml:space="preserve"> </w:t>
      </w:r>
      <w:r>
        <w:rPr>
          <w:i/>
        </w:rPr>
        <w:t xml:space="preserve">Evergreen West Business Center, LLC v. Emmert</w:t>
      </w:r>
      <w:r>
        <w:t xml:space="preserve">, 254 Or App 361 (2012), rev’d on other grounds, 354 Or 790 (2014)</w:t>
      </w:r>
      <w:r>
        <w:t xml:space="preserve"> </w:t>
      </w:r>
      <w:r>
        <w:t xml:space="preserve">[@evergreen-2012]</w:t>
      </w:r>
      <w:r>
        <w:t xml:space="preserve"> </w:t>
      </w:r>
      <w:r>
        <w:t xml:space="preserve">(the three-element recital); Uniform Civil Jury Instructions 50.02</w:t>
      </w:r>
      <w:r>
        <w:t xml:space="preserve"> </w:t>
      </w:r>
      <w:r>
        <w:t xml:space="preserve">[@ucji-5002]</w:t>
      </w:r>
      <w:r>
        <w:t xml:space="preserve">. Both cases are private commercial fiduciary disputes;</w:t>
      </w:r>
      <w:r>
        <w:t xml:space="preserve"> </w:t>
      </w:r>
      <w:r>
        <w:rPr>
          <w:i/>
        </w:rPr>
        <w:t xml:space="preserve">Lindland</w:t>
      </w:r>
      <w:r>
        <w:t xml:space="preserve">’s burden allocation rests on Restatement (Second) of Agency §§ 381, 389, 390</w:t>
      </w:r>
      <w:r>
        <w:t xml:space="preserve"> </w:t>
      </w:r>
      <w:r>
        <w:t xml:space="preserve">[@restatement-2d-agency]</w:t>
      </w:r>
      <w:r>
        <w:t xml:space="preserve">.</w:t>
      </w:r>
    </w:p>
  </w:footnote>
  <w:footnote w:id="612">
    <w:p>
      <w:pPr>
        <w:pStyle w:val="FootnoteText"/>
      </w:pPr>
      <w:r>
        <w:rPr>
          <w:rStyle w:val="FootnoteReference"/>
        </w:rPr>
        <w:footnoteRef/>
      </w:r>
      <w:r>
        <w:t xml:space="preserve"> </w:t>
      </w:r>
      <w:r>
        <w:rPr>
          <w:i/>
        </w:rPr>
        <w:t xml:space="preserve">Sasser v. DeLorme</w:t>
      </w:r>
      <w:r>
        <w:t xml:space="preserve">, 56 Or App 630, 642 P.2d 1192 (1982)</w:t>
      </w:r>
      <w:r>
        <w:t xml:space="preserve"> </w:t>
      </w:r>
      <w:r>
        <w:t xml:space="preserve">[@sasser-1982]</w:t>
      </w:r>
      <w:r>
        <w:t xml:space="preserve"> </w:t>
      </w:r>
      <w:r>
        <w:t xml:space="preserve">(the strike-a-balance formulation; quotation verified against the full opinion, 2026-06-07; pin 56 Or App at 634, 642 P.2d at 1194);</w:t>
      </w:r>
      <w:r>
        <w:t xml:space="preserve"> </w:t>
      </w:r>
      <w:r>
        <w:rPr>
          <w:i/>
        </w:rPr>
        <w:t xml:space="preserve">Thompson v. Coughlin</w:t>
      </w:r>
      <w:r>
        <w:t xml:space="preserve">, 329 Or 630, 997 P.2d 191 (2000)</w:t>
      </w:r>
      <w:r>
        <w:t xml:space="preserve"> </w:t>
      </w:r>
      <w:r>
        <w:t xml:space="preserve">[@thompson-coughlin-2000]</w:t>
      </w:r>
      <w:r>
        <w:t xml:space="preserve"> </w:t>
      </w:r>
      <w:r>
        <w:t xml:space="preserve">(</w:t>
      </w:r>
      <w:r>
        <w:t xml:space="preserve">“</w:t>
      </w:r>
      <w:r>
        <w:t xml:space="preserve">the need for an accounting is obviated</w:t>
      </w:r>
      <w:r>
        <w:t xml:space="preserve">”</w:t>
      </w:r>
      <w:r>
        <w:t xml:space="preserve"> </w:t>
      </w:r>
      <w:r>
        <w:t xml:space="preserve">where the sum sought is</w:t>
      </w:r>
      <w:r>
        <w:t xml:space="preserve"> </w:t>
      </w:r>
      <w:r>
        <w:t xml:space="preserve">“</w:t>
      </w:r>
      <w:r>
        <w:t xml:space="preserve">determinable without any accounting</w:t>
      </w:r>
      <w:r>
        <w:t xml:space="preserve">”</w:t>
      </w:r>
      <w:r>
        <w:t xml:space="preserve">; quotation verified verbatim against the full opinion, pin 329 Or at 640, 2026-06-07; note that the holding applies the relief-sought test to a two-person partnership claim — it is not a general rule that discovery obviates supervisory accountings); accord</w:t>
      </w:r>
      <w:r>
        <w:t xml:space="preserve"> </w:t>
      </w:r>
      <w:r>
        <w:rPr>
          <w:i/>
        </w:rPr>
        <w:t xml:space="preserve">Public Market Co. of Portland v. City of Portland</w:t>
      </w:r>
      <w:r>
        <w:t xml:space="preserve">, 179 Or 367, 170 P.2d 586 (1946)</w:t>
      </w:r>
      <w:r>
        <w:t xml:space="preserve"> </w:t>
      </w:r>
      <w:r>
        <w:t xml:space="preserve">[@public-market-1946]</w:t>
      </w:r>
      <w:r>
        <w:t xml:space="preserve"> </w:t>
      </w:r>
      <w:r>
        <w:t xml:space="preserve">(accounting incidental to ascertaining contract damages owed by the City of Portland; holding-level characterization confirmed against the full opinion, 2026-06-08);</w:t>
      </w:r>
      <w:r>
        <w:t xml:space="preserve"> </w:t>
      </w:r>
      <w:r>
        <w:rPr>
          <w:i/>
        </w:rPr>
        <w:t xml:space="preserve">Smith v. Williams</w:t>
      </w:r>
      <w:r>
        <w:t xml:space="preserve">, 98 Or App 258, 779 P.2d 1057 (1989)</w:t>
      </w:r>
      <w:r>
        <w:t xml:space="preserve"> </w:t>
      </w:r>
      <w:r>
        <w:t xml:space="preserve">[@smith-williams-1989]</w:t>
      </w:r>
      <w:r>
        <w:t xml:space="preserve"> </w:t>
      </w:r>
      <w:r>
        <w:t xml:space="preserve">(accounting between former spouses holding stock as tenants in common; holding-level characterization confirmed against the full opinion, 2026-06-08);</w:t>
      </w:r>
      <w:r>
        <w:t xml:space="preserve"> </w:t>
      </w:r>
      <w:r>
        <w:rPr>
          <w:i/>
        </w:rPr>
        <w:t xml:space="preserve">Miller v. C.C. Meisel Co.</w:t>
      </w:r>
      <w:r>
        <w:t xml:space="preserve">, 183 Or App 148, 173, 51 P.3d 650 (2002)</w:t>
      </w:r>
      <w:r>
        <w:t xml:space="preserve"> </w:t>
      </w:r>
      <w:r>
        <w:t xml:space="preserve">[@miller-meisel-2002]</w:t>
      </w:r>
      <w:r>
        <w:t xml:space="preserve"> </w:t>
      </w:r>
      <w:r>
        <w:t xml:space="preserve">(affirming denial of an equitable accounting counterclaim where discovery had already occurred on</w:t>
      </w:r>
      <w:r>
        <w:t xml:space="preserve"> </w:t>
      </w:r>
      <w:r>
        <w:t xml:space="preserve">“</w:t>
      </w:r>
      <w:r>
        <w:t xml:space="preserve">the more important issues framed by the parties</w:t>
      </w:r>
      <w:r>
        <w:t xml:space="preserve">”</w:t>
      </w:r>
      <w:r>
        <w:t xml:space="preserve">; pin 183 Or App at 173; full opinion verified against the L0 primary 2026-06-09). None of the five is a trust case, and none involves a fiduciary’s duty to render an account of its own administration —</w:t>
      </w:r>
      <w:r>
        <w:t xml:space="preserve"> </w:t>
      </w:r>
      <w:r>
        <w:rPr>
          <w:i/>
        </w:rPr>
        <w:t xml:space="preserve">Public Market</w:t>
      </w:r>
      <w:r>
        <w:t xml:space="preserve">’s lead defendant is the City of Portland, and the others are private disputes. Their extension to a constitutional trustee is the contested step.</w:t>
      </w:r>
    </w:p>
  </w:footnote>
  <w:footnote w:id="613">
    <w:p>
      <w:pPr>
        <w:pStyle w:val="FootnoteText"/>
      </w:pPr>
      <w:r>
        <w:rPr>
          <w:rStyle w:val="FootnoteReference"/>
        </w:rPr>
        <w:footnoteRef/>
      </w:r>
      <w:r>
        <w:t xml:space="preserve"> </w:t>
      </w:r>
      <w:r>
        <w:t xml:space="preserve">ORS 130.005(2)(e)</w:t>
      </w:r>
      <w:r>
        <w:t xml:space="preserve"> </w:t>
      </w:r>
      <w:r>
        <w:t xml:space="preserve">[@act-ors-130]</w:t>
      </w:r>
      <w:r>
        <w:t xml:space="preserve"> </w:t>
      </w:r>
      <w:r>
        <w:t xml:space="preserve">(Oregon UTC public-body exclusion);</w:t>
      </w:r>
      <w:r>
        <w:t xml:space="preserve"> </w:t>
      </w:r>
      <w:r>
        <w:rPr>
          <w:i/>
        </w:rPr>
        <w:t xml:space="preserve">Bieker v. Ludwick</w:t>
      </w:r>
      <w:r>
        <w:t xml:space="preserve">, 343 Or App 1 (2025)</w:t>
      </w:r>
      <w:r>
        <w:t xml:space="preserve"> </w:t>
      </w:r>
      <w:r>
        <w:t xml:space="preserve">[@bieker-2025]</w:t>
      </w:r>
      <w:r>
        <w:t xml:space="preserve"> </w:t>
      </w:r>
      <w:r>
        <w:t xml:space="preserve">(UTC accounting limits in a private revocable trust); Restatement (Third) of Trusts § 82 cmt. d</w:t>
      </w:r>
      <w:r>
        <w:t xml:space="preserve"> </w:t>
      </w:r>
      <w:r>
        <w:t xml:space="preserve">[@rest3d-trusts]</w:t>
      </w:r>
      <w:r>
        <w:t xml:space="preserve"> </w:t>
      </w:r>
      <w:r>
        <w:t xml:space="preserve">(cited by the defense for the no-routine-reporting proposition) [VERIFY the comment’s full context].</w:t>
      </w:r>
    </w:p>
  </w:footnote>
  <w:footnote w:id="615">
    <w:p>
      <w:pPr>
        <w:pStyle w:val="FootnoteText"/>
      </w:pPr>
      <w:r>
        <w:rPr>
          <w:rStyle w:val="FootnoteReference"/>
        </w:rPr>
        <w:footnoteRef/>
      </w:r>
      <w:r>
        <w:t xml:space="preserve"> </w:t>
      </w:r>
      <w:r>
        <w:rPr>
          <w:i/>
        </w:rPr>
        <w:t xml:space="preserve">Comcast of Oregon II, Inc. v. City of Eugene</w:t>
      </w:r>
      <w:r>
        <w:t xml:space="preserve">, 346 Or 238, 249-50 (2009)</w:t>
      </w:r>
      <w:r>
        <w:t xml:space="preserve"> </w:t>
      </w:r>
      <w:r>
        <w:t xml:space="preserve">[@comcast-2009]</w:t>
      </w:r>
      <w:r>
        <w:t xml:space="preserve"> </w:t>
      </w:r>
      <w:r>
        <w:t xml:space="preserve">(quotation verified against the held primary, 2026-06-07; the passage spans 249-50).</w:t>
      </w:r>
    </w:p>
  </w:footnote>
  <w:footnote w:id="616">
    <w:p>
      <w:pPr>
        <w:pStyle w:val="FootnoteText"/>
      </w:pPr>
      <w:r>
        <w:rPr>
          <w:rStyle w:val="FootnoteReference"/>
        </w:rPr>
        <w:footnoteRef/>
      </w:r>
      <w:r>
        <w:t xml:space="preserve"> </w:t>
      </w:r>
      <w:r>
        <w:rPr>
          <w:i/>
        </w:rPr>
        <w:t xml:space="preserve">Advocates for School Trust Lands v. State</w:t>
      </w:r>
      <w:r>
        <w:t xml:space="preserve">, 346 Or App 668, 684 n.9 (2026)</w:t>
      </w:r>
      <w:r>
        <w:t xml:space="preserve"> </w:t>
      </w:r>
      <w:r>
        <w:t xml:space="preserve">[@advocates-2026]</w:t>
      </w:r>
      <w:r>
        <w:t xml:space="preserve">; the reversed dismissal is the Coos County Circuit Court letter opinion of February 26, 2024 (No. 23CV39056) (dismissal on OTCA-tort and notice grounds). Accord cases from other trust states applying claims statutes (or refusing to) to school-trust claims not yet collected; see Architecture § C, verification wave 2.</w:t>
      </w:r>
    </w:p>
  </w:footnote>
  <w:footnote w:id="617">
    <w:p>
      <w:pPr>
        <w:pStyle w:val="FootnoteText"/>
      </w:pPr>
      <w:r>
        <w:rPr>
          <w:rStyle w:val="FootnoteReference"/>
        </w:rPr>
        <w:footnoteRef/>
      </w:r>
      <w:r>
        <w:t xml:space="preserve"> </w:t>
      </w:r>
      <w:r>
        <w:rPr>
          <w:i/>
        </w:rPr>
        <w:t xml:space="preserve">Siuslaw School District 97J v. State of Oregon</w:t>
      </w:r>
      <w:r>
        <w:t xml:space="preserve">, No. 24CV38372</w:t>
      </w:r>
      <w:r>
        <w:t xml:space="preserve"> </w:t>
      </w:r>
      <w:r>
        <w:t xml:space="preserve">[@siuslaw-24cv38372]</w:t>
      </w:r>
      <w:r>
        <w:t xml:space="preserve">: Defendants’ Motion for Summary Judgment (May 13, 2026), Parts IV.B-IV.C and IV.G; Plaintiffs’ Response and Cross-Motion (May 29, 2026).</w:t>
      </w:r>
    </w:p>
  </w:footnote>
  <w:footnote w:id="618">
    <w:p>
      <w:pPr>
        <w:pStyle w:val="FootnoteText"/>
      </w:pPr>
      <w:r>
        <w:rPr>
          <w:rStyle w:val="FootnoteReference"/>
        </w:rPr>
        <w:footnoteRef/>
      </w:r>
      <w:r>
        <w:t xml:space="preserve"> </w:t>
      </w:r>
      <w:r>
        <w:rPr>
          <w:i/>
        </w:rPr>
        <w:t xml:space="preserve">Hanggi</w:t>
      </w:r>
      <w:r>
        <w:t xml:space="preserve">, 132 Or App 601 (1995), rev. dismissed as improvidently granted, 322 Or 573 (1996)</w:t>
      </w:r>
      <w:r>
        <w:t xml:space="preserve"> </w:t>
      </w:r>
      <w:r>
        <w:t xml:space="preserve">[@hanggi-1995]</w:t>
      </w:r>
      <w:r>
        <w:t xml:space="preserve">; the statutory-trust/constitutional-trust and operational/lawmaking distinctions are developed from the public briefing record and stand here as the treatise’s own analysis of the cases cited.</w:t>
      </w:r>
    </w:p>
  </w:footnote>
  <w:footnote w:id="620">
    <w:p>
      <w:pPr>
        <w:pStyle w:val="FootnoteText"/>
      </w:pPr>
      <w:r>
        <w:rPr>
          <w:rStyle w:val="FootnoteReference"/>
        </w:rPr>
        <w:footnoteRef/>
      </w:r>
      <w:r>
        <w:t xml:space="preserve"> </w:t>
      </w:r>
      <w:r>
        <w:t xml:space="preserve">Lead case:</w:t>
      </w:r>
      <w:r>
        <w:t xml:space="preserve"> </w:t>
      </w:r>
      <w:r>
        <w:rPr>
          <w:i/>
        </w:rPr>
        <w:t xml:space="preserve">State Land Board v. Lee</w:t>
      </w:r>
      <w:r>
        <w:t xml:space="preserve">, 84 Or 431, 434-37 (1917)</w:t>
      </w:r>
      <w:r>
        <w:t xml:space="preserve"> </w:t>
      </w:r>
      <w:r>
        <w:t xml:space="preserve">[@lee-1917]</w:t>
      </w:r>
      <w:r>
        <w:t xml:space="preserve"> </w:t>
      </w:r>
      <w:r>
        <w:t xml:space="preserve">(a general statute of limitations does not embrace the state, expressly or by necessary implication, where the suit is for the state’s benefit and the school fund is held in trust for a public purpose; verified against the full opinion, 2026-06-08). CORRECTION (2026-06-08): the prior draft cited</w:t>
      </w:r>
      <w:r>
        <w:t xml:space="preserve"> </w:t>
      </w:r>
      <w:r>
        <w:rPr>
          <w:i/>
        </w:rPr>
        <w:t xml:space="preserve">Plateau Mining Co. v. Utah Division of State Lands &amp; Forestry</w:t>
      </w:r>
      <w:r>
        <w:t xml:space="preserve">, 802 P.2d 720 (Utah 1990)</w:t>
      </w:r>
      <w:r>
        <w:t xml:space="preserve"> </w:t>
      </w:r>
      <w:r>
        <w:t xml:space="preserve">[@plateau-1990]</w:t>
      </w:r>
      <w:r>
        <w:t xml:space="preserve">, as holding statutes of limitations inapplicable to the state’s recovery of trust-land underpayments; the full opinion shows the Utah Supreme Court expressly</w:t>
      </w:r>
      <w:r>
        <w:t xml:space="preserve"> </w:t>
      </w:r>
      <w:r>
        <w:rPr>
          <w:i/>
        </w:rPr>
        <w:t xml:space="preserve">declined</w:t>
      </w:r>
      <w:r>
        <w:t xml:space="preserve"> </w:t>
      </w:r>
      <w:r>
        <w:t xml:space="preserve">to decide the limitations question (</w:t>
      </w:r>
      <w:r>
        <w:t xml:space="preserve">“</w:t>
      </w:r>
      <w:r>
        <w:t xml:space="preserve">we decline to address it on appeal . . . We leave this question to the trial court to consider,</w:t>
      </w:r>
      <w:r>
        <w:t xml:space="preserve">”</w:t>
      </w:r>
      <w:r>
        <w:t xml:space="preserve"> </w:t>
      </w:r>
      <w:r>
        <w:t xml:space="preserve">802 P.2d at 732).</w:t>
      </w:r>
      <w:r>
        <w:t xml:space="preserve"> </w:t>
      </w:r>
      <w:r>
        <w:rPr>
          <w:i/>
        </w:rPr>
        <w:t xml:space="preserve">Plateau</w:t>
      </w:r>
      <w:r>
        <w:t xml:space="preserve"> </w:t>
      </w:r>
      <w:r>
        <w:t xml:space="preserve">is therefore not authority for any limitations holding and is retained only for its waiver and estoppel holdings (next note).</w:t>
      </w:r>
    </w:p>
  </w:footnote>
  <w:footnote w:id="621">
    <w:p>
      <w:pPr>
        <w:pStyle w:val="FootnoteText"/>
      </w:pPr>
      <w:r>
        <w:rPr>
          <w:rStyle w:val="FootnoteReference"/>
        </w:rPr>
        <w:footnoteRef/>
      </w:r>
      <w:r>
        <w:t xml:space="preserve"> </w:t>
      </w:r>
      <w:r>
        <w:rPr>
          <w:i/>
        </w:rPr>
        <w:t xml:space="preserve">Plateau Mining</w:t>
      </w:r>
      <w:r>
        <w:t xml:space="preserve">, 802 P.2d 720 (Utah 1990)</w:t>
      </w:r>
      <w:r>
        <w:t xml:space="preserve"> </w:t>
      </w:r>
      <w:r>
        <w:t xml:space="preserve">[@plateau-1990]</w:t>
      </w:r>
      <w:r>
        <w:t xml:space="preserve">. Accord cases not yet collected; see Architecture § C, verification wave 2.</w:t>
      </w:r>
    </w:p>
  </w:footnote>
  <w:footnote w:id="622">
    <w:p>
      <w:pPr>
        <w:pStyle w:val="FootnoteText"/>
      </w:pPr>
      <w:r>
        <w:rPr>
          <w:rStyle w:val="FootnoteReference"/>
        </w:rPr>
        <w:footnoteRef/>
      </w:r>
      <w:r>
        <w:t xml:space="preserve"> </w:t>
      </w:r>
      <w:r>
        <w:rPr>
          <w:i/>
        </w:rPr>
        <w:t xml:space="preserve">Propst v. Board of Educational Lands &amp; Funds</w:t>
      </w:r>
      <w:r>
        <w:t xml:space="preserve">, 156 Neb. 226, 55 N.W.2d 653 (1952)</w:t>
      </w:r>
      <w:r>
        <w:t xml:space="preserve"> </w:t>
      </w:r>
      <w:r>
        <w:t xml:space="preserve">[@propst-1952]</w:t>
      </w:r>
      <w:r>
        <w:t xml:space="preserve">.</w:t>
      </w:r>
    </w:p>
  </w:footnote>
  <w:footnote w:id="624">
    <w:p>
      <w:pPr>
        <w:pStyle w:val="FootnoteText"/>
      </w:pPr>
      <w:r>
        <w:rPr>
          <w:rStyle w:val="FootnoteReference"/>
        </w:rPr>
        <w:footnoteRef/>
      </w:r>
      <w:r>
        <w:t xml:space="preserve"> </w:t>
      </w:r>
      <w:r>
        <w:rPr>
          <w:i/>
        </w:rPr>
        <w:t xml:space="preserve">Borax Consolidated, Ltd. v. Los Angeles</w:t>
      </w:r>
      <w:r>
        <w:t xml:space="preserve">, 296 U.S. 10, 22 (1935)</w:t>
      </w:r>
      <w:r>
        <w:t xml:space="preserve"> </w:t>
      </w:r>
      <w:r>
        <w:t xml:space="preserve">[@borax-1935]</w:t>
      </w:r>
      <w:r>
        <w:t xml:space="preserve"> </w:t>
      </w:r>
      <w:r>
        <w:t xml:space="preserve">(quotation and pin verified against the held primary, 2026-06-07).</w:t>
      </w:r>
    </w:p>
  </w:footnote>
  <w:footnote w:id="625">
    <w:p>
      <w:pPr>
        <w:pStyle w:val="FootnoteText"/>
      </w:pPr>
      <w:r>
        <w:rPr>
          <w:rStyle w:val="FootnoteReference"/>
        </w:rPr>
        <w:footnoteRef/>
      </w:r>
      <w:r>
        <w:t xml:space="preserve"> </w:t>
      </w:r>
      <w:r>
        <w:rPr>
          <w:i/>
        </w:rPr>
        <w:t xml:space="preserve">Cooper v. Roberts</w:t>
      </w:r>
      <w:r>
        <w:t xml:space="preserve">, 59 U.S. (18 How.) 173 (1855)</w:t>
      </w:r>
      <w:r>
        <w:t xml:space="preserve"> </w:t>
      </w:r>
      <w:r>
        <w:t xml:space="preserve">[@cooper-1855]</w:t>
      </w:r>
      <w:r>
        <w:t xml:space="preserve">.</w:t>
      </w:r>
    </w:p>
  </w:footnote>
  <w:footnote w:id="626">
    <w:p>
      <w:pPr>
        <w:pStyle w:val="FootnoteText"/>
      </w:pPr>
      <w:r>
        <w:rPr>
          <w:rStyle w:val="FootnoteReference"/>
        </w:rPr>
        <w:footnoteRef/>
      </w:r>
      <w:r>
        <w:t xml:space="preserve"> </w:t>
      </w:r>
      <w:r>
        <w:t xml:space="preserve">New Mexico-Arizona Enabling Act of June 20, 1910, § 10 (Arizona: § 28), 36 Stat. 557</w:t>
      </w:r>
      <w:r>
        <w:t xml:space="preserve"> </w:t>
      </w:r>
      <w:r>
        <w:t xml:space="preserve">[@act-nm-az-1910]</w:t>
      </w:r>
      <w:r>
        <w:t xml:space="preserve">.</w:t>
      </w:r>
    </w:p>
  </w:footnote>
  <w:footnote w:id="627">
    <w:p>
      <w:pPr>
        <w:pStyle w:val="FootnoteText"/>
      </w:pPr>
      <w:r>
        <w:rPr>
          <w:rStyle w:val="FootnoteReference"/>
        </w:rPr>
        <w:footnoteRef/>
      </w:r>
      <w:r>
        <w:t xml:space="preserve"> </w:t>
      </w:r>
      <w:r>
        <w:rPr>
          <w:i/>
        </w:rPr>
        <w:t xml:space="preserve">ASARCO Inc. v. Kadish</w:t>
      </w:r>
      <w:r>
        <w:t xml:space="preserve">, 490 U.S. 605, 626 (1989)</w:t>
      </w:r>
      <w:r>
        <w:t xml:space="preserve"> </w:t>
      </w:r>
      <w:r>
        <w:t xml:space="preserve">[@asarco-1989]</w:t>
      </w:r>
      <w:r>
        <w:t xml:space="preserve">.</w:t>
      </w:r>
    </w:p>
  </w:footnote>
  <w:footnote w:id="628">
    <w:p>
      <w:pPr>
        <w:pStyle w:val="FootnoteText"/>
      </w:pPr>
      <w:r>
        <w:rPr>
          <w:rStyle w:val="FootnoteReference"/>
        </w:rPr>
        <w:footnoteRef/>
      </w:r>
      <w:r>
        <w:t xml:space="preserve"> </w:t>
      </w:r>
      <w:r>
        <w:rPr>
          <w:i/>
        </w:rPr>
        <w:t xml:space="preserve">Moro v. State</w:t>
      </w:r>
      <w:r>
        <w:t xml:space="preserve">, 357 Or 167 (2015)</w:t>
      </w:r>
      <w:r>
        <w:t xml:space="preserve"> </w:t>
      </w:r>
      <w:r>
        <w:t xml:space="preserve">[@moro-2015]</w:t>
      </w:r>
      <w:r>
        <w:t xml:space="preserve"> </w:t>
      </w:r>
      <w:r>
        <w:t xml:space="preserve">(quoting</w:t>
      </w:r>
      <w:r>
        <w:t xml:space="preserve"> </w:t>
      </w:r>
      <w:r>
        <w:rPr>
          <w:i/>
        </w:rPr>
        <w:t xml:space="preserve">Strunk v. PERB</w:t>
      </w:r>
      <w:r>
        <w:t xml:space="preserve">, 338 Or 145, 171 (2005)</w:t>
      </w:r>
      <w:r>
        <w:t xml:space="preserve"> </w:t>
      </w:r>
      <w:r>
        <w:t xml:space="preserve">[@strunk-2005]</w:t>
      </w:r>
      <w:r>
        <w:t xml:space="preserve">, in turn quoting</w:t>
      </w:r>
      <w:r>
        <w:t xml:space="preserve"> </w:t>
      </w:r>
      <w:r>
        <w:rPr>
          <w:i/>
        </w:rPr>
        <w:t xml:space="preserve">Campbell v. Aldrich</w:t>
      </w:r>
      <w:r>
        <w:t xml:space="preserve">, 159 Or 208, 213-14 (1938));</w:t>
      </w:r>
      <w:r>
        <w:t xml:space="preserve"> </w:t>
      </w:r>
      <w:r>
        <w:rPr>
          <w:i/>
        </w:rPr>
        <w:t xml:space="preserve">James v. State</w:t>
      </w:r>
      <w:r>
        <w:t xml:space="preserve">, 366 Or 732 (2020)</w:t>
      </w:r>
      <w:r>
        <w:t xml:space="preserve"> </w:t>
      </w:r>
      <w:r>
        <w:t xml:space="preserve">[@james-2020]</w:t>
      </w:r>
      <w:r>
        <w:t xml:space="preserve">. Quotation verified against the held</w:t>
      </w:r>
      <w:r>
        <w:t xml:space="preserve"> </w:t>
      </w:r>
      <w:r>
        <w:rPr>
          <w:i/>
        </w:rPr>
        <w:t xml:space="preserve">Moro</w:t>
      </w:r>
      <w:r>
        <w:t xml:space="preserve"> </w:t>
      </w:r>
      <w:r>
        <w:t xml:space="preserve">and</w:t>
      </w:r>
      <w:r>
        <w:t xml:space="preserve"> </w:t>
      </w:r>
      <w:r>
        <w:rPr>
          <w:i/>
        </w:rPr>
        <w:t xml:space="preserve">Strunk</w:t>
      </w:r>
      <w:r>
        <w:t xml:space="preserve"> </w:t>
      </w:r>
      <w:r>
        <w:t xml:space="preserve">primaries, 2026-06-07.</w:t>
      </w:r>
    </w:p>
  </w:footnote>
  <w:footnote w:id="629">
    <w:p>
      <w:pPr>
        <w:pStyle w:val="FootnoteText"/>
      </w:pPr>
      <w:r>
        <w:rPr>
          <w:rStyle w:val="FootnoteReference"/>
        </w:rPr>
        <w:footnoteRef/>
      </w:r>
      <w:r>
        <w:t xml:space="preserve"> </w:t>
      </w:r>
      <w:r>
        <w:rPr>
          <w:i/>
        </w:rPr>
        <w:t xml:space="preserve">Johnson v. Department of Revenue</w:t>
      </w:r>
      <w:r>
        <w:t xml:space="preserve">, 292 Or 373 (1982)</w:t>
      </w:r>
      <w:r>
        <w:t xml:space="preserve"> </w:t>
      </w:r>
      <w:r>
        <w:t xml:space="preserve">[@johnson-1982]</w:t>
      </w:r>
      <w:r>
        <w:t xml:space="preserve">; see § 3.4 [VERIFY cross-reference section number against Chapter 3 as renumbered].</w:t>
      </w:r>
    </w:p>
  </w:footnote>
  <w:footnote w:id="631">
    <w:p>
      <w:pPr>
        <w:pStyle w:val="FootnoteText"/>
      </w:pPr>
      <w:r>
        <w:rPr>
          <w:rStyle w:val="FootnoteReference"/>
        </w:rPr>
        <w:footnoteRef/>
      </w:r>
      <w:r>
        <w:t xml:space="preserve"> </w:t>
      </w:r>
      <w:r>
        <w:rPr>
          <w:i/>
        </w:rPr>
        <w:t xml:space="preserve">Comcast</w:t>
      </w:r>
      <w:r>
        <w:t xml:space="preserve">, 346 Or 238, 249-50 (2009)</w:t>
      </w:r>
      <w:r>
        <w:t xml:space="preserve"> </w:t>
      </w:r>
      <w:r>
        <w:t xml:space="preserve">[@comcast-2009]</w:t>
      </w:r>
      <w:r>
        <w:t xml:space="preserve">;</w:t>
      </w:r>
      <w:r>
        <w:t xml:space="preserve"> </w:t>
      </w:r>
      <w:r>
        <w:rPr>
          <w:i/>
        </w:rPr>
        <w:t xml:space="preserve">Advocates for School Trust Lands</w:t>
      </w:r>
      <w:r>
        <w:t xml:space="preserve">, 346 Or App 668 (2026)</w:t>
      </w:r>
      <w:r>
        <w:t xml:space="preserve"> </w:t>
      </w:r>
      <w:r>
        <w:t xml:space="preserve">[@advocates-2026]</w:t>
      </w:r>
      <w:r>
        <w:t xml:space="preserve">.</w:t>
      </w:r>
    </w:p>
  </w:footnote>
  <w:footnote w:id="635">
    <w:p>
      <w:pPr>
        <w:pStyle w:val="FootnoteText"/>
      </w:pPr>
      <w:r>
        <w:rPr>
          <w:rStyle w:val="FootnoteReference"/>
        </w:rPr>
        <w:footnoteRef/>
      </w:r>
      <w:r>
        <w:t xml:space="preserve"> </w:t>
      </w:r>
      <w:r>
        <w:t xml:space="preserve">Lead case:</w:t>
      </w:r>
      <w:r>
        <w:t xml:space="preserve"> </w:t>
      </w:r>
      <w:r>
        <w:rPr>
          <w:i/>
        </w:rPr>
        <w:t xml:space="preserve">State ex rel. Ebke v. Board of Educational Lands &amp; Funds</w:t>
      </w:r>
      <w:r>
        <w:t xml:space="preserve">, 154 Neb. 244, 47 N.W.2d 520 (1951)</w:t>
      </w:r>
      <w:r>
        <w:t xml:space="preserve"> </w:t>
      </w:r>
      <w:r>
        <w:t xml:space="preserve">[@ebke-1951]</w:t>
      </w:r>
      <w:r>
        <w:t xml:space="preserve">.</w:t>
      </w:r>
    </w:p>
  </w:footnote>
  <w:footnote w:id="636">
    <w:p>
      <w:pPr>
        <w:pStyle w:val="FootnoteText"/>
      </w:pPr>
      <w:r>
        <w:rPr>
          <w:rStyle w:val="FootnoteReference"/>
        </w:rPr>
        <w:footnoteRef/>
      </w:r>
      <w:r>
        <w:t xml:space="preserve"> </w:t>
      </w:r>
      <w:r>
        <w:rPr>
          <w:i/>
        </w:rPr>
        <w:t xml:space="preserve">Propst v. Board of Educational Lands &amp; Funds</w:t>
      </w:r>
      <w:r>
        <w:t xml:space="preserve">, 156 Neb. 226, 55 N.W.2d 653 (1952)</w:t>
      </w:r>
      <w:r>
        <w:t xml:space="preserve"> </w:t>
      </w:r>
      <w:r>
        <w:t xml:space="preserve">[@propst-1952]</w:t>
      </w:r>
      <w:r>
        <w:t xml:space="preserve">.</w:t>
      </w:r>
    </w:p>
  </w:footnote>
  <w:footnote w:id="637">
    <w:p>
      <w:pPr>
        <w:pStyle w:val="FootnoteText"/>
      </w:pPr>
      <w:r>
        <w:rPr>
          <w:rStyle w:val="FootnoteReference"/>
        </w:rPr>
        <w:footnoteRef/>
      </w:r>
      <w:r>
        <w:t xml:space="preserve"> </w:t>
      </w:r>
      <w:r>
        <w:t xml:space="preserve">Nullity of breaching statutes, collected by state:</w:t>
      </w:r>
      <w:r>
        <w:t xml:space="preserve"> </w:t>
      </w:r>
      <w:r>
        <w:rPr>
          <w:b/>
        </w:rPr>
        <w:t xml:space="preserve">Federal (Arizona)</w:t>
      </w:r>
      <w:r>
        <w:t xml:space="preserve"> </w:t>
      </w:r>
      <w:r>
        <w:t xml:space="preserve">—</w:t>
      </w:r>
      <w:r>
        <w:t xml:space="preserve"> </w:t>
      </w:r>
      <w:r>
        <w:rPr>
          <w:i/>
        </w:rPr>
        <w:t xml:space="preserve">ASARCO Inc. v. Kadish</w:t>
      </w:r>
      <w:r>
        <w:t xml:space="preserve">, 490 U.S. 605, 626 (1989)</w:t>
      </w:r>
      <w:r>
        <w:t xml:space="preserve"> </w:t>
      </w:r>
      <w:r>
        <w:t xml:space="preserve">[@asarco-1989]</w:t>
      </w:r>
      <w:r>
        <w:t xml:space="preserve"> </w:t>
      </w:r>
      <w:r>
        <w:t xml:space="preserve">(state mineral-leasing statute void for nonconformity with Enabling Act § 28);</w:t>
      </w:r>
      <w:r>
        <w:t xml:space="preserve"> </w:t>
      </w:r>
      <w:r>
        <w:rPr>
          <w:b/>
        </w:rPr>
        <w:t xml:space="preserve">Idaho</w:t>
      </w:r>
      <w:r>
        <w:t xml:space="preserve"> </w:t>
      </w:r>
      <w:r>
        <w:t xml:space="preserve">—</w:t>
      </w:r>
      <w:r>
        <w:t xml:space="preserve"> </w:t>
      </w:r>
      <w:r>
        <w:rPr>
          <w:i/>
        </w:rPr>
        <w:t xml:space="preserve">Idaho Watersheds Project (IWP II)</w:t>
      </w:r>
      <w:r>
        <w:t xml:space="preserve">, 133 Idaho 64 (1999)</w:t>
      </w:r>
      <w:r>
        <w:t xml:space="preserve"> </w:t>
      </w:r>
      <w:r>
        <w:t xml:space="preserve">[@idaho-watersheds-1999]</w:t>
      </w:r>
      <w:r>
        <w:t xml:space="preserve"> </w:t>
      </w:r>
      <w:r>
        <w:t xml:space="preserve">(Idaho Code § 58-310B invalid);</w:t>
      </w:r>
      <w:r>
        <w:t xml:space="preserve"> </w:t>
      </w:r>
      <w:r>
        <w:rPr>
          <w:b/>
        </w:rPr>
        <w:t xml:space="preserve">Montana</w:t>
      </w:r>
      <w:r>
        <w:t xml:space="preserve"> </w:t>
      </w:r>
      <w:r>
        <w:t xml:space="preserve">—</w:t>
      </w:r>
      <w:r>
        <w:t xml:space="preserve"> </w:t>
      </w:r>
      <w:r>
        <w:rPr>
          <w:i/>
        </w:rPr>
        <w:t xml:space="preserve">Montanans for the Responsible Use of the School Trust v. State</w:t>
      </w:r>
      <w:r>
        <w:t xml:space="preserve">, 1999 MT 263</w:t>
      </w:r>
      <w:r>
        <w:t xml:space="preserve"> </w:t>
      </w:r>
      <w:r>
        <w:t xml:space="preserve">[@montrust-1999]</w:t>
      </w:r>
      <w:r>
        <w:t xml:space="preserve"> </w:t>
      </w:r>
      <w:r>
        <w:t xml:space="preserve">(four diversion statutes and a below-market rental policy struck);</w:t>
      </w:r>
      <w:r>
        <w:t xml:space="preserve"> </w:t>
      </w:r>
      <w:r>
        <w:rPr>
          <w:b/>
        </w:rPr>
        <w:t xml:space="preserve">Nebraska</w:t>
      </w:r>
      <w:r>
        <w:t xml:space="preserve"> </w:t>
      </w:r>
      <w:r>
        <w:t xml:space="preserve">—</w:t>
      </w:r>
      <w:r>
        <w:t xml:space="preserve"> </w:t>
      </w:r>
      <w:r>
        <w:rPr>
          <w:i/>
        </w:rPr>
        <w:t xml:space="preserve">Ebke</w:t>
      </w:r>
      <w:r>
        <w:t xml:space="preserve">, 154 Neb. 244 (1951)</w:t>
      </w:r>
      <w:r>
        <w:t xml:space="preserve"> </w:t>
      </w:r>
      <w:r>
        <w:t xml:space="preserve">[@ebke-1951]</w:t>
      </w:r>
      <w:r>
        <w:t xml:space="preserve">;</w:t>
      </w:r>
      <w:r>
        <w:t xml:space="preserve"> </w:t>
      </w:r>
      <w:r>
        <w:rPr>
          <w:i/>
        </w:rPr>
        <w:t xml:space="preserve">Propst</w:t>
      </w:r>
      <w:r>
        <w:t xml:space="preserve">, 156 Neb. 226 (1952)</w:t>
      </w:r>
      <w:r>
        <w:t xml:space="preserve"> </w:t>
      </w:r>
      <w:r>
        <w:t xml:space="preserve">[@propst-1952]</w:t>
      </w:r>
      <w:r>
        <w:t xml:space="preserve">;</w:t>
      </w:r>
      <w:r>
        <w:t xml:space="preserve"> </w:t>
      </w:r>
      <w:r>
        <w:rPr>
          <w:b/>
        </w:rPr>
        <w:t xml:space="preserve">Oklahoma</w:t>
      </w:r>
      <w:r>
        <w:t xml:space="preserve"> </w:t>
      </w:r>
      <w:r>
        <w:t xml:space="preserve">—</w:t>
      </w:r>
      <w:r>
        <w:t xml:space="preserve"> </w:t>
      </w:r>
      <w:r>
        <w:rPr>
          <w:i/>
        </w:rPr>
        <w:t xml:space="preserve">Oklahoma Education Ass’n, Inc. v. Nigh</w:t>
      </w:r>
      <w:r>
        <w:t xml:space="preserve">, 642 P.2d 230 (Okla. 1982)</w:t>
      </w:r>
      <w:r>
        <w:t xml:space="preserve"> </w:t>
      </w:r>
      <w:r>
        <w:t xml:space="preserve">[@nigh-1982]</w:t>
      </w:r>
      <w:r>
        <w:t xml:space="preserve"> </w:t>
      </w:r>
      <w:r>
        <w:t xml:space="preserve">(</w:t>
      </w:r>
      <w:r>
        <w:t xml:space="preserve">“</w:t>
      </w:r>
      <w:r>
        <w:t xml:space="preserve">No Act of the Legislature can validly alter, modify or diminish the State’s duty as Trustee.</w:t>
      </w:r>
      <w:r>
        <w:t xml:space="preserve">”</w:t>
      </w:r>
      <w:r>
        <w:t xml:space="preserve">);</w:t>
      </w:r>
      <w:r>
        <w:t xml:space="preserve"> </w:t>
      </w:r>
      <w:r>
        <w:rPr>
          <w:b/>
        </w:rPr>
        <w:t xml:space="preserve">South Dakota</w:t>
      </w:r>
      <w:r>
        <w:t xml:space="preserve"> </w:t>
      </w:r>
      <w:r>
        <w:t xml:space="preserve">—</w:t>
      </w:r>
      <w:r>
        <w:t xml:space="preserve"> </w:t>
      </w:r>
      <w:r>
        <w:rPr>
          <w:i/>
        </w:rPr>
        <w:t xml:space="preserve">Kanaly v. State ex rel. Janklow</w:t>
      </w:r>
      <w:r>
        <w:t xml:space="preserve">, 368 N.W.2d 819 (S.D. 1985)</w:t>
      </w:r>
      <w:r>
        <w:t xml:space="preserve"> </w:t>
      </w:r>
      <w:r>
        <w:t xml:space="preserve">[@kanaly-1985]</w:t>
      </w:r>
      <w:r>
        <w:t xml:space="preserve"> </w:t>
      </w:r>
      <w:r>
        <w:t xml:space="preserve">(uncompensated transfer</w:t>
      </w:r>
      <w:r>
        <w:t xml:space="preserve"> </w:t>
      </w:r>
      <w:r>
        <w:t xml:space="preserve">“</w:t>
      </w:r>
      <w:r>
        <w:t xml:space="preserve">unconstitutional and in violation of the Enabling Act</w:t>
      </w:r>
      <w:r>
        <w:t xml:space="preserve">”</w:t>
      </w:r>
      <w:r>
        <w:t xml:space="preserve">);</w:t>
      </w:r>
      <w:r>
        <w:t xml:space="preserve"> </w:t>
      </w:r>
      <w:r>
        <w:rPr>
          <w:b/>
        </w:rPr>
        <w:t xml:space="preserve">Washington</w:t>
      </w:r>
      <w:r>
        <w:t xml:space="preserve"> </w:t>
      </w:r>
      <w:r>
        <w:t xml:space="preserve">—</w:t>
      </w:r>
      <w:r>
        <w:t xml:space="preserve"> </w:t>
      </w:r>
      <w:r>
        <w:rPr>
          <w:i/>
        </w:rPr>
        <w:t xml:space="preserve">County of Skamania v. State</w:t>
      </w:r>
      <w:r>
        <w:t xml:space="preserve">, 102 Wn.2d 127, 685 P.2d 576 (1984)</w:t>
      </w:r>
      <w:r>
        <w:t xml:space="preserve"> </w:t>
      </w:r>
      <w:r>
        <w:t xml:space="preserve">[@skamania-1984]</w:t>
      </w:r>
      <w:r>
        <w:t xml:space="preserve"> </w:t>
      </w:r>
      <w:r>
        <w:t xml:space="preserve">(legislation releasing timber-contract obligations a breach).</w:t>
      </w:r>
    </w:p>
  </w:footnote>
  <w:footnote w:id="638">
    <w:p>
      <w:pPr>
        <w:pStyle w:val="FootnoteText"/>
      </w:pPr>
      <w:r>
        <w:rPr>
          <w:rStyle w:val="FootnoteReference"/>
        </w:rPr>
        <w:footnoteRef/>
      </w:r>
      <w:r>
        <w:t xml:space="preserve"> </w:t>
      </w:r>
      <w:r>
        <w:rPr>
          <w:i/>
        </w:rPr>
        <w:t xml:space="preserve">Montrust</w:t>
      </w:r>
      <w:r>
        <w:t xml:space="preserve">, 1999 MT 263</w:t>
      </w:r>
      <w:r>
        <w:t xml:space="preserve"> </w:t>
      </w:r>
      <w:r>
        <w:t xml:space="preserve">[@montrust-1999]</w:t>
      </w:r>
      <w:r>
        <w:t xml:space="preserve">.</w:t>
      </w:r>
    </w:p>
  </w:footnote>
  <w:footnote w:id="639">
    <w:p>
      <w:pPr>
        <w:pStyle w:val="FootnoteText"/>
      </w:pPr>
      <w:r>
        <w:rPr>
          <w:rStyle w:val="FootnoteReference"/>
        </w:rPr>
        <w:footnoteRef/>
      </w:r>
      <w:r>
        <w:t xml:space="preserve"> </w:t>
      </w:r>
      <w:r>
        <w:rPr>
          <w:i/>
        </w:rPr>
        <w:t xml:space="preserve">IWP II</w:t>
      </w:r>
      <w:r>
        <w:t xml:space="preserve">, 133 Idaho 64 (1999)</w:t>
      </w:r>
      <w:r>
        <w:t xml:space="preserve"> </w:t>
      </w:r>
      <w:r>
        <w:t xml:space="preserve">[@idaho-watersheds-1999]</w:t>
      </w:r>
      <w:r>
        <w:t xml:space="preserve">.</w:t>
      </w:r>
    </w:p>
  </w:footnote>
  <w:footnote w:id="641">
    <w:p>
      <w:pPr>
        <w:pStyle w:val="FootnoteText"/>
      </w:pPr>
      <w:r>
        <w:rPr>
          <w:rStyle w:val="FootnoteReference"/>
        </w:rPr>
        <w:footnoteRef/>
      </w:r>
      <w:r>
        <w:t xml:space="preserve"> </w:t>
      </w:r>
      <w:r>
        <w:t xml:space="preserve">New Mexico-Arizona Enabling Act of June 20, 1910, § 10, 36 Stat. 557</w:t>
      </w:r>
      <w:r>
        <w:t xml:space="preserve"> </w:t>
      </w:r>
      <w:r>
        <w:t xml:space="preserve">[@act-nm-az-1910]</w:t>
      </w:r>
      <w:r>
        <w:t xml:space="preserve">.</w:t>
      </w:r>
    </w:p>
  </w:footnote>
  <w:footnote w:id="642">
    <w:p>
      <w:pPr>
        <w:pStyle w:val="FootnoteText"/>
      </w:pPr>
      <w:r>
        <w:rPr>
          <w:rStyle w:val="FootnoteReference"/>
        </w:rPr>
        <w:footnoteRef/>
      </w:r>
      <w:r>
        <w:t xml:space="preserve"> </w:t>
      </w:r>
      <w:r>
        <w:rPr>
          <w:i/>
        </w:rPr>
        <w:t xml:space="preserve">State v. Warner Valley Stock Co.</w:t>
      </w:r>
      <w:r>
        <w:t xml:space="preserve">, 56 Or 283, 106 P. 780 (1910)</w:t>
      </w:r>
      <w:r>
        <w:t xml:space="preserve"> </w:t>
      </w:r>
      <w:r>
        <w:t xml:space="preserve">[@warner-valley-1910]</w:t>
      </w:r>
      <w:r>
        <w:t xml:space="preserve"> </w:t>
      </w:r>
      <w:r>
        <w:t xml:space="preserve">(full opinion held in L0; deeds issued in violation of the required statutory procedure for the disposition of swamp lands are void, and the Land Board is bound by the statutory framework; holding-level characterization confirmed, 2026-06-08).</w:t>
      </w:r>
    </w:p>
  </w:footnote>
  <w:footnote w:id="643">
    <w:p>
      <w:pPr>
        <w:pStyle w:val="FootnoteText"/>
      </w:pPr>
      <w:r>
        <w:rPr>
          <w:rStyle w:val="FootnoteReference"/>
        </w:rPr>
        <w:footnoteRef/>
      </w:r>
      <w:r>
        <w:t xml:space="preserve"> </w:t>
      </w:r>
      <w:r>
        <w:rPr>
          <w:i/>
        </w:rPr>
        <w:t xml:space="preserve">State ex rel. King v. Lyons</w:t>
      </w:r>
      <w:r>
        <w:t xml:space="preserve">, 2011-NMSC-004, 248 P.3d 878</w:t>
      </w:r>
      <w:r>
        <w:t xml:space="preserve"> </w:t>
      </w:r>
      <w:r>
        <w:t xml:space="preserve">[@lyons-2011]</w:t>
      </w:r>
      <w:r>
        <w:t xml:space="preserve">.</w:t>
      </w:r>
    </w:p>
  </w:footnote>
  <w:footnote w:id="644">
    <w:p>
      <w:pPr>
        <w:pStyle w:val="FootnoteText"/>
      </w:pPr>
      <w:r>
        <w:rPr>
          <w:rStyle w:val="FootnoteReference"/>
        </w:rPr>
        <w:footnoteRef/>
      </w:r>
      <w:r>
        <w:t xml:space="preserve"> </w:t>
      </w:r>
      <w:r>
        <w:rPr>
          <w:i/>
        </w:rPr>
        <w:t xml:space="preserve">Propst</w:t>
      </w:r>
      <w:r>
        <w:t xml:space="preserve">, 156 Neb. 226 (1952)</w:t>
      </w:r>
      <w:r>
        <w:t xml:space="preserve"> </w:t>
      </w:r>
      <w:r>
        <w:t xml:space="preserve">[@propst-1952]</w:t>
      </w:r>
      <w:r>
        <w:t xml:space="preserve">.</w:t>
      </w:r>
    </w:p>
  </w:footnote>
  <w:footnote w:id="645">
    <w:p>
      <w:pPr>
        <w:pStyle w:val="FootnoteText"/>
      </w:pPr>
      <w:r>
        <w:rPr>
          <w:rStyle w:val="FootnoteReference"/>
        </w:rPr>
        <w:footnoteRef/>
      </w:r>
      <w:r>
        <w:t xml:space="preserve"> </w:t>
      </w:r>
      <w:r>
        <w:rPr>
          <w:i/>
        </w:rPr>
        <w:t xml:space="preserve">Propst</w:t>
      </w:r>
      <w:r>
        <w:t xml:space="preserve">, 156 Neb. 226 (1952)</w:t>
      </w:r>
      <w:r>
        <w:t xml:space="preserve"> </w:t>
      </w:r>
      <w:r>
        <w:t xml:space="preserve">[@propst-1952]</w:t>
      </w:r>
      <w:r>
        <w:t xml:space="preserve">. Direct accord cases not yet collected; cognate authority:</w:t>
      </w:r>
      <w:r>
        <w:t xml:space="preserve"> </w:t>
      </w:r>
      <w:r>
        <w:rPr>
          <w:b/>
        </w:rPr>
        <w:t xml:space="preserve">Utah</w:t>
      </w:r>
      <w:r>
        <w:t xml:space="preserve"> </w:t>
      </w:r>
      <w:r>
        <w:t xml:space="preserve">—</w:t>
      </w:r>
      <w:r>
        <w:t xml:space="preserve"> </w:t>
      </w:r>
      <w:r>
        <w:rPr>
          <w:i/>
        </w:rPr>
        <w:t xml:space="preserve">National Parks &amp; Conservation Association v. Board of State Lands</w:t>
      </w:r>
      <w:r>
        <w:t xml:space="preserve">, 869 P.2d 909, 922 (Utah 1993)</w:t>
      </w:r>
      <w:r>
        <w:t xml:space="preserve"> </w:t>
      </w:r>
      <w:r>
        <w:t xml:space="preserve">[@npca-1993]</w:t>
      </w:r>
      <w:r>
        <w:t xml:space="preserve"> </w:t>
      </w:r>
      <w:r>
        <w:t xml:space="preserve">(an appraisal submitted by a party intending to purchase a trust asset is</w:t>
      </w:r>
      <w:r>
        <w:t xml:space="preserve"> </w:t>
      </w:r>
      <w:r>
        <w:t xml:space="preserve">“</w:t>
      </w:r>
      <w:r>
        <w:t xml:space="preserve">suspect on its face</w:t>
      </w:r>
      <w:r>
        <w:t xml:space="preserve">”</w:t>
      </w:r>
      <w:r>
        <w:t xml:space="preserve">; quotation verified against the full opinion, 2026-06-07).</w:t>
      </w:r>
    </w:p>
  </w:footnote>
  <w:footnote w:id="646">
    <w:p>
      <w:pPr>
        <w:pStyle w:val="FootnoteText"/>
      </w:pPr>
      <w:r>
        <w:rPr>
          <w:rStyle w:val="FootnoteReference"/>
        </w:rPr>
        <w:footnoteRef/>
      </w:r>
      <w:r>
        <w:t xml:space="preserve"> </w:t>
      </w:r>
      <w:r>
        <w:t xml:space="preserve">See §§ 9.3-9.4 [VERIFY cross-reference numbers against Chapter 9 as renumbered];</w:t>
      </w:r>
      <w:r>
        <w:t xml:space="preserve"> </w:t>
      </w:r>
      <w:r>
        <w:rPr>
          <w:i/>
        </w:rPr>
        <w:t xml:space="preserve">Lyons</w:t>
      </w:r>
      <w:r>
        <w:t xml:space="preserve">, 2011-NMSC-004</w:t>
      </w:r>
      <w:r>
        <w:t xml:space="preserve"> </w:t>
      </w:r>
      <w:r>
        <w:t xml:space="preserve">[@lyons-2011]</w:t>
      </w:r>
      <w:r>
        <w:t xml:space="preserve">.</w:t>
      </w:r>
    </w:p>
  </w:footnote>
  <w:footnote w:id="648">
    <w:p>
      <w:pPr>
        <w:pStyle w:val="FootnoteText"/>
      </w:pPr>
      <w:r>
        <w:rPr>
          <w:rStyle w:val="FootnoteReference"/>
        </w:rPr>
        <w:footnoteRef/>
      </w:r>
      <w:r>
        <w:t xml:space="preserve"> </w:t>
      </w:r>
      <w:r>
        <w:rPr>
          <w:i/>
        </w:rPr>
        <w:t xml:space="preserve">Lassen v. Arizona ex rel. Arizona Highway Department</w:t>
      </w:r>
      <w:r>
        <w:t xml:space="preserve">, 385 U.S. 458, 466-67 (1967)</w:t>
      </w:r>
      <w:r>
        <w:t xml:space="preserve"> </w:t>
      </w:r>
      <w:r>
        <w:t xml:space="preserve">[@lassen-1967]</w:t>
      </w:r>
      <w:r>
        <w:t xml:space="preserve">.</w:t>
      </w:r>
    </w:p>
  </w:footnote>
  <w:footnote w:id="649">
    <w:p>
      <w:pPr>
        <w:pStyle w:val="FootnoteText"/>
      </w:pPr>
      <w:r>
        <w:rPr>
          <w:rStyle w:val="FootnoteReference"/>
        </w:rPr>
        <w:footnoteRef/>
      </w:r>
      <w:r>
        <w:t xml:space="preserve"> </w:t>
      </w:r>
      <w:r>
        <w:t xml:space="preserve">Restoration and full-value compensation, collected by state:</w:t>
      </w:r>
      <w:r>
        <w:t xml:space="preserve"> </w:t>
      </w:r>
      <w:r>
        <w:rPr>
          <w:b/>
        </w:rPr>
        <w:t xml:space="preserve">South Dakota</w:t>
      </w:r>
      <w:r>
        <w:t xml:space="preserve"> </w:t>
      </w:r>
      <w:r>
        <w:t xml:space="preserve">—</w:t>
      </w:r>
      <w:r>
        <w:t xml:space="preserve"> </w:t>
      </w:r>
      <w:r>
        <w:rPr>
          <w:i/>
        </w:rPr>
        <w:t xml:space="preserve">Kanaly</w:t>
      </w:r>
      <w:r>
        <w:t xml:space="preserve">, 368 N.W.2d 819 (S.D. 1985)</w:t>
      </w:r>
      <w:r>
        <w:t xml:space="preserve"> </w:t>
      </w:r>
      <w:r>
        <w:t xml:space="preserve">[@kanaly-1985]</w:t>
      </w:r>
      <w:r>
        <w:t xml:space="preserve">;</w:t>
      </w:r>
      <w:r>
        <w:t xml:space="preserve"> </w:t>
      </w:r>
      <w:r>
        <w:rPr>
          <w:b/>
        </w:rPr>
        <w:t xml:space="preserve">New Mexico</w:t>
      </w:r>
      <w:r>
        <w:t xml:space="preserve"> </w:t>
      </w:r>
      <w:r>
        <w:t xml:space="preserve">—</w:t>
      </w:r>
      <w:r>
        <w:t xml:space="preserve"> </w:t>
      </w:r>
      <w:r>
        <w:rPr>
          <w:i/>
        </w:rPr>
        <w:t xml:space="preserve">State ex rel. State Highway Commission v. Walker</w:t>
      </w:r>
      <w:r>
        <w:t xml:space="preserve">, 61 N.M. 374, 301 P.2d 317 (1956)</w:t>
      </w:r>
      <w:r>
        <w:t xml:space="preserve"> </w:t>
      </w:r>
      <w:r>
        <w:t xml:space="preserve">[@walker-1956]</w:t>
      </w:r>
      <w:r>
        <w:t xml:space="preserve">;</w:t>
      </w:r>
      <w:r>
        <w:t xml:space="preserve"> </w:t>
      </w:r>
      <w:r>
        <w:rPr>
          <w:b/>
        </w:rPr>
        <w:t xml:space="preserve">Alaska</w:t>
      </w:r>
      <w:r>
        <w:t xml:space="preserve"> </w:t>
      </w:r>
      <w:r>
        <w:t xml:space="preserve">—</w:t>
      </w:r>
      <w:r>
        <w:t xml:space="preserve"> </w:t>
      </w:r>
      <w:r>
        <w:rPr>
          <w:i/>
        </w:rPr>
        <w:t xml:space="preserve">State v. University of Alaska</w:t>
      </w:r>
      <w:r>
        <w:t xml:space="preserve">, 624 P.2d 807, 813 (Alaska 1981)</w:t>
      </w:r>
      <w:r>
        <w:t xml:space="preserve"> </w:t>
      </w:r>
      <w:r>
        <w:t xml:space="preserve">[@university-of-alaska-1981]</w:t>
      </w:r>
      <w:r>
        <w:t xml:space="preserve">;</w:t>
      </w:r>
      <w:r>
        <w:t xml:space="preserve"> </w:t>
      </w:r>
      <w:r>
        <w:rPr>
          <w:b/>
        </w:rPr>
        <w:t xml:space="preserve">Montana</w:t>
      </w:r>
      <w:r>
        <w:t xml:space="preserve"> </w:t>
      </w:r>
      <w:r>
        <w:t xml:space="preserve">—</w:t>
      </w:r>
      <w:r>
        <w:t xml:space="preserve"> </w:t>
      </w:r>
      <w:r>
        <w:rPr>
          <w:i/>
        </w:rPr>
        <w:t xml:space="preserve">Department of State Lands v. Pettibone</w:t>
      </w:r>
      <w:r>
        <w:t xml:space="preserve">, 702 P.2d 948 (Mont. 1985)</w:t>
      </w:r>
      <w:r>
        <w:t xml:space="preserve"> </w:t>
      </w:r>
      <w:r>
        <w:t xml:space="preserve">[@pettibone-1985]</w:t>
      </w:r>
      <w:r>
        <w:t xml:space="preserve">;</w:t>
      </w:r>
      <w:r>
        <w:t xml:space="preserve"> </w:t>
      </w:r>
      <w:r>
        <w:rPr>
          <w:b/>
        </w:rPr>
        <w:t xml:space="preserve">Utah</w:t>
      </w:r>
      <w:r>
        <w:t xml:space="preserve"> </w:t>
      </w:r>
      <w:r>
        <w:t xml:space="preserve">—</w:t>
      </w:r>
      <w:r>
        <w:t xml:space="preserve"> </w:t>
      </w:r>
      <w:r>
        <w:rPr>
          <w:i/>
        </w:rPr>
        <w:t xml:space="preserve">NPCA</w:t>
      </w:r>
      <w:r>
        <w:t xml:space="preserve">, 869 P.2d 909 (Utah 1993)</w:t>
      </w:r>
      <w:r>
        <w:t xml:space="preserve"> </w:t>
      </w:r>
      <w:r>
        <w:t xml:space="preserve">[@npca-1993]</w:t>
      </w:r>
      <w:r>
        <w:t xml:space="preserve">;</w:t>
      </w:r>
      <w:r>
        <w:t xml:space="preserve"> </w:t>
      </w:r>
      <w:r>
        <w:rPr>
          <w:b/>
        </w:rPr>
        <w:t xml:space="preserve">Mississippi</w:t>
      </w:r>
      <w:r>
        <w:t xml:space="preserve"> </w:t>
      </w:r>
      <w:r>
        <w:t xml:space="preserve">—</w:t>
      </w:r>
      <w:r>
        <w:t xml:space="preserve"> </w:t>
      </w:r>
      <w:r>
        <w:rPr>
          <w:i/>
        </w:rPr>
        <w:t xml:space="preserve">Clark v. Stephen D. Lee Foundation</w:t>
      </w:r>
      <w:r>
        <w:t xml:space="preserve">, 887 So. 2d 798 (Miss. 2004)</w:t>
      </w:r>
      <w:r>
        <w:t xml:space="preserve"> </w:t>
      </w:r>
      <w:r>
        <w:t xml:space="preserve">[@clark-2004]</w:t>
      </w:r>
      <w:r>
        <w:t xml:space="preserve">;</w:t>
      </w:r>
      <w:r>
        <w:t xml:space="preserve"> </w:t>
      </w:r>
      <w:r>
        <w:rPr>
          <w:b/>
        </w:rPr>
        <w:t xml:space="preserve">Washington</w:t>
      </w:r>
      <w:r>
        <w:t xml:space="preserve"> </w:t>
      </w:r>
      <w:r>
        <w:t xml:space="preserve">—</w:t>
      </w:r>
      <w:r>
        <w:t xml:space="preserve"> </w:t>
      </w:r>
      <w:r>
        <w:rPr>
          <w:i/>
        </w:rPr>
        <w:t xml:space="preserve">Skamania</w:t>
      </w:r>
      <w:r>
        <w:t xml:space="preserve">, 102 Wn.2d 127 (1984)</w:t>
      </w:r>
      <w:r>
        <w:t xml:space="preserve"> </w:t>
      </w:r>
      <w:r>
        <w:t xml:space="preserve">[@skamania-1984]</w:t>
      </w:r>
      <w:r>
        <w:t xml:space="preserve"> </w:t>
      </w:r>
      <w:r>
        <w:t xml:space="preserve">(full value on transfer of trust assets including contract rights).</w:t>
      </w:r>
    </w:p>
  </w:footnote>
  <w:footnote w:id="650">
    <w:p>
      <w:pPr>
        <w:pStyle w:val="FootnoteText"/>
      </w:pPr>
      <w:r>
        <w:rPr>
          <w:rStyle w:val="FootnoteReference"/>
        </w:rPr>
        <w:footnoteRef/>
      </w:r>
      <w:r>
        <w:t xml:space="preserve"> </w:t>
      </w:r>
      <w:r>
        <w:rPr>
          <w:i/>
        </w:rPr>
        <w:t xml:space="preserve">Plateau Mining Co. v. Utah Division of State Lands &amp; Forestry</w:t>
      </w:r>
      <w:r>
        <w:t xml:space="preserve">, 802 P.2d 720 (Utah 1990)</w:t>
      </w:r>
      <w:r>
        <w:t xml:space="preserve"> </w:t>
      </w:r>
      <w:r>
        <w:t xml:space="preserve">[@plateau-1990]</w:t>
      </w:r>
      <w:r>
        <w:t xml:space="preserve"> </w:t>
      </w:r>
      <w:r>
        <w:t xml:space="preserve">(</w:t>
      </w:r>
      <w:r>
        <w:t xml:space="preserve">“</w:t>
      </w:r>
      <w:r>
        <w:t xml:space="preserve">the same fiduciary duties as any private trustee</w:t>
      </w:r>
      <w:r>
        <w:t xml:space="preserve">”</w:t>
      </w:r>
      <w:r>
        <w:t xml:space="preserve">);</w:t>
      </w:r>
      <w:r>
        <w:t xml:space="preserve"> </w:t>
      </w:r>
      <w:r>
        <w:rPr>
          <w:i/>
        </w:rPr>
        <w:t xml:space="preserve">Skamania</w:t>
      </w:r>
      <w:r>
        <w:t xml:space="preserve">, 102 Wn.2d 127, 132 (1984)</w:t>
      </w:r>
      <w:r>
        <w:t xml:space="preserve"> </w:t>
      </w:r>
      <w:r>
        <w:t xml:space="preserve">[@skamania-1984]</w:t>
      </w:r>
      <w:r>
        <w:t xml:space="preserve"> </w:t>
      </w:r>
      <w:r>
        <w:t xml:space="preserve">(same formulation). Surcharge accord cases not yet collected; see Architecture § C, verification wave 2.</w:t>
      </w:r>
    </w:p>
  </w:footnote>
  <w:footnote w:id="652">
    <w:p>
      <w:pPr>
        <w:pStyle w:val="FootnoteText"/>
      </w:pPr>
      <w:r>
        <w:rPr>
          <w:rStyle w:val="FootnoteReference"/>
        </w:rPr>
        <w:footnoteRef/>
      </w:r>
      <w:r>
        <w:t xml:space="preserve"> </w:t>
      </w:r>
      <w:r>
        <w:rPr>
          <w:i/>
        </w:rPr>
        <w:t xml:space="preserve">Wood v. Honeyman</w:t>
      </w:r>
      <w:r>
        <w:t xml:space="preserve">, 178 Or 484, 555-57 (1946)</w:t>
      </w:r>
      <w:r>
        <w:t xml:space="preserve"> </w:t>
      </w:r>
      <w:r>
        <w:t xml:space="preserve">[@honeyman-1946]</w:t>
      </w:r>
      <w:r>
        <w:t xml:space="preserve"> </w:t>
      </w:r>
      <w:r>
        <w:t xml:space="preserve">(first quotation at 555-56; second is Bogert,</w:t>
      </w:r>
      <w:r>
        <w:t xml:space="preserve"> </w:t>
      </w:r>
      <w:r>
        <w:rPr>
          <w:i/>
        </w:rPr>
        <w:t xml:space="preserve">Trusts and Trustees</w:t>
      </w:r>
      <w:r>
        <w:t xml:space="preserve"> </w:t>
      </w:r>
      <w:r>
        <w:t xml:space="preserve">§ 962, quoted with approval at 556-57; verified against the L0 full opinion 2026-06-07 — earlier drafts carried two Restatement-style quotations the opinion does not contain).</w:t>
      </w:r>
    </w:p>
  </w:footnote>
  <w:footnote w:id="653">
    <w:p>
      <w:pPr>
        <w:pStyle w:val="FootnoteText"/>
      </w:pPr>
      <w:r>
        <w:rPr>
          <w:rStyle w:val="FootnoteReference"/>
        </w:rPr>
        <w:footnoteRef/>
      </w:r>
      <w:r>
        <w:t xml:space="preserve"> </w:t>
      </w:r>
      <w:r>
        <w:t xml:space="preserve">Bogert,</w:t>
      </w:r>
      <w:r>
        <w:t xml:space="preserve"> </w:t>
      </w:r>
      <w:r>
        <w:rPr>
          <w:i/>
        </w:rPr>
        <w:t xml:space="preserve">Trusts and Trustees</w:t>
      </w:r>
      <w:r>
        <w:t xml:space="preserve"> </w:t>
      </w:r>
      <w:r>
        <w:t xml:space="preserve">§§ 961-973</w:t>
      </w:r>
      <w:r>
        <w:t xml:space="preserve"> </w:t>
      </w:r>
      <w:r>
        <w:t xml:space="preserve">[@bogert-trusts]</w:t>
      </w:r>
      <w:r>
        <w:t xml:space="preserve"> </w:t>
      </w:r>
      <w:r>
        <w:t xml:space="preserve">(accounting independent of damages); Scott on Trusts § 172</w:t>
      </w:r>
      <w:r>
        <w:t xml:space="preserve"> </w:t>
      </w:r>
      <w:r>
        <w:t xml:space="preserve">[@scott-trusts]</w:t>
      </w:r>
      <w:r>
        <w:t xml:space="preserve">; Restatement (Third) of Trusts §§ 170-184</w:t>
      </w:r>
      <w:r>
        <w:t xml:space="preserve"> </w:t>
      </w:r>
      <w:r>
        <w:t xml:space="preserve">[@rest3d-trusts]</w:t>
      </w:r>
      <w:r>
        <w:t xml:space="preserve"> </w:t>
      </w:r>
      <w:r>
        <w:t xml:space="preserve">[VERIFY section-range characterization against the printed text].</w:t>
      </w:r>
    </w:p>
  </w:footnote>
  <w:footnote w:id="654">
    <w:p>
      <w:pPr>
        <w:pStyle w:val="FootnoteText"/>
      </w:pPr>
      <w:r>
        <w:rPr>
          <w:rStyle w:val="FootnoteReference"/>
        </w:rPr>
        <w:footnoteRef/>
      </w:r>
      <w:r>
        <w:t xml:space="preserve"> </w:t>
      </w:r>
      <w:r>
        <w:t xml:space="preserve">See § 17.3 (the</w:t>
      </w:r>
      <w:r>
        <w:t xml:space="preserve"> </w:t>
      </w:r>
      <w:r>
        <w:rPr>
          <w:i/>
        </w:rPr>
        <w:t xml:space="preserve">Sasser</w:t>
      </w:r>
      <w:r>
        <w:t xml:space="preserve">/</w:t>
      </w:r>
      <w:r>
        <w:rPr>
          <w:i/>
        </w:rPr>
        <w:t xml:space="preserve">Thompson</w:t>
      </w:r>
      <w:r>
        <w:t xml:space="preserve"> </w:t>
      </w:r>
      <w:r>
        <w:t xml:space="preserve">line, citations verified 2026-06-07) and § 12.4 [VERIFY cross-reference number against Chapter 12 as renumbered].</w:t>
      </w:r>
    </w:p>
  </w:footnote>
  <w:footnote w:id="656">
    <w:p>
      <w:pPr>
        <w:pStyle w:val="FootnoteText"/>
      </w:pPr>
      <w:r>
        <w:rPr>
          <w:rStyle w:val="FootnoteReference"/>
        </w:rPr>
        <w:footnoteRef/>
      </w:r>
      <w:r>
        <w:t xml:space="preserve"> </w:t>
      </w:r>
      <w:r>
        <w:rPr>
          <w:i/>
        </w:rPr>
        <w:t xml:space="preserve">Propst</w:t>
      </w:r>
      <w:r>
        <w:t xml:space="preserve">, 156 Neb. 226 (1952)</w:t>
      </w:r>
      <w:r>
        <w:t xml:space="preserve"> </w:t>
      </w:r>
      <w:r>
        <w:t xml:space="preserve">[@propst-1952]</w:t>
      </w:r>
      <w:r>
        <w:t xml:space="preserve">;</w:t>
      </w:r>
      <w:r>
        <w:t xml:space="preserve"> </w:t>
      </w:r>
      <w:r>
        <w:rPr>
          <w:i/>
        </w:rPr>
        <w:t xml:space="preserve">Montrust</w:t>
      </w:r>
      <w:r>
        <w:t xml:space="preserve">, 1999 MT 263</w:t>
      </w:r>
      <w:r>
        <w:t xml:space="preserve"> </w:t>
      </w:r>
      <w:r>
        <w:t xml:space="preserve">[@montrust-1999]</w:t>
      </w:r>
      <w:r>
        <w:t xml:space="preserve">.</w:t>
      </w:r>
    </w:p>
  </w:footnote>
  <w:footnote w:id="657">
    <w:p>
      <w:pPr>
        <w:pStyle w:val="FootnoteText"/>
      </w:pPr>
      <w:r>
        <w:rPr>
          <w:rStyle w:val="FootnoteReference"/>
        </w:rPr>
        <w:footnoteRef/>
      </w:r>
      <w:r>
        <w:t xml:space="preserve"> </w:t>
      </w:r>
      <w:r>
        <w:rPr>
          <w:i/>
        </w:rPr>
        <w:t xml:space="preserve">Pendleton School District 16R v. State</w:t>
      </w:r>
      <w:r>
        <w:t xml:space="preserve">, 345 Or 596 (2009)</w:t>
      </w:r>
      <w:r>
        <w:t xml:space="preserve"> </w:t>
      </w:r>
      <w:r>
        <w:t xml:space="preserve">[@pendleton-2009]</w:t>
      </w:r>
      <w:r>
        <w:t xml:space="preserve">;</w:t>
      </w:r>
      <w:r>
        <w:t xml:space="preserve"> </w:t>
      </w:r>
      <w:r>
        <w:rPr>
          <w:i/>
        </w:rPr>
        <w:t xml:space="preserve">Central Oregon Irrigation District v. Deschutes County</w:t>
      </w:r>
      <w:r>
        <w:t xml:space="preserve">, 168 Or 493 (1942)</w:t>
      </w:r>
      <w:r>
        <w:t xml:space="preserve"> </w:t>
      </w:r>
      <w:r>
        <w:t xml:space="preserve">[@cent-or-irr-1942]</w:t>
      </w:r>
      <w:r>
        <w:t xml:space="preserve">.</w:t>
      </w:r>
    </w:p>
  </w:footnote>
  <w:footnote w:id="658">
    <w:p>
      <w:pPr>
        <w:pStyle w:val="FootnoteText"/>
      </w:pPr>
      <w:r>
        <w:rPr>
          <w:rStyle w:val="FootnoteReference"/>
        </w:rPr>
        <w:footnoteRef/>
      </w:r>
      <w:r>
        <w:t xml:space="preserve"> </w:t>
      </w:r>
      <w:r>
        <w:rPr>
          <w:i/>
        </w:rPr>
        <w:t xml:space="preserve">Montrust</w:t>
      </w:r>
      <w:r>
        <w:t xml:space="preserve">, 1999 MT 263</w:t>
      </w:r>
      <w:r>
        <w:t xml:space="preserve"> </w:t>
      </w:r>
      <w:r>
        <w:t xml:space="preserve">[@montrust-1999]</w:t>
      </w:r>
      <w:r>
        <w:t xml:space="preserve"> </w:t>
      </w:r>
      <w:r>
        <w:t xml:space="preserve">(private-attorney-general doctrine adopted). Accord fee-shifting cases not yet collected; see Architecture § C, verification wave 2.</w:t>
      </w:r>
    </w:p>
  </w:footnote>
  <w:footnote w:id="660">
    <w:p>
      <w:pPr>
        <w:pStyle w:val="FootnoteText"/>
      </w:pPr>
      <w:r>
        <w:rPr>
          <w:rStyle w:val="FootnoteReference"/>
        </w:rPr>
        <w:footnoteRef/>
      </w:r>
      <w:r>
        <w:t xml:space="preserve"> </w:t>
      </w:r>
      <w:r>
        <w:rPr>
          <w:b/>
        </w:rPr>
        <w:t xml:space="preserve">Colorado</w:t>
      </w:r>
      <w:r>
        <w:t xml:space="preserve"> </w:t>
      </w:r>
      <w:r>
        <w:t xml:space="preserve">— Colo. Const. Amendment 16 (1996)</w:t>
      </w:r>
      <w:r>
        <w:t xml:space="preserve"> </w:t>
      </w:r>
      <w:r>
        <w:t xml:space="preserve">[@const-co-amend16-1996]</w:t>
      </w:r>
      <w:r>
        <w:t xml:space="preserve">, sustained in</w:t>
      </w:r>
      <w:r>
        <w:t xml:space="preserve"> </w:t>
      </w:r>
      <w:r>
        <w:rPr>
          <w:i/>
        </w:rPr>
        <w:t xml:space="preserve">Branson School District RE-82 v. Romer</w:t>
      </w:r>
      <w:r>
        <w:t xml:space="preserve">, 161 F.3d 619 (10th Cir. 1998)</w:t>
      </w:r>
      <w:r>
        <w:t xml:space="preserve"> </w:t>
      </w:r>
      <w:r>
        <w:t xml:space="preserve">[@branson-1998]</w:t>
      </w:r>
      <w:r>
        <w:t xml:space="preserve">;</w:t>
      </w:r>
      <w:r>
        <w:t xml:space="preserve"> </w:t>
      </w:r>
      <w:r>
        <w:rPr>
          <w:b/>
        </w:rPr>
        <w:t xml:space="preserve">New Mexico</w:t>
      </w:r>
      <w:r>
        <w:t xml:space="preserve"> </w:t>
      </w:r>
      <w:r>
        <w:t xml:space="preserve">— the 2022 early-childhood amendment, adopted with congressional consent under the federal compact</w:t>
      </w:r>
      <w:r>
        <w:t xml:space="preserve"> </w:t>
      </w:r>
      <w:r>
        <w:t xml:space="preserve">[@const-nm-2022]</w:t>
      </w:r>
      <w:r>
        <w:t xml:space="preserve"> </w:t>
      </w:r>
      <w:r>
        <w:t xml:space="preserve">(see § 3.5 [VERIFY cross-reference number]). A decided case squarely holding that a constitutionally established trustee cannot be removed or restructured by statute is not yet collected; the proposition is carried here as a structural inference from the constitutional status of the trustees and the amendment practice of the reforming states [VERIFY — assign to the accord-case hunt, wave 2].</w:t>
      </w:r>
    </w:p>
  </w:footnote>
  <w:footnote w:id="661">
    <w:p>
      <w:pPr>
        <w:pStyle w:val="FootnoteText"/>
      </w:pPr>
      <w:r>
        <w:rPr>
          <w:rStyle w:val="FootnoteReference"/>
        </w:rPr>
        <w:footnoteRef/>
      </w:r>
      <w:r>
        <w:t xml:space="preserve"> </w:t>
      </w:r>
      <w:r>
        <w:rPr>
          <w:i/>
        </w:rPr>
        <w:t xml:space="preserve">State v. Weiss</w:t>
      </w:r>
      <w:r>
        <w:t xml:space="preserve">, 706 P.2d 681, 683 (Alaska 1985)</w:t>
      </w:r>
      <w:r>
        <w:t xml:space="preserve"> </w:t>
      </w:r>
      <w:r>
        <w:t xml:space="preserve">[@weiss-1985]</w:t>
      </w:r>
      <w:r>
        <w:t xml:space="preserve"> </w:t>
      </w:r>
      <w:r>
        <w:t xml:space="preserve">(mental-health lands trust; corpus-preservation authority).</w:t>
      </w:r>
    </w:p>
  </w:footnote>
  <w:footnote w:id="662">
    <w:p>
      <w:pPr>
        <w:pStyle w:val="FootnoteText"/>
      </w:pPr>
      <w:r>
        <w:rPr>
          <w:rStyle w:val="FootnoteReference"/>
        </w:rPr>
        <w:footnoteRef/>
      </w:r>
      <w:r>
        <w:t xml:space="preserve"> </w:t>
      </w:r>
      <w:r>
        <w:rPr>
          <w:i/>
        </w:rPr>
        <w:t xml:space="preserve">Holmes v. Olcott</w:t>
      </w:r>
      <w:r>
        <w:t xml:space="preserve">, 96 Or 33 (1920)</w:t>
      </w:r>
      <w:r>
        <w:t xml:space="preserve"> </w:t>
      </w:r>
      <w:r>
        <w:t xml:space="preserve">[@holmes-1920]</w:t>
      </w:r>
      <w:r>
        <w:t xml:space="preserve">; see § 17.2.</w:t>
      </w:r>
    </w:p>
  </w:footnote>
  <w:footnote w:id="663">
    <w:p>
      <w:pPr>
        <w:pStyle w:val="FootnoteText"/>
      </w:pPr>
      <w:r>
        <w:rPr>
          <w:rStyle w:val="FootnoteReference"/>
        </w:rPr>
        <w:footnoteRef/>
      </w:r>
      <w:r>
        <w:t xml:space="preserve"> </w:t>
      </w:r>
      <w:r>
        <w:rPr>
          <w:i/>
        </w:rPr>
        <w:t xml:space="preserve">Montanans for the Responsible Use of the School Trust v. Darkenwald</w:t>
      </w:r>
      <w:r>
        <w:t xml:space="preserve">, 2005 MT 190, 328 Mont. 105</w:t>
      </w:r>
      <w:r>
        <w:t xml:space="preserve"> </w:t>
      </w:r>
      <w:r>
        <w:t xml:space="preserve">[@darkenwald-2005]</w:t>
      </w:r>
      <w:r>
        <w:t xml:space="preserve">;</w:t>
      </w:r>
      <w:r>
        <w:t xml:space="preserve"> </w:t>
      </w:r>
      <w:r>
        <w:rPr>
          <w:i/>
        </w:rPr>
        <w:t xml:space="preserve">Cascadia Wildlands v. Department of State Lands</w:t>
      </w:r>
      <w:r>
        <w:t xml:space="preserve">, 365 Or 750 (2019)</w:t>
      </w:r>
      <w:r>
        <w:t xml:space="preserve"> </w:t>
      </w:r>
      <w:r>
        <w:t xml:space="preserve">[@cascadia-2019]</w:t>
      </w:r>
      <w:r>
        <w:t xml:space="preserve">;</w:t>
      </w:r>
      <w:r>
        <w:t xml:space="preserve"> </w:t>
      </w:r>
      <w:r>
        <w:rPr>
          <w:i/>
        </w:rPr>
        <w:t xml:space="preserve">Branson</w:t>
      </w:r>
      <w:r>
        <w:t xml:space="preserve">, 161 F.3d 619 (10th Cir. 1998)</w:t>
      </w:r>
      <w:r>
        <w:t xml:space="preserve"> </w:t>
      </w:r>
      <w:r>
        <w:t xml:space="preserve">[@branson-1998]</w:t>
      </w:r>
      <w:r>
        <w:t xml:space="preserve">.</w:t>
      </w:r>
    </w:p>
  </w:footnote>
  <w:footnote w:id="665">
    <w:p>
      <w:pPr>
        <w:pStyle w:val="FootnoteText"/>
      </w:pPr>
      <w:r>
        <w:rPr>
          <w:rStyle w:val="FootnoteReference"/>
        </w:rPr>
        <w:footnoteRef/>
      </w:r>
      <w:r>
        <w:t xml:space="preserve"> </w:t>
      </w:r>
      <w:r>
        <w:t xml:space="preserve">See the nullity authorities collected at § 18.2.</w:t>
      </w:r>
    </w:p>
  </w:footnote>
  <w:footnote w:id="666">
    <w:p>
      <w:pPr>
        <w:pStyle w:val="FootnoteText"/>
      </w:pPr>
      <w:r>
        <w:rPr>
          <w:rStyle w:val="FootnoteReference"/>
        </w:rPr>
        <w:footnoteRef/>
      </w:r>
      <w:r>
        <w:t xml:space="preserve"> </w:t>
      </w:r>
      <w:r>
        <w:t xml:space="preserve">See the restoration authorities collected at § 18.4.</w:t>
      </w:r>
    </w:p>
  </w:footnote>
  <w:footnote w:id="667">
    <w:p>
      <w:pPr>
        <w:pStyle w:val="FootnoteText"/>
      </w:pPr>
      <w:r>
        <w:rPr>
          <w:rStyle w:val="FootnoteReference"/>
        </w:rPr>
        <w:footnoteRef/>
      </w:r>
      <w:r>
        <w:t xml:space="preserve"> </w:t>
      </w:r>
      <w:r>
        <w:t xml:space="preserve">See § 18.7 and the constitutional-amendment authorities collected there.</w:t>
      </w:r>
    </w:p>
  </w:footnote>
  <w:footnote w:id="671">
    <w:p>
      <w:pPr>
        <w:pStyle w:val="FootnoteText"/>
      </w:pPr>
      <w:r>
        <w:rPr>
          <w:rStyle w:val="FootnoteReference"/>
        </w:rPr>
        <w:footnoteRef/>
      </w:r>
      <w:r>
        <w:t xml:space="preserve"> </w:t>
      </w:r>
      <w:r>
        <w:rPr>
          <w:i/>
        </w:rPr>
        <w:t xml:space="preserve">Cooper v. Roberts</w:t>
      </w:r>
      <w:r>
        <w:t xml:space="preserve">, 59 U.S. (18 How.) 173 (1855)</w:t>
      </w:r>
      <w:r>
        <w:t xml:space="preserve"> </w:t>
      </w:r>
      <w:r>
        <w:t xml:space="preserve">[@cooper-1855]</w:t>
      </w:r>
      <w:r>
        <w:t xml:space="preserve">.</w:t>
      </w:r>
    </w:p>
  </w:footnote>
  <w:footnote w:id="672">
    <w:p>
      <w:pPr>
        <w:pStyle w:val="FootnoteText"/>
      </w:pPr>
      <w:r>
        <w:rPr>
          <w:rStyle w:val="FootnoteReference"/>
        </w:rPr>
        <w:footnoteRef/>
      </w:r>
      <w:r>
        <w:t xml:space="preserve"> </w:t>
      </w:r>
      <w:r>
        <w:t xml:space="preserve">Accord:</w:t>
      </w:r>
      <w:r>
        <w:t xml:space="preserve"> </w:t>
      </w:r>
      <w:r>
        <w:rPr>
          <w:b/>
        </w:rPr>
        <w:t xml:space="preserve">Federal (New Mexico)</w:t>
      </w:r>
      <w:r>
        <w:t xml:space="preserve"> </w:t>
      </w:r>
      <w:r>
        <w:t xml:space="preserve">—</w:t>
      </w:r>
      <w:r>
        <w:t xml:space="preserve"> </w:t>
      </w:r>
      <w:r>
        <w:rPr>
          <w:i/>
        </w:rPr>
        <w:t xml:space="preserve">Ervien v. United States</w:t>
      </w:r>
      <w:r>
        <w:t xml:space="preserve">, 251 U.S. 41, 47 (1919)</w:t>
      </w:r>
      <w:r>
        <w:t xml:space="preserve"> </w:t>
      </w:r>
      <w:r>
        <w:t xml:space="preserve">[@ervien-1919]</w:t>
      </w:r>
      <w:r>
        <w:t xml:space="preserve"> </w:t>
      </w:r>
      <w:r>
        <w:t xml:space="preserve">(the enumeration of purposes</w:t>
      </w:r>
      <w:r>
        <w:t xml:space="preserve"> </w:t>
      </w:r>
      <w:r>
        <w:t xml:space="preserve">“</w:t>
      </w:r>
      <w:r>
        <w:t xml:space="preserve">necessarily exclusive of any other purpose</w:t>
      </w:r>
      <w:r>
        <w:t xml:space="preserve">”</w:t>
      </w:r>
      <w:r>
        <w:t xml:space="preserve">);</w:t>
      </w:r>
      <w:r>
        <w:t xml:space="preserve"> </w:t>
      </w:r>
      <w:r>
        <w:rPr>
          <w:b/>
        </w:rPr>
        <w:t xml:space="preserve">Federal (Arizona)</w:t>
      </w:r>
      <w:r>
        <w:t xml:space="preserve"> </w:t>
      </w:r>
      <w:r>
        <w:t xml:space="preserve">—</w:t>
      </w:r>
      <w:r>
        <w:t xml:space="preserve"> </w:t>
      </w:r>
      <w:r>
        <w:rPr>
          <w:i/>
        </w:rPr>
        <w:t xml:space="preserve">ASARCO Inc. v. Kadish</w:t>
      </w:r>
      <w:r>
        <w:t xml:space="preserve">, 490 U.S. 605 (1989)</w:t>
      </w:r>
      <w:r>
        <w:t xml:space="preserve"> </w:t>
      </w:r>
      <w:r>
        <w:t xml:space="preserve">[@asarco-1989]</w:t>
      </w:r>
      <w:r>
        <w:t xml:space="preserve"> </w:t>
      </w:r>
      <w:r>
        <w:t xml:space="preserve">(state statute void for nonconformity with the granting act);</w:t>
      </w:r>
      <w:r>
        <w:t xml:space="preserve"> </w:t>
      </w:r>
      <w:r>
        <w:rPr>
          <w:b/>
        </w:rPr>
        <w:t xml:space="preserve">Oklahoma</w:t>
      </w:r>
      <w:r>
        <w:t xml:space="preserve"> </w:t>
      </w:r>
      <w:r>
        <w:t xml:space="preserve">—</w:t>
      </w:r>
      <w:r>
        <w:t xml:space="preserve"> </w:t>
      </w:r>
      <w:r>
        <w:rPr>
          <w:i/>
        </w:rPr>
        <w:t xml:space="preserve">Oklahoma Education Ass’n, Inc. v. Nigh</w:t>
      </w:r>
      <w:r>
        <w:t xml:space="preserve">, 642 P.2d 230 (Okla. 1982)</w:t>
      </w:r>
      <w:r>
        <w:t xml:space="preserve"> </w:t>
      </w:r>
      <w:r>
        <w:t xml:space="preserve">[@nigh-1982]</w:t>
      </w:r>
      <w:r>
        <w:t xml:space="preserve"> </w:t>
      </w:r>
      <w:r>
        <w:t xml:space="preserve">(</w:t>
      </w:r>
      <w:r>
        <w:t xml:space="preserve">“</w:t>
      </w:r>
      <w:r>
        <w:t xml:space="preserve">No Act of the Legislature can validly alter, modify or diminish the State’s duty as Trustee</w:t>
      </w:r>
      <w:r>
        <w:t xml:space="preserve">”</w:t>
      </w:r>
      <w:r>
        <w:t xml:space="preserve">); the full collection is § 4.6(a).</w:t>
      </w:r>
    </w:p>
  </w:footnote>
  <w:footnote w:id="673">
    <w:p>
      <w:pPr>
        <w:pStyle w:val="FootnoteText"/>
      </w:pPr>
      <w:r>
        <w:rPr>
          <w:rStyle w:val="FootnoteReference"/>
        </w:rPr>
        <w:footnoteRef/>
      </w:r>
      <w:r>
        <w:t xml:space="preserve"> </w:t>
      </w:r>
      <w:r>
        <w:rPr>
          <w:i/>
        </w:rPr>
        <w:t xml:space="preserve">Branson School District RE-82 v. Romer</w:t>
      </w:r>
      <w:r>
        <w:t xml:space="preserve">, 958 F. Supp. 1501 (D. Colo. 1997), aff’d, 161 F.3d 619 (10th Cir. 1998)</w:t>
      </w:r>
      <w:r>
        <w:t xml:space="preserve"> </w:t>
      </w:r>
      <w:r>
        <w:t xml:space="preserve">[@branson-1998]</w:t>
      </w:r>
      <w:r>
        <w:t xml:space="preserve">.</w:t>
      </w:r>
    </w:p>
  </w:footnote>
  <w:footnote w:id="674">
    <w:p>
      <w:pPr>
        <w:pStyle w:val="FootnoteText"/>
      </w:pPr>
      <w:r>
        <w:rPr>
          <w:rStyle w:val="FootnoteReference"/>
        </w:rPr>
        <w:footnoteRef/>
      </w:r>
      <w:r>
        <w:t xml:space="preserve"> </w:t>
      </w:r>
      <w:r>
        <w:t xml:space="preserve">Accord cases on the structural-change/diversion line not yet collected beyond</w:t>
      </w:r>
      <w:r>
        <w:t xml:space="preserve"> </w:t>
      </w:r>
      <w:r>
        <w:rPr>
          <w:i/>
        </w:rPr>
        <w:t xml:space="preserve">Branson</w:t>
      </w:r>
      <w:r>
        <w:t xml:space="preserve">; see Architecture § C, verification wave 2. The contrasting diversion holdings are collected at § 4.6(a) (statutes effecting a breach are void).</w:t>
      </w:r>
    </w:p>
  </w:footnote>
  <w:footnote w:id="676">
    <w:p>
      <w:pPr>
        <w:pStyle w:val="FootnoteText"/>
      </w:pPr>
      <w:r>
        <w:rPr>
          <w:rStyle w:val="FootnoteReference"/>
        </w:rPr>
        <w:footnoteRef/>
      </w:r>
      <w:r>
        <w:t xml:space="preserve"> </w:t>
      </w:r>
      <w:r>
        <w:rPr>
          <w:i/>
        </w:rPr>
        <w:t xml:space="preserve">Plateau Mining Co. v. Utah Division of State Lands &amp; Forestry</w:t>
      </w:r>
      <w:r>
        <w:t xml:space="preserve">, 802 P.2d 720 (Utah 1990)</w:t>
      </w:r>
      <w:r>
        <w:t xml:space="preserve"> </w:t>
      </w:r>
      <w:r>
        <w:t xml:space="preserve">[@plateau-1990]</w:t>
      </w:r>
      <w:r>
        <w:t xml:space="preserve"> </w:t>
      </w:r>
      <w:r>
        <w:t xml:space="preserve">(the state-as-trustee owes</w:t>
      </w:r>
      <w:r>
        <w:t xml:space="preserve"> </w:t>
      </w:r>
      <w:r>
        <w:t xml:space="preserve">“</w:t>
      </w:r>
      <w:r>
        <w:t xml:space="preserve">the same fiduciary duties as any private trustee</w:t>
      </w:r>
      <w:r>
        <w:t xml:space="preserve">”</w:t>
      </w:r>
      <w:r>
        <w:t xml:space="preserve">).</w:t>
      </w:r>
    </w:p>
  </w:footnote>
  <w:footnote w:id="677">
    <w:p>
      <w:pPr>
        <w:pStyle w:val="FootnoteText"/>
      </w:pPr>
      <w:r>
        <w:rPr>
          <w:rStyle w:val="FootnoteReference"/>
        </w:rPr>
        <w:footnoteRef/>
      </w:r>
      <w:r>
        <w:t xml:space="preserve"> </w:t>
      </w:r>
      <w:r>
        <w:t xml:space="preserve">Accord on the no-waiver rule, collected by state:</w:t>
      </w:r>
      <w:r>
        <w:t xml:space="preserve"> </w:t>
      </w:r>
      <w:r>
        <w:rPr>
          <w:b/>
        </w:rPr>
        <w:t xml:space="preserve">Oregon</w:t>
      </w:r>
      <w:r>
        <w:t xml:space="preserve"> </w:t>
      </w:r>
      <w:r>
        <w:t xml:space="preserve">—</w:t>
      </w:r>
      <w:r>
        <w:t xml:space="preserve"> </w:t>
      </w:r>
      <w:r>
        <w:rPr>
          <w:i/>
        </w:rPr>
        <w:t xml:space="preserve">State Land Board v. Lee</w:t>
      </w:r>
      <w:r>
        <w:t xml:space="preserve">, 84 Or 431 (1917)</w:t>
      </w:r>
      <w:r>
        <w:t xml:space="preserve"> </w:t>
      </w:r>
      <w:r>
        <w:t xml:space="preserve">[@lee-1917]</w:t>
      </w:r>
      <w:r>
        <w:t xml:space="preserve"> </w:t>
      </w:r>
      <w:r>
        <w:t xml:space="preserve">(statutory limitations exemption applies to Land Board administration of the Common School Fund); further accords not yet collected; see § 4.6(c).</w:t>
      </w:r>
    </w:p>
  </w:footnote>
  <w:footnote w:id="678">
    <w:p>
      <w:pPr>
        <w:pStyle w:val="FootnoteText"/>
      </w:pPr>
      <w:r>
        <w:rPr>
          <w:rStyle w:val="FootnoteReference"/>
        </w:rPr>
        <w:footnoteRef/>
      </w:r>
      <w:r>
        <w:t xml:space="preserve"> </w:t>
      </w:r>
      <w:r>
        <w:rPr>
          <w:i/>
        </w:rPr>
        <w:t xml:space="preserve">National Parks &amp; Conservation Association v. Board of State Lands</w:t>
      </w:r>
      <w:r>
        <w:t xml:space="preserve">, 869 P.2d 909, 922 (Utah 1993)</w:t>
      </w:r>
      <w:r>
        <w:t xml:space="preserve"> </w:t>
      </w:r>
      <w:r>
        <w:t xml:space="preserve">[@npca-1993]</w:t>
      </w:r>
      <w:r>
        <w:t xml:space="preserve"> </w:t>
      </w:r>
      <w:r>
        <w:t xml:space="preserve">(appraisal rule at 922; use-of-the-land holding at 920; quotations verified against the full opinion, 2026-06-07).</w:t>
      </w:r>
    </w:p>
  </w:footnote>
  <w:footnote w:id="679">
    <w:p>
      <w:pPr>
        <w:pStyle w:val="FootnoteText"/>
      </w:pPr>
      <w:r>
        <w:rPr>
          <w:rStyle w:val="FootnoteReference"/>
        </w:rPr>
        <w:footnoteRef/>
      </w:r>
      <w:r>
        <w:t xml:space="preserve"> </w:t>
      </w:r>
      <w:r>
        <w:t xml:space="preserve">Accord on the buyer-procured-appraisal principle: direct accord cases not yet collected; the cognate intra-governmental valuation cases are collected at Chapter 10. See Architecture § C, verification wave 2.</w:t>
      </w:r>
    </w:p>
  </w:footnote>
  <w:footnote w:id="680">
    <w:p>
      <w:pPr>
        <w:pStyle w:val="FootnoteText"/>
      </w:pPr>
      <w:r>
        <w:rPr>
          <w:rStyle w:val="FootnoteReference"/>
        </w:rPr>
        <w:footnoteRef/>
      </w:r>
      <w:r>
        <w:t xml:space="preserve"> </w:t>
      </w:r>
      <w:r>
        <w:t xml:space="preserve">School and Institutional Trust Lands Management Act of 1994, Utah Code Title 53C</w:t>
      </w:r>
      <w:r>
        <w:t xml:space="preserve"> </w:t>
      </w:r>
      <w:r>
        <w:t xml:space="preserve">[@utah-code-53c]</w:t>
      </w:r>
      <w:r>
        <w:t xml:space="preserve"> </w:t>
      </w:r>
      <w:r>
        <w:t xml:space="preserve">[VERIFY exact 1994 session-law chapter]. The agency has since been restyled the Utah Trust Lands Administration (TLA) [VERIFY renaming date].</w:t>
      </w:r>
    </w:p>
  </w:footnote>
  <w:footnote w:id="681">
    <w:p>
      <w:pPr>
        <w:pStyle w:val="FootnoteText"/>
      </w:pPr>
      <w:r>
        <w:rPr>
          <w:rStyle w:val="FootnoteReference"/>
        </w:rPr>
        <w:footnoteRef/>
      </w:r>
      <w:r>
        <w:t xml:space="preserve"> </w:t>
      </w:r>
      <w:r>
        <w:t xml:space="preserve">Utah Code Title 53D (School and Institutional Trust Fund Office; Land Trusts Protection &amp; Advocacy Office)</w:t>
      </w:r>
      <w:r>
        <w:t xml:space="preserve"> </w:t>
      </w:r>
      <w:r>
        <w:t xml:space="preserve">[@utah-code-53d]</w:t>
      </w:r>
      <w:r>
        <w:t xml:space="preserve"> </w:t>
      </w:r>
      <w:r>
        <w:t xml:space="preserve">[VERIFY 53D enactment years — the Advocacy Office chapter dates to the 2017–18 era]; School LAND Trust Program, Utah Code § 53G-7-1206</w:t>
      </w:r>
      <w:r>
        <w:t xml:space="preserve"> </w:t>
      </w:r>
      <w:r>
        <w:t xml:space="preserve">[@utah-code-53g-7-1206]</w:t>
      </w:r>
      <w:r>
        <w:t xml:space="preserve"> </w:t>
      </w:r>
      <w:r>
        <w:t xml:space="preserve">[VERIFY section citation — carried from the project’s Utah research; section-level text not yet pulled].</w:t>
      </w:r>
    </w:p>
  </w:footnote>
  <w:footnote w:id="682">
    <w:p>
      <w:pPr>
        <w:pStyle w:val="FootnoteText"/>
      </w:pPr>
      <w:r>
        <w:rPr>
          <w:rStyle w:val="FootnoteReference"/>
        </w:rPr>
        <w:footnoteRef/>
      </w:r>
      <w:r>
        <w:t xml:space="preserve"> </w:t>
      </w:r>
      <w:r>
        <w:t xml:space="preserve">Utah Office of State Treasurer,</w:t>
      </w:r>
      <w:r>
        <w:t xml:space="preserve"> </w:t>
      </w:r>
      <w:r>
        <w:rPr>
          <w:i/>
        </w:rPr>
        <w:t xml:space="preserve">Permanent State School Fund — the Endowment for Utah’s Public Schools — Hits Record $3.3 Billion</w:t>
      </w:r>
      <w:r>
        <w:t xml:space="preserve"> </w:t>
      </w:r>
      <w:r>
        <w:t xml:space="preserve">(May 6, 2024), https://treasurer.utah.gov/featured-news/permanent-state-school-fund-the-endowment-for-utahs-public-schools-hits-record-3-3-billion/</w:t>
      </w:r>
      <w:r>
        <w:t xml:space="preserve"> </w:t>
      </w:r>
      <w:r>
        <w:t xml:space="preserve">[@ut-treasurer-3-3-billion-2024]</w:t>
      </w:r>
      <w:r>
        <w:t xml:space="preserve"> </w:t>
      </w:r>
      <w:r>
        <w:t xml:space="preserve">(growth</w:t>
      </w:r>
      <w:r>
        <w:t xml:space="preserve"> </w:t>
      </w:r>
      <w:r>
        <w:t xml:space="preserve">“</w:t>
      </w:r>
      <w:r>
        <w:t xml:space="preserve">from just $50 million thirty years ago to $3.3 billion today</w:t>
      </w:r>
      <w:r>
        <w:t xml:space="preserve">”</w:t>
      </w:r>
      <w:r>
        <w:t xml:space="preserve">); Utah News Dispatch,</w:t>
      </w:r>
      <w:r>
        <w:t xml:space="preserve"> </w:t>
      </w:r>
      <w:r>
        <w:rPr>
          <w:i/>
        </w:rPr>
        <w:t xml:space="preserve">Utah Officials Celebrate Back to School with a Record $111.3M from Land Investments</w:t>
      </w:r>
      <w:r>
        <w:t xml:space="preserve"> </w:t>
      </w:r>
      <w:r>
        <w:t xml:space="preserve">(Sept. 2, 2025), https://utahnewsdispatch.com/2025/09/02/utah-schools-get-millions-from-land-investments/</w:t>
      </w:r>
      <w:r>
        <w:t xml:space="preserve"> </w:t>
      </w:r>
      <w:r>
        <w:t xml:space="preserve">[@utahnewsdispatch-111m-2025]</w:t>
      </w:r>
      <w:r>
        <w:t xml:space="preserve"> </w:t>
      </w:r>
      <w:r>
        <w:t xml:space="preserve">(</w:t>
      </w:r>
      <w:r>
        <w:t xml:space="preserve">“</w:t>
      </w:r>
      <w:r>
        <w:t xml:space="preserve">from about $50 million in 1994 to $3.7 billion today</w:t>
      </w:r>
      <w:r>
        <w:t xml:space="preserve">”</w:t>
      </w:r>
      <w:r>
        <w:t xml:space="preserve">); the 2026 distribution was announced at $134 million, Utah News Dispatch (Jan. 7, 2026)</w:t>
      </w:r>
      <w:r>
        <w:t xml:space="preserve"> </w:t>
      </w:r>
      <w:r>
        <w:t xml:space="preserve">[@utahnewsdispatch-134m-2026]</w:t>
      </w:r>
      <w:r>
        <w:t xml:space="preserve">.</w:t>
      </w:r>
    </w:p>
  </w:footnote>
  <w:footnote w:id="684">
    <w:p>
      <w:pPr>
        <w:pStyle w:val="FootnoteText"/>
      </w:pPr>
      <w:r>
        <w:rPr>
          <w:rStyle w:val="FootnoteReference"/>
        </w:rPr>
        <w:footnoteRef/>
      </w:r>
      <w:r>
        <w:t xml:space="preserve"> </w:t>
      </w:r>
      <w:r>
        <w:t xml:space="preserve">Colorado Amendment 16 (1996), Colo. Const. art. IX, §§ 9-10 as amended</w:t>
      </w:r>
      <w:r>
        <w:t xml:space="preserve"> </w:t>
      </w:r>
      <w:r>
        <w:t xml:space="preserve">[@const-co-amend16-1996]</w:t>
      </w:r>
      <w:r>
        <w:t xml:space="preserve"> </w:t>
      </w:r>
      <w:r>
        <w:t xml:space="preserve">[VERIFY article/section pin against the amended constitutional text].</w:t>
      </w:r>
    </w:p>
  </w:footnote>
  <w:footnote w:id="685">
    <w:p>
      <w:pPr>
        <w:pStyle w:val="FootnoteText"/>
      </w:pPr>
      <w:r>
        <w:rPr>
          <w:rStyle w:val="FootnoteReference"/>
        </w:rPr>
        <w:footnoteRef/>
      </w:r>
      <w:r>
        <w:t xml:space="preserve"> </w:t>
      </w:r>
      <w:r>
        <w:rPr>
          <w:i/>
        </w:rPr>
        <w:t xml:space="preserve">Branson School District RE-82 v. Romer</w:t>
      </w:r>
      <w:r>
        <w:t xml:space="preserve">, 958 F. Supp. 1501 (D. Colo. 1997), aff’d, 161 F.3d 619 (10th Cir. 1998)</w:t>
      </w:r>
      <w:r>
        <w:t xml:space="preserve"> </w:t>
      </w:r>
      <w:r>
        <w:t xml:space="preserve">[@branson-1998]</w:t>
      </w:r>
      <w:r>
        <w:t xml:space="preserve">.</w:t>
      </w:r>
    </w:p>
  </w:footnote>
  <w:footnote w:id="686">
    <w:p>
      <w:pPr>
        <w:pStyle w:val="FootnoteText"/>
      </w:pPr>
      <w:r>
        <w:rPr>
          <w:rStyle w:val="FootnoteReference"/>
        </w:rPr>
        <w:footnoteRef/>
      </w:r>
      <w:r>
        <w:t xml:space="preserve"> </w:t>
      </w:r>
      <w:r>
        <w:t xml:space="preserve">Accord on beneficiary (school-district) enforcement:</w:t>
      </w:r>
      <w:r>
        <w:t xml:space="preserve"> </w:t>
      </w:r>
      <w:r>
        <w:rPr>
          <w:b/>
        </w:rPr>
        <w:t xml:space="preserve">Federal (Arizona)</w:t>
      </w:r>
      <w:r>
        <w:t xml:space="preserve"> </w:t>
      </w:r>
      <w:r>
        <w:t xml:space="preserve">—</w:t>
      </w:r>
      <w:r>
        <w:t xml:space="preserve"> </w:t>
      </w:r>
      <w:r>
        <w:rPr>
          <w:i/>
        </w:rPr>
        <w:t xml:space="preserve">ASARCO Inc. v. Kadish</w:t>
      </w:r>
      <w:r>
        <w:t xml:space="preserve">, 490 U.S. 605 (1989)</w:t>
      </w:r>
      <w:r>
        <w:t xml:space="preserve"> </w:t>
      </w:r>
      <w:r>
        <w:t xml:space="preserve">[@asarco-1989]</w:t>
      </w:r>
      <w:r>
        <w:t xml:space="preserve"> </w:t>
      </w:r>
      <w:r>
        <w:t xml:space="preserve">(teacher and association plaintiffs); the standing collection is Chapter 13.</w:t>
      </w:r>
    </w:p>
  </w:footnote>
  <w:footnote w:id="687">
    <w:p>
      <w:pPr>
        <w:pStyle w:val="FootnoteText"/>
      </w:pPr>
      <w:r>
        <w:rPr>
          <w:rStyle w:val="FootnoteReference"/>
        </w:rPr>
        <w:footnoteRef/>
      </w:r>
      <w:r>
        <w:t xml:space="preserve"> </w:t>
      </w:r>
      <w:r>
        <w:rPr>
          <w:i/>
        </w:rPr>
        <w:t xml:space="preserve">Branson</w:t>
      </w:r>
      <w:r>
        <w:t xml:space="preserve">, 161 F.3d 619 (10th Cir. 1998)</w:t>
      </w:r>
      <w:r>
        <w:t xml:space="preserve"> </w:t>
      </w:r>
      <w:r>
        <w:t xml:space="preserve">[@branson-1998]</w:t>
      </w:r>
      <w:r>
        <w:t xml:space="preserve">; the contrasting diversion holdings are collected at § 4.6(a). External commentary on</w:t>
      </w:r>
      <w:r>
        <w:t xml:space="preserve"> </w:t>
      </w:r>
      <w:r>
        <w:rPr>
          <w:i/>
        </w:rPr>
        <w:t xml:space="preserve">Branson</w:t>
      </w:r>
      <w:r>
        <w:t xml:space="preserve">’s significance exists in the law-review literature and should be collected before publication [VERIFY — commentary hunt, wave 2]; v0’s quotation of a project bibliography as if external commentary has been removed.</w:t>
      </w:r>
    </w:p>
  </w:footnote>
  <w:footnote w:id="688">
    <w:p>
      <w:pPr>
        <w:pStyle w:val="FootnoteText"/>
      </w:pPr>
      <w:r>
        <w:rPr>
          <w:rStyle w:val="FootnoteReference"/>
        </w:rPr>
        <w:footnoteRef/>
      </w:r>
      <w:r>
        <w:t xml:space="preserve"> </w:t>
      </w:r>
      <w:r>
        <w:t xml:space="preserve">Lead case:</w:t>
      </w:r>
      <w:r>
        <w:t xml:space="preserve"> </w:t>
      </w:r>
      <w:r>
        <w:rPr>
          <w:i/>
        </w:rPr>
        <w:t xml:space="preserve">State ex rel. Ebke v. Board of Educational Lands &amp; Funds</w:t>
      </w:r>
      <w:r>
        <w:t xml:space="preserve">, 154 Neb. 244, 47 N.W.2d 520 (1951)</w:t>
      </w:r>
      <w:r>
        <w:t xml:space="preserve"> </w:t>
      </w:r>
      <w:r>
        <w:t xml:space="preserve">[@ebke-1951]</w:t>
      </w:r>
      <w:r>
        <w:t xml:space="preserve"> </w:t>
      </w:r>
      <w:r>
        <w:t xml:space="preserve">(breach</w:t>
      </w:r>
      <w:r>
        <w:t xml:space="preserve"> </w:t>
      </w:r>
      <w:r>
        <w:t xml:space="preserve">“</w:t>
      </w:r>
      <w:r>
        <w:t xml:space="preserve">has the effect of invalidating the legislation authorizing the breach</w:t>
      </w:r>
      <w:r>
        <w:t xml:space="preserve">”</w:t>
      </w:r>
      <w:r>
        <w:t xml:space="preserve">); the full collection is § 4.6(a).</w:t>
      </w:r>
    </w:p>
  </w:footnote>
  <w:footnote w:id="690">
    <w:p>
      <w:pPr>
        <w:pStyle w:val="FootnoteText"/>
      </w:pPr>
      <w:r>
        <w:rPr>
          <w:rStyle w:val="FootnoteReference"/>
        </w:rPr>
        <w:footnoteRef/>
      </w:r>
      <w:r>
        <w:t xml:space="preserve"> </w:t>
      </w:r>
      <w:r>
        <w:t xml:space="preserve">New Mexico–Arizona Enabling Act of June 20, 1910, § 10, 36 Stat. 557</w:t>
      </w:r>
      <w:r>
        <w:t xml:space="preserve"> </w:t>
      </w:r>
      <w:r>
        <w:t xml:space="preserve">[@act-nm-az-1910]</w:t>
      </w:r>
      <w:r>
        <w:t xml:space="preserve"> </w:t>
      </w:r>
      <w:r>
        <w:t xml:space="preserve">(</w:t>
      </w:r>
      <w:r>
        <w:t xml:space="preserve">“</w:t>
      </w:r>
      <w:r>
        <w:t xml:space="preserve">All lands hereby granted … shall be by the said State held in trust … Every sale, lease, conveyance, or contract of or concerning any of the lands hereby granted or confirmed … not made in substantial conformity with the provisions of this Act shall be null and void</w:t>
      </w:r>
      <w:r>
        <w:t xml:space="preserve">”</w:t>
      </w:r>
      <w:r>
        <w:t xml:space="preserve">).</w:t>
      </w:r>
    </w:p>
  </w:footnote>
  <w:footnote w:id="691">
    <w:p>
      <w:pPr>
        <w:pStyle w:val="FootnoteText"/>
      </w:pPr>
      <w:r>
        <w:rPr>
          <w:rStyle w:val="FootnoteReference"/>
        </w:rPr>
        <w:footnoteRef/>
      </w:r>
      <w:r>
        <w:t xml:space="preserve"> </w:t>
      </w:r>
      <w:r>
        <w:t xml:space="preserve">N.M. Const. art. XII</w:t>
      </w:r>
      <w:r>
        <w:t xml:space="preserve"> </w:t>
      </w:r>
      <w:r>
        <w:t xml:space="preserve">[@const-nm-art12]</w:t>
      </w:r>
      <w:r>
        <w:t xml:space="preserve"> </w:t>
      </w:r>
      <w:r>
        <w:t xml:space="preserve">(permanent fund); N.M. Const. art. XIII, § 1</w:t>
      </w:r>
      <w:r>
        <w:t xml:space="preserve"> </w:t>
      </w:r>
      <w:r>
        <w:t xml:space="preserve">[@const-nm-art13]</w:t>
      </w:r>
      <w:r>
        <w:t xml:space="preserve"> </w:t>
      </w:r>
      <w:r>
        <w:t xml:space="preserve">(elected Commissioner of Public Lands).</w:t>
      </w:r>
    </w:p>
  </w:footnote>
  <w:footnote w:id="692">
    <w:p>
      <w:pPr>
        <w:pStyle w:val="FootnoteText"/>
      </w:pPr>
      <w:r>
        <w:rPr>
          <w:rStyle w:val="FootnoteReference"/>
        </w:rPr>
        <w:footnoteRef/>
      </w:r>
      <w:r>
        <w:t xml:space="preserve"> </w:t>
      </w:r>
      <w:r>
        <w:t xml:space="preserve">New Mexico State Investment Council reporting: LGPF market value $32.97 billion [as of Dec. 31, 2024]; approximately $37 billion per the SIC’s own description [as of late 2025]; fiscal-2024 distributions of approximately $1.34 billion. N.M. State Investment Council, Land Grant Permanent Fund, https://www.sic.state.nm.us/investments/permanent-funds/land-grant-permanent-fund/</w:t>
      </w:r>
      <w:r>
        <w:t xml:space="preserve"> </w:t>
      </w:r>
      <w:r>
        <w:t xml:space="preserve">[@nmsic-lgpf-page]</w:t>
      </w:r>
      <w:r>
        <w:t xml:space="preserve">; monthly performance reports at https://www.sic.state.nm.us/publications-reports/sic-investment-performance-reports/</w:t>
      </w:r>
      <w:r>
        <w:t xml:space="preserve"> </w:t>
      </w:r>
      <w:r>
        <w:t xml:space="preserve">[@nmsic-performance-2024-10]</w:t>
      </w:r>
      <w:r>
        <w:t xml:space="preserve"> </w:t>
      </w:r>
      <w:r>
        <w:t xml:space="preserve">[VERIFY the year-end figure against the December 2024 monthly performance report PDF before publication].</w:t>
      </w:r>
    </w:p>
  </w:footnote>
  <w:footnote w:id="693">
    <w:p>
      <w:pPr>
        <w:pStyle w:val="FootnoteText"/>
      </w:pPr>
      <w:r>
        <w:rPr>
          <w:rStyle w:val="FootnoteReference"/>
        </w:rPr>
        <w:footnoteRef/>
      </w:r>
      <w:r>
        <w:t xml:space="preserve"> </w:t>
      </w:r>
      <w:r>
        <w:t xml:space="preserve">N.M. constitutional amendment of November 2022 (early-childhood distribution; congressional consent required under the federal compact)</w:t>
      </w:r>
      <w:r>
        <w:t xml:space="preserve"> </w:t>
      </w:r>
      <w:r>
        <w:t xml:space="preserve">[@const-nm-2022]</w:t>
      </w:r>
      <w:r>
        <w:t xml:space="preserve"> </w:t>
      </w:r>
      <w:r>
        <w:t xml:space="preserve">[VERIFY formal citation of the amendment and of the congressional consent legislation].</w:t>
      </w:r>
    </w:p>
  </w:footnote>
  <w:footnote w:id="694">
    <w:p>
      <w:pPr>
        <w:pStyle w:val="FootnoteText"/>
      </w:pPr>
      <w:r>
        <w:rPr>
          <w:rStyle w:val="FootnoteReference"/>
        </w:rPr>
        <w:footnoteRef/>
      </w:r>
      <w:r>
        <w:t xml:space="preserve"> </w:t>
      </w:r>
      <w:r>
        <w:rPr>
          <w:i/>
        </w:rPr>
        <w:t xml:space="preserve">Forest Guardians v. Powell</w:t>
      </w:r>
      <w:r>
        <w:t xml:space="preserve">, 130 N.M. 368, 24 P.3d 803, 2001-NMCA-028</w:t>
      </w:r>
      <w:r>
        <w:t xml:space="preserve"> </w:t>
      </w:r>
      <w:r>
        <w:t xml:space="preserve">[@forest-guardians-2001]</w:t>
      </w:r>
      <w:r>
        <w:t xml:space="preserve"> </w:t>
      </w:r>
      <w:r>
        <w:t xml:space="preserve">(Bustamante, J., concurring in part and dissenting in part).</w:t>
      </w:r>
    </w:p>
  </w:footnote>
  <w:footnote w:id="695">
    <w:p>
      <w:pPr>
        <w:pStyle w:val="FootnoteText"/>
      </w:pPr>
      <w:r>
        <w:rPr>
          <w:rStyle w:val="FootnoteReference"/>
        </w:rPr>
        <w:footnoteRef/>
      </w:r>
      <w:r>
        <w:t xml:space="preserve"> </w:t>
      </w:r>
      <w:r>
        <w:t xml:space="preserve">The enforcement-channel position and its critics are treated in full at Chapter 13; the historical baseline is</w:t>
      </w:r>
      <w:r>
        <w:t xml:space="preserve"> </w:t>
      </w:r>
      <w:r>
        <w:rPr>
          <w:i/>
        </w:rPr>
        <w:t xml:space="preserve">Asplund v. Hannett</w:t>
      </w:r>
      <w:r>
        <w:t xml:space="preserve">, 31 N.M. 641, 249 P. 1074 (1926)</w:t>
      </w:r>
      <w:r>
        <w:t xml:space="preserve"> </w:t>
      </w:r>
      <w:r>
        <w:t xml:space="preserve">[@asplund-1926]</w:t>
      </w:r>
      <w:r>
        <w:t xml:space="preserve">.</w:t>
      </w:r>
    </w:p>
  </w:footnote>
  <w:footnote w:id="697">
    <w:p>
      <w:pPr>
        <w:pStyle w:val="FootnoteText"/>
      </w:pPr>
      <w:r>
        <w:rPr>
          <w:rStyle w:val="FootnoteReference"/>
        </w:rPr>
        <w:footnoteRef/>
      </w:r>
      <w:r>
        <w:t xml:space="preserve"> </w:t>
      </w:r>
      <w:r>
        <w:t xml:space="preserve">H.B. 262, School and Institutional Trust Lands Amendments, 2024 Utah Gen. Sess. (Rep. Snider/Sen. Cullimore; signed by the Governor Mar. 12, 2024), https://le.utah.gov/~2024/bills/static/HB0262.html</w:t>
      </w:r>
      <w:r>
        <w:t xml:space="preserve"> </w:t>
      </w:r>
      <w:r>
        <w:t xml:space="preserve">[@act-utah-hb262-2024]</w:t>
      </w:r>
      <w:r>
        <w:t xml:space="preserve">, codified at Utah Code § 53C-4-104</w:t>
      </w:r>
      <w:r>
        <w:t xml:space="preserve"> </w:t>
      </w:r>
      <w:r>
        <w:t xml:space="preserve">[@uca-53c-4-104]</w:t>
      </w:r>
      <w:r>
        <w:t xml:space="preserve">; Utah Admin. R. R850-80-630</w:t>
      </w:r>
      <w:r>
        <w:t xml:space="preserve"> </w:t>
      </w:r>
      <w:r>
        <w:t xml:space="preserve">[@act-utah-r850-80-630]</w:t>
      </w:r>
      <w:r>
        <w:t xml:space="preserve"> </w:t>
      </w:r>
      <w:r>
        <w:t xml:space="preserve">[VERIFY rule adoption date against the Utah State Bulletin].</w:t>
      </w:r>
    </w:p>
  </w:footnote>
  <w:footnote w:id="698">
    <w:p>
      <w:pPr>
        <w:pStyle w:val="FootnoteText"/>
      </w:pPr>
      <w:r>
        <w:rPr>
          <w:rStyle w:val="FootnoteReference"/>
        </w:rPr>
        <w:footnoteRef/>
      </w:r>
      <w:r>
        <w:t xml:space="preserve"> </w:t>
      </w:r>
      <w:r>
        <w:t xml:space="preserve">Acreage and posture per contemporaneous reporting: Moab Times-Independent (May 2026) (noncompetitive sale of about 50,608 acres of roadless trust lands in Grand County to DNR/DWR)</w:t>
      </w:r>
      <w:r>
        <w:t xml:space="preserve"> </w:t>
      </w:r>
      <w:r>
        <w:t xml:space="preserve">[@moabtimes-bookcliffs-sale-2026]</w:t>
      </w:r>
      <w:r>
        <w:t xml:space="preserve"> </w:t>
      </w:r>
      <w:r>
        <w:t xml:space="preserve">[VERIFY — pin the dedicated article URL]; the $50 million appropriation is Item 351, ch. 539, Laws of Utah 2025 (nonlapsing appropriation to DNR</w:t>
      </w:r>
      <w:r>
        <w:t xml:space="preserve"> </w:t>
      </w:r>
      <w:r>
        <w:t xml:space="preserve">“</w:t>
      </w:r>
      <w:r>
        <w:t xml:space="preserve">Wildlife Land and Water Acquisition,</w:t>
      </w:r>
      <w:r>
        <w:t xml:space="preserve">”</w:t>
      </w:r>
      <w:r>
        <w:t xml:space="preserve"> </w:t>
      </w:r>
      <w:r>
        <w:t xml:space="preserve">with intent language limiting it to</w:t>
      </w:r>
      <w:r>
        <w:t xml:space="preserve"> </w:t>
      </w:r>
      <w:r>
        <w:t xml:space="preserve">“</w:t>
      </w:r>
      <w:r>
        <w:t xml:space="preserve">the land purchase from the Trust Lands Administration</w:t>
      </w:r>
      <w:r>
        <w:t xml:space="preserve">”</w:t>
      </w:r>
      <w:r>
        <w:t xml:space="preserve">)</w:t>
      </w:r>
      <w:r>
        <w:t xml:space="preserve"> </w:t>
      </w:r>
      <w:r>
        <w:t xml:space="preserve">[@laws-of-utah-2025-ch539-item351]</w:t>
      </w:r>
      <w:r>
        <w:t xml:space="preserve">.</w:t>
      </w:r>
    </w:p>
  </w:footnote>
  <w:footnote w:id="699">
    <w:p>
      <w:pPr>
        <w:pStyle w:val="FootnoteText"/>
      </w:pPr>
      <w:r>
        <w:rPr>
          <w:rStyle w:val="FootnoteReference"/>
        </w:rPr>
        <w:footnoteRef/>
      </w:r>
      <w:r>
        <w:t xml:space="preserve"> </w:t>
      </w:r>
      <w:r>
        <w:t xml:space="preserve">TLA Advocacy Office notice (Apr. 27, 2026) and Director’s Finding/public-comment meeting of May 21, 2026; Board of Trustees</w:t>
      </w:r>
      <w:r>
        <w:t xml:space="preserve"> </w:t>
      </w:r>
      <w:r>
        <w:t xml:space="preserve">“</w:t>
      </w:r>
      <w:r>
        <w:t xml:space="preserve">possible action</w:t>
      </w:r>
      <w:r>
        <w:t xml:space="preserve">”</w:t>
      </w:r>
      <w:r>
        <w:t xml:space="preserve"> </w:t>
      </w:r>
      <w:r>
        <w:t xml:space="preserve">calendared May 29, 2026 [VERIFY — TLA board minutes for May 21 and May 29, 2026, via the Utah Public Notice website]; Utah State Board of Education, Notice of Trust Land Block Sale to DNR, June 4, 2026 board packet</w:t>
      </w:r>
      <w:r>
        <w:t xml:space="preserve"> </w:t>
      </w:r>
      <w:r>
        <w:t xml:space="preserve">[@usbe-packet-2026-06-04]</w:t>
      </w:r>
      <w:r>
        <w:t xml:space="preserve">.</w:t>
      </w:r>
    </w:p>
  </w:footnote>
  <w:footnote w:id="700">
    <w:p>
      <w:pPr>
        <w:pStyle w:val="FootnoteText"/>
      </w:pPr>
      <w:r>
        <w:rPr>
          <w:rStyle w:val="FootnoteReference"/>
        </w:rPr>
        <w:footnoteRef/>
      </w:r>
      <w:r>
        <w:t xml:space="preserve"> </w:t>
      </w:r>
      <w:r>
        <w:t xml:space="preserve">Tonia Day,</w:t>
      </w:r>
      <w:r>
        <w:t xml:space="preserve"> </w:t>
      </w:r>
      <w:r>
        <w:rPr>
          <w:i/>
        </w:rPr>
        <w:t xml:space="preserve">The Self-Dealing Shell Game: Utah’s Book Cliffs Deal</w:t>
      </w:r>
      <w:r>
        <w:t xml:space="preserve"> </w:t>
      </w:r>
      <w:r>
        <w:t xml:space="preserve">(Advocates for School Trust Lands, May 2026)</w:t>
      </w:r>
      <w:r>
        <w:t xml:space="preserve"> </w:t>
      </w:r>
      <w:r>
        <w:t xml:space="preserve">[@day-bookcliffs-2026]</w:t>
      </w:r>
      <w:r>
        <w:t xml:space="preserve"> </w:t>
      </w:r>
      <w:r>
        <w:t xml:space="preserve">(advocacy analysis; cited as a documented contemporary critique, not as doctrinal authority; invokes Utah Const. art. IV, § 10</w:t>
      </w:r>
      <w:r>
        <w:t xml:space="preserve"> </w:t>
      </w:r>
      <w:r>
        <w:t xml:space="preserve">[@const-ut-art4]</w:t>
      </w:r>
      <w:r>
        <w:t xml:space="preserve"> </w:t>
      </w:r>
      <w:r>
        <w:t xml:space="preserve">(oath clause)).</w:t>
      </w:r>
    </w:p>
  </w:footnote>
  <w:footnote w:id="701">
    <w:p>
      <w:pPr>
        <w:pStyle w:val="FootnoteText"/>
      </w:pPr>
      <w:r>
        <w:rPr>
          <w:rStyle w:val="FootnoteReference"/>
        </w:rPr>
        <w:footnoteRef/>
      </w:r>
      <w:r>
        <w:t xml:space="preserve"> </w:t>
      </w:r>
      <w:r>
        <w:t xml:space="preserve">The defense-side account is reconstructed from the statute’s own terms, Utah Code § 53C-4-104</w:t>
      </w:r>
      <w:r>
        <w:t xml:space="preserve"> </w:t>
      </w:r>
      <w:r>
        <w:t xml:space="preserve">[@uca-53c-4-104]</w:t>
      </w:r>
      <w:r>
        <w:t xml:space="preserve">; no State litigation position exists to cite. [VERIFY statutory text of § 53C-4-104’s appraisal and mineral-reservation requirements before publication.]</w:t>
      </w:r>
    </w:p>
  </w:footnote>
  <w:footnote w:id="702">
    <w:p>
      <w:pPr>
        <w:pStyle w:val="FootnoteText"/>
      </w:pPr>
      <w:r>
        <w:rPr>
          <w:rStyle w:val="FootnoteReference"/>
        </w:rPr>
        <w:footnoteRef/>
      </w:r>
      <w:r>
        <w:t xml:space="preserve"> </w:t>
      </w:r>
      <w:r>
        <w:rPr>
          <w:i/>
        </w:rPr>
        <w:t xml:space="preserve">National Parks &amp; Conservation Association v. Board of State Lands</w:t>
      </w:r>
      <w:r>
        <w:t xml:space="preserve">, 869 P.2d 909, 922 (Utah 1993)</w:t>
      </w:r>
      <w:r>
        <w:t xml:space="preserve"> </w:t>
      </w:r>
      <w:r>
        <w:t xml:space="preserve">[@npca-1993]</w:t>
      </w:r>
      <w:r>
        <w:t xml:space="preserve"> </w:t>
      </w:r>
      <w:r>
        <w:t xml:space="preserve">(acquirer-submitted appraisal</w:t>
      </w:r>
      <w:r>
        <w:t xml:space="preserve"> </w:t>
      </w:r>
      <w:r>
        <w:t xml:space="preserve">“</w:t>
      </w:r>
      <w:r>
        <w:t xml:space="preserve">suspect on its face</w:t>
      </w:r>
      <w:r>
        <w:t xml:space="preserve">”</w:t>
      </w:r>
      <w:r>
        <w:t xml:space="preserve">; quotation verified against the full opinion, 2026-06-07);</w:t>
      </w:r>
      <w:r>
        <w:t xml:space="preserve"> </w:t>
      </w:r>
      <w:r>
        <w:rPr>
          <w:i/>
        </w:rPr>
        <w:t xml:space="preserve">Plateau Mining Co. v. Utah Division of State Lands &amp; Forestry</w:t>
      </w:r>
      <w:r>
        <w:t xml:space="preserve">, 802 P.2d 720 (Utah 1990)</w:t>
      </w:r>
      <w:r>
        <w:t xml:space="preserve"> </w:t>
      </w:r>
      <w:r>
        <w:t xml:space="preserve">[@plateau-1990]</w:t>
      </w:r>
      <w:r>
        <w:t xml:space="preserve">.</w:t>
      </w:r>
    </w:p>
  </w:footnote>
  <w:footnote w:id="703">
    <w:p>
      <w:pPr>
        <w:pStyle w:val="FootnoteText"/>
      </w:pPr>
      <w:r>
        <w:rPr>
          <w:rStyle w:val="FootnoteReference"/>
        </w:rPr>
        <w:footnoteRef/>
      </w:r>
      <w:r>
        <w:t xml:space="preserve"> </w:t>
      </w:r>
      <w:r>
        <w:rPr>
          <w:b/>
        </w:rPr>
        <w:t xml:space="preserve">New Mexico</w:t>
      </w:r>
      <w:r>
        <w:t xml:space="preserve"> </w:t>
      </w:r>
      <w:r>
        <w:t xml:space="preserve">—</w:t>
      </w:r>
      <w:r>
        <w:t xml:space="preserve"> </w:t>
      </w:r>
      <w:r>
        <w:rPr>
          <w:i/>
        </w:rPr>
        <w:t xml:space="preserve">State ex rel. King v. Lyons</w:t>
      </w:r>
      <w:r>
        <w:t xml:space="preserve">, 2011-NMSC-004, 248 P.3d 878</w:t>
      </w:r>
      <w:r>
        <w:t xml:space="preserve"> </w:t>
      </w:r>
      <w:r>
        <w:t xml:space="preserve">[@lyons-2011]</w:t>
      </w:r>
      <w:r>
        <w:t xml:space="preserve"> </w:t>
      </w:r>
      <w:r>
        <w:t xml:space="preserve">(exchanges void where structured to bypass public-auction and highest-bidder requirements);</w:t>
      </w:r>
      <w:r>
        <w:t xml:space="preserve"> </w:t>
      </w:r>
      <w:r>
        <w:rPr>
          <w:b/>
        </w:rPr>
        <w:t xml:space="preserve">Montana</w:t>
      </w:r>
      <w:r>
        <w:t xml:space="preserve"> </w:t>
      </w:r>
      <w:r>
        <w:t xml:space="preserve">—</w:t>
      </w:r>
      <w:r>
        <w:t xml:space="preserve"> </w:t>
      </w:r>
      <w:r>
        <w:rPr>
          <w:i/>
        </w:rPr>
        <w:t xml:space="preserve">Jerke v. State Dept. of Lands</w:t>
      </w:r>
      <w:r>
        <w:t xml:space="preserve">, 597 P.2d 49 (Mont. 1979)</w:t>
      </w:r>
      <w:r>
        <w:t xml:space="preserve"> </w:t>
      </w:r>
      <w:r>
        <w:t xml:space="preserve">[@jerke-1979]</w:t>
      </w:r>
      <w:r>
        <w:t xml:space="preserve"> </w:t>
      </w:r>
      <w:r>
        <w:t xml:space="preserve">(only competitive bidding secures full market value);</w:t>
      </w:r>
      <w:r>
        <w:t xml:space="preserve"> </w:t>
      </w:r>
      <w:r>
        <w:rPr>
          <w:b/>
        </w:rPr>
        <w:t xml:space="preserve">Federal (Arizona)</w:t>
      </w:r>
      <w:r>
        <w:t xml:space="preserve"> </w:t>
      </w:r>
      <w:r>
        <w:t xml:space="preserve">—</w:t>
      </w:r>
      <w:r>
        <w:t xml:space="preserve"> </w:t>
      </w:r>
      <w:r>
        <w:rPr>
          <w:i/>
        </w:rPr>
        <w:t xml:space="preserve">Lassen v. Arizona ex rel. Arizona Highway Department</w:t>
      </w:r>
      <w:r>
        <w:t xml:space="preserve">, 385 U.S. 458 (1967)</w:t>
      </w:r>
      <w:r>
        <w:t xml:space="preserve"> </w:t>
      </w:r>
      <w:r>
        <w:t xml:space="preserve">[@lassen-1967]</w:t>
      </w:r>
      <w:r>
        <w:t xml:space="preserve"> </w:t>
      </w:r>
      <w:r>
        <w:t xml:space="preserve">(full appraised value on intra-governmental taking); the full collections are Chapters 9–11.</w:t>
      </w:r>
    </w:p>
  </w:footnote>
  <w:footnote w:id="704">
    <w:p>
      <w:pPr>
        <w:pStyle w:val="FootnoteText"/>
      </w:pPr>
      <w:r>
        <w:rPr>
          <w:rStyle w:val="FootnoteReference"/>
        </w:rPr>
        <w:footnoteRef/>
      </w:r>
      <w:r>
        <w:t xml:space="preserve"> </w:t>
      </w:r>
      <w:r>
        <w:t xml:space="preserve">Lead cases:</w:t>
      </w:r>
      <w:r>
        <w:t xml:space="preserve"> </w:t>
      </w:r>
      <w:r>
        <w:rPr>
          <w:i/>
        </w:rPr>
        <w:t xml:space="preserve">Lassen</w:t>
      </w:r>
      <w:r>
        <w:t xml:space="preserve">, 385 U.S. 458 (1967)</w:t>
      </w:r>
      <w:r>
        <w:t xml:space="preserve"> </w:t>
      </w:r>
      <w:r>
        <w:t xml:space="preserve">[@lassen-1967]</w:t>
      </w:r>
      <w:r>
        <w:t xml:space="preserve">;</w:t>
      </w:r>
      <w:r>
        <w:t xml:space="preserve"> </w:t>
      </w:r>
      <w:r>
        <w:rPr>
          <w:i/>
        </w:rPr>
        <w:t xml:space="preserve">Kanaly v. State ex rel. Janklow</w:t>
      </w:r>
      <w:r>
        <w:t xml:space="preserve">, 368 N.W.2d 819 (S.D. 1985)</w:t>
      </w:r>
      <w:r>
        <w:t xml:space="preserve"> </w:t>
      </w:r>
      <w:r>
        <w:t xml:space="preserve">[@kanaly-1985]</w:t>
      </w:r>
      <w:r>
        <w:t xml:space="preserve"> </w:t>
      </w:r>
      <w:r>
        <w:t xml:space="preserve">(uncompensated legislative transfer of trust property to another state agency unconstitutional);</w:t>
      </w:r>
      <w:r>
        <w:t xml:space="preserve"> </w:t>
      </w:r>
      <w:r>
        <w:rPr>
          <w:i/>
        </w:rPr>
        <w:t xml:space="preserve">State v. Weiss</w:t>
      </w:r>
      <w:r>
        <w:t xml:space="preserve">, 706 P.2d 681, 683 (Alaska 1985)</w:t>
      </w:r>
      <w:r>
        <w:t xml:space="preserve"> </w:t>
      </w:r>
      <w:r>
        <w:t xml:space="preserve">[@weiss-1985]</w:t>
      </w:r>
      <w:r>
        <w:t xml:space="preserve"> </w:t>
      </w:r>
      <w:r>
        <w:t xml:space="preserve">(mental-health lands trust;</w:t>
      </w:r>
      <w:r>
        <w:t xml:space="preserve"> </w:t>
      </w:r>
      <w:r>
        <w:t xml:space="preserve">“</w:t>
      </w:r>
      <w:r>
        <w:t xml:space="preserve">without trust property there can be no trust</w:t>
      </w:r>
      <w:r>
        <w:t xml:space="preserve">”</w:t>
      </w:r>
      <w:r>
        <w:t xml:space="preserve">).</w:t>
      </w:r>
    </w:p>
  </w:footnote>
  <w:footnote w:id="705">
    <w:p>
      <w:pPr>
        <w:pStyle w:val="FootnoteText"/>
      </w:pPr>
      <w:r>
        <w:rPr>
          <w:rStyle w:val="FootnoteReference"/>
        </w:rPr>
        <w:footnoteRef/>
      </w:r>
      <w:r>
        <w:t xml:space="preserve"> </w:t>
      </w:r>
      <w:r>
        <w:t xml:space="preserve">The accord collections for these propositions are §§ 4.6(d)–(e) and Chapter 10.</w:t>
      </w:r>
    </w:p>
  </w:footnote>
  <w:footnote w:id="706">
    <w:p>
      <w:pPr>
        <w:pStyle w:val="FootnoteText"/>
      </w:pPr>
      <w:r>
        <w:rPr>
          <w:rStyle w:val="FootnoteReference"/>
        </w:rPr>
        <w:footnoteRef/>
      </w:r>
      <w:r>
        <w:t xml:space="preserve"> </w:t>
      </w:r>
      <w:r>
        <w:rPr>
          <w:i/>
        </w:rPr>
        <w:t xml:space="preserve">Siuslaw School District 97J v. State of Oregon</w:t>
      </w:r>
      <w:r>
        <w:t xml:space="preserve">, Coos County Circuit Court No. 24CV38372 (trial set August 2026)</w:t>
      </w:r>
      <w:r>
        <w:t xml:space="preserve"> </w:t>
      </w:r>
      <w:r>
        <w:t xml:space="preserve">[@siuslaw-24cv38372]</w:t>
      </w:r>
      <w:r>
        <w:t xml:space="preserve">; facts stated are matters of public court filings. See § 4.5.</w:t>
      </w:r>
    </w:p>
  </w:footnote>
  <w:footnote w:id="708">
    <w:p>
      <w:pPr>
        <w:pStyle w:val="FootnoteText"/>
      </w:pPr>
      <w:r>
        <w:rPr>
          <w:rStyle w:val="FootnoteReference"/>
        </w:rPr>
        <w:footnoteRef/>
      </w:r>
      <w:r>
        <w:t xml:space="preserve"> </w:t>
      </w:r>
      <w:r>
        <w:rPr>
          <w:i/>
        </w:rPr>
        <w:t xml:space="preserve">Branson</w:t>
      </w:r>
      <w:r>
        <w:t xml:space="preserve">, 161 F.3d 619 (10th Cir. 1998)</w:t>
      </w:r>
      <w:r>
        <w:t xml:space="preserve"> </w:t>
      </w:r>
      <w:r>
        <w:t xml:space="preserve">[@branson-1998]</w:t>
      </w:r>
      <w:r>
        <w:t xml:space="preserve">; see § 19.3.</w:t>
      </w:r>
    </w:p>
  </w:footnote>
  <w:footnote w:id="712">
    <w:p>
      <w:pPr>
        <w:pStyle w:val="FootnoteText"/>
      </w:pPr>
      <w:r>
        <w:rPr>
          <w:rStyle w:val="FootnoteReference"/>
        </w:rPr>
        <w:footnoteRef/>
      </w:r>
      <w:r>
        <w:t xml:space="preserve"> </w:t>
      </w:r>
      <w:r>
        <w:t xml:space="preserve">Uniform Public Trust Enforcement Act, Model Act v1 (2026)</w:t>
      </w:r>
      <w:r>
        <w:t xml:space="preserve"> </w:t>
      </w:r>
      <w:r>
        <w:t xml:space="preserve">[@uptea-2026]</w:t>
      </w:r>
      <w:r>
        <w:t xml:space="preserve">, with companion section-by-section commentary</w:t>
      </w:r>
      <w:r>
        <w:t xml:space="preserve"> </w:t>
      </w:r>
      <w:r>
        <w:t xml:space="preserve">[@uptea-commentary-2026]</w:t>
      </w:r>
      <w:r>
        <w:t xml:space="preserve">. Both are working drafts under counsel review.</w:t>
      </w:r>
    </w:p>
  </w:footnote>
  <w:footnote w:id="713">
    <w:p>
      <w:pPr>
        <w:pStyle w:val="FootnoteText"/>
      </w:pPr>
      <w:r>
        <w:rPr>
          <w:rStyle w:val="FootnoteReference"/>
        </w:rPr>
        <w:footnoteRef/>
      </w:r>
      <w:r>
        <w:t xml:space="preserve"> </w:t>
      </w:r>
      <w:r>
        <w:t xml:space="preserve">UPTEA § 102(4)</w:t>
      </w:r>
      <w:r>
        <w:t xml:space="preserve"> </w:t>
      </w:r>
      <w:r>
        <w:t xml:space="preserve">[@uptea-102]</w:t>
      </w:r>
      <w:r>
        <w:t xml:space="preserve">.</w:t>
      </w:r>
    </w:p>
  </w:footnote>
  <w:footnote w:id="714">
    <w:p>
      <w:pPr>
        <w:pStyle w:val="FootnoteText"/>
      </w:pPr>
      <w:r>
        <w:rPr>
          <w:rStyle w:val="FootnoteReference"/>
        </w:rPr>
        <w:footnoteRef/>
      </w:r>
      <w:r>
        <w:t xml:space="preserve"> </w:t>
      </w:r>
      <w:r>
        <w:t xml:space="preserve">UPTEA Convergence Memo (2026)</w:t>
      </w:r>
      <w:r>
        <w:t xml:space="preserve"> </w:t>
      </w:r>
      <w:r>
        <w:t xml:space="preserve">[@uptea-convergence-2026]</w:t>
      </w:r>
      <w:r>
        <w:t xml:space="preserve"> </w:t>
      </w:r>
      <w:r>
        <w:t xml:space="preserve">(comparing the model act against an independently drafted clean-room counterpart</w:t>
      </w:r>
      <w:r>
        <w:t xml:space="preserve"> </w:t>
      </w:r>
      <w:r>
        <w:t xml:space="preserve">[@uptea-convergence-2026]</w:t>
      </w:r>
      <w:r>
        <w:t xml:space="preserve">).</w:t>
      </w:r>
    </w:p>
  </w:footnote>
  <w:footnote w:id="716">
    <w:p>
      <w:pPr>
        <w:pStyle w:val="FootnoteText"/>
      </w:pPr>
      <w:r>
        <w:rPr>
          <w:rStyle w:val="FootnoteReference"/>
        </w:rPr>
        <w:footnoteRef/>
      </w:r>
      <w:r>
        <w:t xml:space="preserve"> </w:t>
      </w:r>
      <w:r>
        <w:t xml:space="preserve">UPTEA § 102(3)(a)–(f)</w:t>
      </w:r>
      <w:r>
        <w:t xml:space="preserve"> </w:t>
      </w:r>
      <w:r>
        <w:t xml:space="preserve">[@uptea-102]</w:t>
      </w:r>
      <w:r>
        <w:t xml:space="preserve">.</w:t>
      </w:r>
    </w:p>
  </w:footnote>
  <w:footnote w:id="717">
    <w:p>
      <w:pPr>
        <w:pStyle w:val="FootnoteText"/>
      </w:pPr>
      <w:r>
        <w:rPr>
          <w:rStyle w:val="FootnoteReference"/>
        </w:rPr>
        <w:footnoteRef/>
      </w:r>
      <w:r>
        <w:t xml:space="preserve"> </w:t>
      </w:r>
      <w:r>
        <w:rPr>
          <w:i/>
        </w:rPr>
        <w:t xml:space="preserve">Advocates for School Trust Lands v. State</w:t>
      </w:r>
      <w:r>
        <w:t xml:space="preserve">, 346 Or App 668 (2026)</w:t>
      </w:r>
      <w:r>
        <w:t xml:space="preserve"> </w:t>
      </w:r>
      <w:r>
        <w:t xml:space="preserve">[@advocates-2026]</w:t>
      </w:r>
      <w:r>
        <w:t xml:space="preserve"> </w:t>
      </w:r>
      <w:r>
        <w:t xml:space="preserve">(review proceedings pending [VERIFY current status]).</w:t>
      </w:r>
    </w:p>
  </w:footnote>
  <w:footnote w:id="718">
    <w:p>
      <w:pPr>
        <w:pStyle w:val="FootnoteText"/>
      </w:pPr>
      <w:r>
        <w:rPr>
          <w:rStyle w:val="FootnoteReference"/>
        </w:rPr>
        <w:footnoteRef/>
      </w:r>
      <w:r>
        <w:t xml:space="preserve"> </w:t>
      </w:r>
      <w:r>
        <w:rPr>
          <w:i/>
        </w:rPr>
        <w:t xml:space="preserve">Forest Guardians v. Powell</w:t>
      </w:r>
      <w:r>
        <w:t xml:space="preserve">, 130 N.M. 368, 24 P.3d 803, 2001-NMCA-028</w:t>
      </w:r>
      <w:r>
        <w:t xml:space="preserve"> </w:t>
      </w:r>
      <w:r>
        <w:t xml:space="preserve">[@forest-guardians-2001]</w:t>
      </w:r>
      <w:r>
        <w:t xml:space="preserve">.</w:t>
      </w:r>
    </w:p>
  </w:footnote>
  <w:footnote w:id="719">
    <w:p>
      <w:pPr>
        <w:pStyle w:val="FootnoteText"/>
      </w:pPr>
      <w:r>
        <w:rPr>
          <w:rStyle w:val="FootnoteReference"/>
        </w:rPr>
        <w:footnoteRef/>
      </w:r>
      <w:r>
        <w:t xml:space="preserve"> </w:t>
      </w:r>
      <w:r>
        <w:t xml:space="preserve">Or. Rev. Stat. § 130.005(2)(e)</w:t>
      </w:r>
      <w:r>
        <w:t xml:space="preserve"> </w:t>
      </w:r>
      <w:r>
        <w:t xml:space="preserve">[@act-ors-130]</w:t>
      </w:r>
      <w:r>
        <w:t xml:space="preserve"> </w:t>
      </w:r>
      <w:r>
        <w:t xml:space="preserve">(public-body exclusion from the Oregon Uniform Trust Code), as deployed in the litigation described at § 4.5. Whether other states’ trust codes contain comparable exclusions is an open collection task [VERIFY — multi-state trust-code survey, wave 2].</w:t>
      </w:r>
    </w:p>
  </w:footnote>
  <w:footnote w:id="720">
    <w:p>
      <w:pPr>
        <w:pStyle w:val="FootnoteText"/>
      </w:pPr>
      <w:r>
        <w:rPr>
          <w:rStyle w:val="FootnoteReference"/>
        </w:rPr>
        <w:footnoteRef/>
      </w:r>
      <w:r>
        <w:t xml:space="preserve"> </w:t>
      </w:r>
      <w:r>
        <w:t xml:space="preserve">UPTEA § 102(3)(c)</w:t>
      </w:r>
      <w:r>
        <w:t xml:space="preserve"> </w:t>
      </w:r>
      <w:r>
        <w:t xml:space="preserve">[@uptea-102]</w:t>
      </w:r>
      <w:r>
        <w:t xml:space="preserve">; the documented instances are collected at Chapter 14, including the disapproved New Mexico attorney general opinions, N.M. Att’y Gen. Op. No. 3454 (1922)</w:t>
      </w:r>
      <w:r>
        <w:t xml:space="preserve"> </w:t>
      </w:r>
      <w:r>
        <w:t xml:space="preserve">[@ag-nm-3454-1922]</w:t>
      </w:r>
      <w:r>
        <w:t xml:space="preserve"> </w:t>
      </w:r>
      <w:r>
        <w:t xml:space="preserve">and Op. No. 64 (1931)</w:t>
      </w:r>
      <w:r>
        <w:t xml:space="preserve"> </w:t>
      </w:r>
      <w:r>
        <w:t xml:space="preserve">[@ag-nm-64-1931]</w:t>
      </w:r>
      <w:r>
        <w:t xml:space="preserve">, disapproved in</w:t>
      </w:r>
      <w:r>
        <w:t xml:space="preserve"> </w:t>
      </w:r>
      <w:r>
        <w:rPr>
          <w:i/>
        </w:rPr>
        <w:t xml:space="preserve">State ex rel. State Highway Commission v. Walker</w:t>
      </w:r>
      <w:r>
        <w:t xml:space="preserve">, 61 N.M. 374, 301 P.2d 317 (1956)</w:t>
      </w:r>
      <w:r>
        <w:t xml:space="preserve"> </w:t>
      </w:r>
      <w:r>
        <w:t xml:space="preserve">[@walker-1956]</w:t>
      </w:r>
      <w:r>
        <w:t xml:space="preserve">.</w:t>
      </w:r>
    </w:p>
  </w:footnote>
  <w:footnote w:id="721">
    <w:p>
      <w:pPr>
        <w:pStyle w:val="FootnoteText"/>
      </w:pPr>
      <w:r>
        <w:rPr>
          <w:rStyle w:val="FootnoteReference"/>
        </w:rPr>
        <w:footnoteRef/>
      </w:r>
      <w:r>
        <w:t xml:space="preserve"> </w:t>
      </w:r>
      <w:r>
        <w:t xml:space="preserve">UPTEA § 102(3)(e)</w:t>
      </w:r>
      <w:r>
        <w:t xml:space="preserve"> </w:t>
      </w:r>
      <w:r>
        <w:t xml:space="preserve">[@uptea-102]</w:t>
      </w:r>
      <w:r>
        <w:t xml:space="preserve">; the recharacterization case line is Chapter 17, including</w:t>
      </w:r>
      <w:r>
        <w:t xml:space="preserve"> </w:t>
      </w:r>
      <w:r>
        <w:rPr>
          <w:i/>
        </w:rPr>
        <w:t xml:space="preserve">Comcast of Oregon II, Inc. v. City of Eugene</w:t>
      </w:r>
      <w:r>
        <w:t xml:space="preserve">, 346 Or 238, 249-50 (2009)</w:t>
      </w:r>
      <w:r>
        <w:t xml:space="preserve"> </w:t>
      </w:r>
      <w:r>
        <w:t xml:space="preserve">[@comcast-2009]</w:t>
      </w:r>
      <w:r>
        <w:t xml:space="preserve"> </w:t>
      </w:r>
      <w:r>
        <w:t xml:space="preserve">(adopting a law in violation of an applicable requirement</w:t>
      </w:r>
      <w:r>
        <w:t xml:space="preserve"> </w:t>
      </w:r>
      <w:r>
        <w:t xml:space="preserve">“</w:t>
      </w:r>
      <w:r>
        <w:t xml:space="preserve">is not a tort</w:t>
      </w:r>
      <w:r>
        <w:t xml:space="preserve">”</w:t>
      </w:r>
      <w:r>
        <w:t xml:space="preserve">).</w:t>
      </w:r>
    </w:p>
  </w:footnote>
  <w:footnote w:id="722">
    <w:p>
      <w:pPr>
        <w:pStyle w:val="FootnoteText"/>
      </w:pPr>
      <w:r>
        <w:rPr>
          <w:rStyle w:val="FootnoteReference"/>
        </w:rPr>
        <w:footnoteRef/>
      </w:r>
      <w:r>
        <w:t xml:space="preserve"> </w:t>
      </w:r>
      <w:r>
        <w:t xml:space="preserve">UPTEA § 102(3)(f)</w:t>
      </w:r>
      <w:r>
        <w:t xml:space="preserve"> </w:t>
      </w:r>
      <w:r>
        <w:t xml:space="preserve">[@uptea-102]</w:t>
      </w:r>
      <w:r>
        <w:t xml:space="preserve">.</w:t>
      </w:r>
    </w:p>
  </w:footnote>
  <w:footnote w:id="723">
    <w:p>
      <w:pPr>
        <w:pStyle w:val="FootnoteText"/>
      </w:pPr>
      <w:r>
        <w:rPr>
          <w:rStyle w:val="FootnoteReference"/>
        </w:rPr>
        <w:footnoteRef/>
      </w:r>
      <w:r>
        <w:t xml:space="preserve"> </w:t>
      </w:r>
      <w:r>
        <w:rPr>
          <w:i/>
        </w:rPr>
        <w:t xml:space="preserve">North Carolina School Boards Association v. Moore</w:t>
      </w:r>
      <w:r>
        <w:t xml:space="preserve">, 359 N.C. 474, 512, 614 S.E.2d 504 (2005)</w:t>
      </w:r>
      <w:r>
        <w:t xml:space="preserve"> </w:t>
      </w:r>
      <w:r>
        <w:t xml:space="preserve">[@nc-school-boards-2005]</w:t>
      </w:r>
      <w:r>
        <w:t xml:space="preserve"> </w:t>
      </w:r>
      <w:r>
        <w:t xml:space="preserve">(</w:t>
      </w:r>
      <w:r>
        <w:t xml:space="preserve">“</w:t>
      </w:r>
      <w:r>
        <w:t xml:space="preserve">Article IX, Section 7 of our state constitution, applicable to this litigation, does not fall into the category of self-executing provisions.</w:t>
      </w:r>
      <w:r>
        <w:t xml:space="preserve">”</w:t>
      </w:r>
      <w:r>
        <w:t xml:space="preserve">; verified against the L0 capture of the full opinion, 2026-06-07). North Carolina is a school-funding case, not a trust-lands case; it is cited for the enforcement-design lesson only.</w:t>
      </w:r>
    </w:p>
  </w:footnote>
  <w:footnote w:id="725">
    <w:p>
      <w:pPr>
        <w:pStyle w:val="FootnoteText"/>
      </w:pPr>
      <w:r>
        <w:rPr>
          <w:rStyle w:val="FootnoteReference"/>
        </w:rPr>
        <w:footnoteRef/>
      </w:r>
      <w:r>
        <w:t xml:space="preserve"> </w:t>
      </w:r>
      <w:r>
        <w:t xml:space="preserve">UPTEA § 102(2)</w:t>
      </w:r>
      <w:r>
        <w:t xml:space="preserve"> </w:t>
      </w:r>
      <w:r>
        <w:t xml:space="preserve">[@uptea-102]</w:t>
      </w:r>
      <w:r>
        <w:t xml:space="preserve">.</w:t>
      </w:r>
    </w:p>
  </w:footnote>
  <w:footnote w:id="726">
    <w:p>
      <w:pPr>
        <w:pStyle w:val="FootnoteText"/>
      </w:pPr>
      <w:r>
        <w:rPr>
          <w:rStyle w:val="FootnoteReference"/>
        </w:rPr>
        <w:footnoteRef/>
      </w:r>
      <w:r>
        <w:t xml:space="preserve"> </w:t>
      </w:r>
      <w:r>
        <w:t xml:space="preserve">UPTEA § 103(b)–(c)</w:t>
      </w:r>
      <w:r>
        <w:t xml:space="preserve"> </w:t>
      </w:r>
      <w:r>
        <w:t xml:space="preserve">[@uptea-103]</w:t>
      </w:r>
      <w:r>
        <w:t xml:space="preserve">.</w:t>
      </w:r>
    </w:p>
  </w:footnote>
  <w:footnote w:id="727">
    <w:p>
      <w:pPr>
        <w:pStyle w:val="FootnoteText"/>
      </w:pPr>
      <w:r>
        <w:rPr>
          <w:rStyle w:val="FootnoteReference"/>
        </w:rPr>
        <w:footnoteRef/>
      </w:r>
      <w:r>
        <w:t xml:space="preserve"> </w:t>
      </w:r>
      <w:r>
        <w:t xml:space="preserve">Lead case:</w:t>
      </w:r>
      <w:r>
        <w:t xml:space="preserve"> </w:t>
      </w:r>
      <w:r>
        <w:rPr>
          <w:i/>
        </w:rPr>
        <w:t xml:space="preserve">County of Skamania v. State</w:t>
      </w:r>
      <w:r>
        <w:t xml:space="preserve">, 102 Wn.2d 127, 132, 685 P.2d 576 (1984)</w:t>
      </w:r>
      <w:r>
        <w:t xml:space="preserve"> </w:t>
      </w:r>
      <w:r>
        <w:t xml:space="preserve">[@skamania-1984]</w:t>
      </w:r>
      <w:r>
        <w:t xml:space="preserve"> </w:t>
      </w:r>
      <w:r>
        <w:t xml:space="preserve">(</w:t>
      </w:r>
      <w:r>
        <w:t xml:space="preserve">“</w:t>
      </w:r>
      <w:r>
        <w:t xml:space="preserve">real, enforceable trusts that impose upon the state the same fiduciary duties applicable to private trustees</w:t>
      </w:r>
      <w:r>
        <w:t xml:space="preserve">”</w:t>
      </w:r>
      <w:r>
        <w:t xml:space="preserve">); the master accord collection is § 4.4.</w:t>
      </w:r>
    </w:p>
  </w:footnote>
  <w:footnote w:id="728">
    <w:p>
      <w:pPr>
        <w:pStyle w:val="FootnoteText"/>
      </w:pPr>
      <w:r>
        <w:rPr>
          <w:rStyle w:val="FootnoteReference"/>
        </w:rPr>
        <w:footnoteRef/>
      </w:r>
      <w:r>
        <w:t xml:space="preserve"> </w:t>
      </w:r>
      <w:r>
        <w:t xml:space="preserve">UPTEA Commentary, § 103 note</w:t>
      </w:r>
      <w:r>
        <w:t xml:space="preserve"> </w:t>
      </w:r>
      <w:r>
        <w:t xml:space="preserve">[@uptea-commentary-2026]</w:t>
      </w:r>
      <w:r>
        <w:t xml:space="preserve">. [COUNSEL REVIEW — the commentary discusses the clause’s bearing on pending Oregon litigation; this chapter states the design function only.]</w:t>
      </w:r>
    </w:p>
  </w:footnote>
  <w:footnote w:id="729">
    <w:p>
      <w:pPr>
        <w:pStyle w:val="FootnoteText"/>
      </w:pPr>
      <w:r>
        <w:rPr>
          <w:rStyle w:val="FootnoteReference"/>
        </w:rPr>
        <w:footnoteRef/>
      </w:r>
      <w:r>
        <w:t xml:space="preserve"> </w:t>
      </w:r>
      <w:r>
        <w:t xml:space="preserve">UPTEA § 804(b)</w:t>
      </w:r>
      <w:r>
        <w:t xml:space="preserve"> </w:t>
      </w:r>
      <w:r>
        <w:t xml:space="preserve">[@uptea-804]</w:t>
      </w:r>
      <w:r>
        <w:t xml:space="preserve">; Commentary, § 804 note</w:t>
      </w:r>
      <w:r>
        <w:t xml:space="preserve"> </w:t>
      </w:r>
      <w:r>
        <w:t xml:space="preserve">[@uptea-commentary-2026]</w:t>
      </w:r>
      <w:r>
        <w:t xml:space="preserve"> </w:t>
      </w:r>
      <w:r>
        <w:t xml:space="preserve">(each state to verify against its retroactivity jurisprudence).</w:t>
      </w:r>
    </w:p>
  </w:footnote>
  <w:footnote w:id="731">
    <w:p>
      <w:pPr>
        <w:pStyle w:val="FootnoteText"/>
      </w:pPr>
      <w:r>
        <w:rPr>
          <w:rStyle w:val="FootnoteReference"/>
        </w:rPr>
        <w:footnoteRef/>
      </w:r>
      <w:r>
        <w:t xml:space="preserve"> </w:t>
      </w:r>
      <w:r>
        <w:t xml:space="preserve">UPTEA § 401(a)</w:t>
      </w:r>
      <w:r>
        <w:t xml:space="preserve"> </w:t>
      </w:r>
      <w:r>
        <w:t xml:space="preserve">[@uptea-401]</w:t>
      </w:r>
      <w:r>
        <w:t xml:space="preserve">; Commentary, § 401 note</w:t>
      </w:r>
      <w:r>
        <w:t xml:space="preserve"> </w:t>
      </w:r>
      <w:r>
        <w:t xml:space="preserve">[@uptea-commentary-2026]</w:t>
      </w:r>
      <w:r>
        <w:t xml:space="preserve">.</w:t>
      </w:r>
    </w:p>
  </w:footnote>
  <w:footnote w:id="732">
    <w:p>
      <w:pPr>
        <w:pStyle w:val="FootnoteText"/>
      </w:pPr>
      <w:r>
        <w:rPr>
          <w:rStyle w:val="FootnoteReference"/>
        </w:rPr>
        <w:footnoteRef/>
      </w:r>
      <w:r>
        <w:t xml:space="preserve"> </w:t>
      </w:r>
      <w:r>
        <w:t xml:space="preserve">UPTEA § 401(b)–(c)</w:t>
      </w:r>
      <w:r>
        <w:t xml:space="preserve"> </w:t>
      </w:r>
      <w:r>
        <w:t xml:space="preserve">[@uptea-401]</w:t>
      </w:r>
      <w:r>
        <w:t xml:space="preserve">. The defense arguments these forestall are documented at Chapter 13; the charitable-trust channeling holding is</w:t>
      </w:r>
      <w:r>
        <w:t xml:space="preserve"> </w:t>
      </w:r>
      <w:r>
        <w:rPr>
          <w:i/>
        </w:rPr>
        <w:t xml:space="preserve">Forest Guardians v. Powell</w:t>
      </w:r>
      <w:r>
        <w:t xml:space="preserve">, 2001-NMCA-028</w:t>
      </w:r>
      <w:r>
        <w:t xml:space="preserve"> </w:t>
      </w:r>
      <w:r>
        <w:t xml:space="preserve">[@forest-guardians-2001]</w:t>
      </w:r>
      <w:r>
        <w:t xml:space="preserve">.</w:t>
      </w:r>
    </w:p>
  </w:footnote>
  <w:footnote w:id="733">
    <w:p>
      <w:pPr>
        <w:pStyle w:val="FootnoteText"/>
      </w:pPr>
      <w:r>
        <w:rPr>
          <w:rStyle w:val="FootnoteReference"/>
        </w:rPr>
        <w:footnoteRef/>
      </w:r>
      <w:r>
        <w:t xml:space="preserve"> </w:t>
      </w:r>
      <w:r>
        <w:t xml:space="preserve">UPTEA § 402</w:t>
      </w:r>
      <w:r>
        <w:t xml:space="preserve"> </w:t>
      </w:r>
      <w:r>
        <w:t xml:space="preserve">[@uptea-402]</w:t>
      </w:r>
      <w:r>
        <w:t xml:space="preserve">; Commentary, § 402 note</w:t>
      </w:r>
      <w:r>
        <w:t xml:space="preserve"> </w:t>
      </w:r>
      <w:r>
        <w:t xml:space="preserve">[@uptea-commentary-2026]</w:t>
      </w:r>
      <w:r>
        <w:t xml:space="preserve">.</w:t>
      </w:r>
    </w:p>
  </w:footnote>
  <w:footnote w:id="734">
    <w:p>
      <w:pPr>
        <w:pStyle w:val="FootnoteText"/>
      </w:pPr>
      <w:r>
        <w:rPr>
          <w:rStyle w:val="FootnoteReference"/>
        </w:rPr>
        <w:footnoteRef/>
      </w:r>
      <w:r>
        <w:t xml:space="preserve"> </w:t>
      </w:r>
      <w:r>
        <w:t xml:space="preserve">The doctrinal anchor for intergenerational impartiality is Chapter 8; the leading judicial statement of the present-versus-future tension in the corpus is the dissent in</w:t>
      </w:r>
      <w:r>
        <w:t xml:space="preserve"> </w:t>
      </w:r>
      <w:r>
        <w:rPr>
          <w:i/>
        </w:rPr>
        <w:t xml:space="preserve">Montanans for the Responsible Use of the School Trust v. Darkenwald</w:t>
      </w:r>
      <w:r>
        <w:t xml:space="preserve">, 2005 MT 190, 328 Mont. 105</w:t>
      </w:r>
      <w:r>
        <w:t xml:space="preserve"> </w:t>
      </w:r>
      <w:r>
        <w:t xml:space="preserve">[@darkenwald-2005]</w:t>
      </w:r>
      <w:r>
        <w:t xml:space="preserve"> </w:t>
      </w:r>
      <w:r>
        <w:t xml:space="preserve">(Nelson, J., dissenting: the scheme</w:t>
      </w:r>
      <w:r>
        <w:t xml:space="preserve"> </w:t>
      </w:r>
      <w:r>
        <w:t xml:space="preserve">“</w:t>
      </w:r>
      <w:r>
        <w:t xml:space="preserve">robs Peter (future generations of school children) to pay Paul</w:t>
      </w:r>
      <w:r>
        <w:t xml:space="preserve">”</w:t>
      </w:r>
      <w:r>
        <w:t xml:space="preserve">).</w:t>
      </w:r>
    </w:p>
  </w:footnote>
  <w:footnote w:id="736">
    <w:p>
      <w:pPr>
        <w:pStyle w:val="FootnoteText"/>
      </w:pPr>
      <w:r>
        <w:rPr>
          <w:rStyle w:val="FootnoteReference"/>
        </w:rPr>
        <w:footnoteRef/>
      </w:r>
      <w:r>
        <w:t xml:space="preserve"> </w:t>
      </w:r>
      <w:r>
        <w:t xml:space="preserve">UPTEA §§ 301–302</w:t>
      </w:r>
      <w:r>
        <w:t xml:space="preserve"> </w:t>
      </w:r>
      <w:r>
        <w:t xml:space="preserve">[@uptea-302]</w:t>
      </w:r>
      <w:r>
        <w:t xml:space="preserve">.</w:t>
      </w:r>
    </w:p>
  </w:footnote>
  <w:footnote w:id="737">
    <w:p>
      <w:pPr>
        <w:pStyle w:val="FootnoteText"/>
      </w:pPr>
      <w:r>
        <w:rPr>
          <w:rStyle w:val="FootnoteReference"/>
        </w:rPr>
        <w:footnoteRef/>
      </w:r>
      <w:r>
        <w:t xml:space="preserve"> </w:t>
      </w:r>
      <w:r>
        <w:t xml:space="preserve">UPTEA §§ 301(c), 303</w:t>
      </w:r>
      <w:r>
        <w:t xml:space="preserve"> </w:t>
      </w:r>
      <w:r>
        <w:t xml:space="preserve">[@uptea-303]</w:t>
      </w:r>
      <w:r>
        <w:t xml:space="preserve">.</w:t>
      </w:r>
    </w:p>
  </w:footnote>
  <w:footnote w:id="738">
    <w:p>
      <w:pPr>
        <w:pStyle w:val="FootnoteText"/>
      </w:pPr>
      <w:r>
        <w:rPr>
          <w:rStyle w:val="FootnoteReference"/>
        </w:rPr>
        <w:footnoteRef/>
      </w:r>
      <w:r>
        <w:t xml:space="preserve"> </w:t>
      </w:r>
      <w:r>
        <w:t xml:space="preserve">UPTEA § 304(b)</w:t>
      </w:r>
      <w:r>
        <w:t xml:space="preserve"> </w:t>
      </w:r>
      <w:r>
        <w:t xml:space="preserve">[@uptea-304]</w:t>
      </w:r>
      <w:r>
        <w:t xml:space="preserve">; Commentary, § 304 note</w:t>
      </w:r>
      <w:r>
        <w:t xml:space="preserve"> </w:t>
      </w:r>
      <w:r>
        <w:t xml:space="preserve">[@uptea-commentary-2026]</w:t>
      </w:r>
      <w:r>
        <w:t xml:space="preserve">.</w:t>
      </w:r>
    </w:p>
  </w:footnote>
  <w:footnote w:id="739">
    <w:p>
      <w:pPr>
        <w:pStyle w:val="FootnoteText"/>
      </w:pPr>
      <w:r>
        <w:rPr>
          <w:rStyle w:val="FootnoteReference"/>
        </w:rPr>
        <w:footnoteRef/>
      </w:r>
      <w:r>
        <w:t xml:space="preserve"> </w:t>
      </w:r>
      <w:r>
        <w:rPr>
          <w:i/>
        </w:rPr>
        <w:t xml:space="preserve">Wood v. Honeyman</w:t>
      </w:r>
      <w:r>
        <w:t xml:space="preserve">, 178 Or 484, 555-57 (1946)</w:t>
      </w:r>
      <w:r>
        <w:t xml:space="preserve"> </w:t>
      </w:r>
      <w:r>
        <w:t xml:space="preserve">[@honeyman-1946]</w:t>
      </w:r>
      <w:r>
        <w:t xml:space="preserve"> </w:t>
      </w:r>
      <w:r>
        <w:t xml:space="preserve">(record-maintenance statement at 555-56; burden language from Bogert,</w:t>
      </w:r>
      <w:r>
        <w:t xml:space="preserve"> </w:t>
      </w:r>
      <w:r>
        <w:rPr>
          <w:i/>
        </w:rPr>
        <w:t xml:space="preserve">Trusts and Trustees</w:t>
      </w:r>
      <w:r>
        <w:t xml:space="preserve"> </w:t>
      </w:r>
      <w:r>
        <w:t xml:space="preserve">§ 962, quoted with approval at 556-57; verified against the L0 full opinion 2026-06-07 — Register G-2 resolved). Accord public-trust accounting cases not yet collected; see Chapter 12.</w:t>
      </w:r>
    </w:p>
  </w:footnote>
  <w:footnote w:id="741">
    <w:p>
      <w:pPr>
        <w:pStyle w:val="FootnoteText"/>
      </w:pPr>
      <w:r>
        <w:rPr>
          <w:rStyle w:val="FootnoteReference"/>
        </w:rPr>
        <w:footnoteRef/>
      </w:r>
      <w:r>
        <w:t xml:space="preserve"> </w:t>
      </w:r>
      <w:r>
        <w:t xml:space="preserve">UPTEA § 205</w:t>
      </w:r>
      <w:r>
        <w:t xml:space="preserve"> </w:t>
      </w:r>
      <w:r>
        <w:t xml:space="preserve">[@uptea-205]</w:t>
      </w:r>
      <w:r>
        <w:t xml:space="preserve">.</w:t>
      </w:r>
    </w:p>
  </w:footnote>
  <w:footnote w:id="742">
    <w:p>
      <w:pPr>
        <w:pStyle w:val="FootnoteText"/>
      </w:pPr>
      <w:r>
        <w:rPr>
          <w:rStyle w:val="FootnoteReference"/>
        </w:rPr>
        <w:footnoteRef/>
      </w:r>
      <w:r>
        <w:t xml:space="preserve"> </w:t>
      </w:r>
      <w:r>
        <w:t xml:space="preserve">UPTEA § 205(d)</w:t>
      </w:r>
      <w:r>
        <w:t xml:space="preserve"> </w:t>
      </w:r>
      <w:r>
        <w:t xml:space="preserve">[@uptea-205]</w:t>
      </w:r>
      <w:r>
        <w:t xml:space="preserve">; Commentary, § 205 note</w:t>
      </w:r>
      <w:r>
        <w:t xml:space="preserve"> </w:t>
      </w:r>
      <w:r>
        <w:t xml:space="preserve">[@uptea-commentary-2026]</w:t>
      </w:r>
      <w:r>
        <w:t xml:space="preserve">.</w:t>
      </w:r>
    </w:p>
  </w:footnote>
  <w:footnote w:id="743">
    <w:p>
      <w:pPr>
        <w:pStyle w:val="FootnoteText"/>
      </w:pPr>
      <w:r>
        <w:rPr>
          <w:rStyle w:val="FootnoteReference"/>
        </w:rPr>
        <w:footnoteRef/>
      </w:r>
      <w:r>
        <w:t xml:space="preserve"> </w:t>
      </w:r>
      <w:r>
        <w:t xml:space="preserve">UPTEA § 501</w:t>
      </w:r>
      <w:r>
        <w:t xml:space="preserve"> </w:t>
      </w:r>
      <w:r>
        <w:t xml:space="preserve">[@uptea-501]</w:t>
      </w:r>
      <w:r>
        <w:t xml:space="preserve">. The doctrinal antecedents:</w:t>
      </w:r>
      <w:r>
        <w:t xml:space="preserve"> </w:t>
      </w:r>
      <w:r>
        <w:rPr>
          <w:i/>
        </w:rPr>
        <w:t xml:space="preserve">Lassen v. Arizona ex rel. Arizona Highway Department</w:t>
      </w:r>
      <w:r>
        <w:t xml:space="preserve">, 385 U.S. 458 (1967)</w:t>
      </w:r>
      <w:r>
        <w:t xml:space="preserve"> </w:t>
      </w:r>
      <w:r>
        <w:t xml:space="preserve">[@lassen-1967]</w:t>
      </w:r>
      <w:r>
        <w:t xml:space="preserve">;</w:t>
      </w:r>
      <w:r>
        <w:t xml:space="preserve"> </w:t>
      </w:r>
      <w:r>
        <w:rPr>
          <w:i/>
        </w:rPr>
        <w:t xml:space="preserve">Kanaly v. State ex rel. Janklow</w:t>
      </w:r>
      <w:r>
        <w:t xml:space="preserve">, 368 N.W.2d 819 (S.D. 1985)</w:t>
      </w:r>
      <w:r>
        <w:t xml:space="preserve"> </w:t>
      </w:r>
      <w:r>
        <w:t xml:space="preserve">[@kanaly-1985]</w:t>
      </w:r>
      <w:r>
        <w:t xml:space="preserve">; the collection is Chapter 10.</w:t>
      </w:r>
    </w:p>
  </w:footnote>
  <w:footnote w:id="744">
    <w:p>
      <w:pPr>
        <w:pStyle w:val="FootnoteText"/>
      </w:pPr>
      <w:r>
        <w:rPr>
          <w:rStyle w:val="FootnoteReference"/>
        </w:rPr>
        <w:footnoteRef/>
      </w:r>
      <w:r>
        <w:t xml:space="preserve"> </w:t>
      </w:r>
      <w:r>
        <w:t xml:space="preserve">UPTEA § 502</w:t>
      </w:r>
      <w:r>
        <w:t xml:space="preserve"> </w:t>
      </w:r>
      <w:r>
        <w:t xml:space="preserve">[@uptea-502]</w:t>
      </w:r>
      <w:r>
        <w:t xml:space="preserve">;</w:t>
      </w:r>
      <w:r>
        <w:t xml:space="preserve"> </w:t>
      </w:r>
      <w:r>
        <w:rPr>
          <w:i/>
        </w:rPr>
        <w:t xml:space="preserve">National Parks &amp; Conservation Association v. Board of State Lands</w:t>
      </w:r>
      <w:r>
        <w:t xml:space="preserve">, 869 P.2d 909, 922 (Utah 1993)</w:t>
      </w:r>
      <w:r>
        <w:t xml:space="preserve"> </w:t>
      </w:r>
      <w:r>
        <w:t xml:space="preserve">[@npca-1993]</w:t>
      </w:r>
      <w:r>
        <w:t xml:space="preserve"> </w:t>
      </w:r>
      <w:r>
        <w:t xml:space="preserve">(quotation verified against the full opinion, 2026-06-07).</w:t>
      </w:r>
    </w:p>
  </w:footnote>
  <w:footnote w:id="745">
    <w:p>
      <w:pPr>
        <w:pStyle w:val="FootnoteText"/>
      </w:pPr>
      <w:r>
        <w:rPr>
          <w:rStyle w:val="FootnoteReference"/>
        </w:rPr>
        <w:footnoteRef/>
      </w:r>
      <w:r>
        <w:t xml:space="preserve"> </w:t>
      </w:r>
      <w:r>
        <w:t xml:space="preserve">UPTEA § 503(c)</w:t>
      </w:r>
      <w:r>
        <w:t xml:space="preserve"> </w:t>
      </w:r>
      <w:r>
        <w:t xml:space="preserve">[@uptea-503]</w:t>
      </w:r>
      <w:r>
        <w:t xml:space="preserve">;</w:t>
      </w:r>
      <w:r>
        <w:t xml:space="preserve"> </w:t>
      </w:r>
      <w:r>
        <w:rPr>
          <w:i/>
        </w:rPr>
        <w:t xml:space="preserve">Propst v. Board of Educational Lands &amp; Funds</w:t>
      </w:r>
      <w:r>
        <w:t xml:space="preserve">, 156 Neb. 226, 55 N.W.2d 653 (1952)</w:t>
      </w:r>
      <w:r>
        <w:t xml:space="preserve"> </w:t>
      </w:r>
      <w:r>
        <w:t xml:space="preserve">[@propst-1952]</w:t>
      </w:r>
      <w:r>
        <w:t xml:space="preserve"> </w:t>
      </w:r>
      <w:r>
        <w:t xml:space="preserve">(</w:t>
      </w:r>
      <w:r>
        <w:t xml:space="preserve">“</w:t>
      </w:r>
      <w:r>
        <w:t xml:space="preserve">Anyone dealing with the school lands must do so with knowledge of and subject to the trust obligation of the state.</w:t>
      </w:r>
      <w:r>
        <w:t xml:space="preserve">”</w:t>
      </w:r>
      <w:r>
        <w:t xml:space="preserve">).</w:t>
      </w:r>
    </w:p>
  </w:footnote>
  <w:footnote w:id="747">
    <w:p>
      <w:pPr>
        <w:pStyle w:val="FootnoteText"/>
      </w:pPr>
      <w:r>
        <w:rPr>
          <w:rStyle w:val="FootnoteReference"/>
        </w:rPr>
        <w:footnoteRef/>
      </w:r>
      <w:r>
        <w:t xml:space="preserve"> </w:t>
      </w:r>
      <w:r>
        <w:t xml:space="preserve">UPTEA § 403</w:t>
      </w:r>
      <w:r>
        <w:t xml:space="preserve"> </w:t>
      </w:r>
      <w:r>
        <w:t xml:space="preserve">[@uptea-403]</w:t>
      </w:r>
      <w:r>
        <w:t xml:space="preserve">.</w:t>
      </w:r>
    </w:p>
  </w:footnote>
  <w:footnote w:id="748">
    <w:p>
      <w:pPr>
        <w:pStyle w:val="FootnoteText"/>
      </w:pPr>
      <w:r>
        <w:rPr>
          <w:rStyle w:val="FootnoteReference"/>
        </w:rPr>
        <w:footnoteRef/>
      </w:r>
      <w:r>
        <w:t xml:space="preserve"> </w:t>
      </w:r>
      <w:r>
        <w:t xml:space="preserve">UPTEA § 404</w:t>
      </w:r>
      <w:r>
        <w:t xml:space="preserve"> </w:t>
      </w:r>
      <w:r>
        <w:t xml:space="preserve">[@uptea-404]</w:t>
      </w:r>
      <w:r>
        <w:t xml:space="preserve">; Commentary, § 404 note</w:t>
      </w:r>
      <w:r>
        <w:t xml:space="preserve"> </w:t>
      </w:r>
      <w:r>
        <w:t xml:space="preserve">[@uptea-commentary-2026]</w:t>
      </w:r>
      <w:r>
        <w:t xml:space="preserve">.</w:t>
      </w:r>
    </w:p>
  </w:footnote>
  <w:footnote w:id="749">
    <w:p>
      <w:pPr>
        <w:pStyle w:val="FootnoteText"/>
      </w:pPr>
      <w:r>
        <w:rPr>
          <w:rStyle w:val="FootnoteReference"/>
        </w:rPr>
        <w:footnoteRef/>
      </w:r>
      <w:r>
        <w:t xml:space="preserve"> </w:t>
      </w:r>
      <w:r>
        <w:t xml:space="preserve">UPTEA § 405</w:t>
      </w:r>
      <w:r>
        <w:t xml:space="preserve"> </w:t>
      </w:r>
      <w:r>
        <w:t xml:space="preserve">[@uptea-405]</w:t>
      </w:r>
      <w:r>
        <w:t xml:space="preserve">.</w:t>
      </w:r>
    </w:p>
  </w:footnote>
  <w:footnote w:id="750">
    <w:p>
      <w:pPr>
        <w:pStyle w:val="FootnoteText"/>
      </w:pPr>
      <w:r>
        <w:rPr>
          <w:rStyle w:val="FootnoteReference"/>
        </w:rPr>
        <w:footnoteRef/>
      </w:r>
      <w:r>
        <w:t xml:space="preserve"> </w:t>
      </w:r>
      <w:r>
        <w:t xml:space="preserve">Commentary, § 405 note</w:t>
      </w:r>
      <w:r>
        <w:t xml:space="preserve"> </w:t>
      </w:r>
      <w:r>
        <w:t xml:space="preserve">[@uptea-commentary-2026]</w:t>
      </w:r>
      <w:r>
        <w:t xml:space="preserve">. The documented instance of attorney-general opinions siding with the sovereign against the trust, later disapproved judicially, is</w:t>
      </w:r>
      <w:r>
        <w:t xml:space="preserve"> </w:t>
      </w:r>
      <w:r>
        <w:rPr>
          <w:i/>
        </w:rPr>
        <w:t xml:space="preserve">Walker</w:t>
      </w:r>
      <w:r>
        <w:t xml:space="preserve">, 61 N.M. 374 (1956)</w:t>
      </w:r>
      <w:r>
        <w:t xml:space="preserve"> </w:t>
      </w:r>
      <w:r>
        <w:t xml:space="preserve">[@walker-1956]</w:t>
      </w:r>
      <w:r>
        <w:t xml:space="preserve">; see Chapter 14.</w:t>
      </w:r>
    </w:p>
  </w:footnote>
  <w:footnote w:id="752">
    <w:p>
      <w:pPr>
        <w:pStyle w:val="FootnoteText"/>
      </w:pPr>
      <w:r>
        <w:rPr>
          <w:rStyle w:val="FootnoteReference"/>
        </w:rPr>
        <w:footnoteRef/>
      </w:r>
      <w:r>
        <w:t xml:space="preserve"> </w:t>
      </w:r>
      <w:r>
        <w:t xml:space="preserve">UPTEA § 601(a)</w:t>
      </w:r>
      <w:r>
        <w:t xml:space="preserve"> </w:t>
      </w:r>
      <w:r>
        <w:t xml:space="preserve">[@uptea-601]</w:t>
      </w:r>
      <w:r>
        <w:t xml:space="preserve">.</w:t>
      </w:r>
    </w:p>
  </w:footnote>
  <w:footnote w:id="753">
    <w:p>
      <w:pPr>
        <w:pStyle w:val="FootnoteText"/>
      </w:pPr>
      <w:r>
        <w:rPr>
          <w:rStyle w:val="FootnoteReference"/>
        </w:rPr>
        <w:footnoteRef/>
      </w:r>
      <w:r>
        <w:t xml:space="preserve"> </w:t>
      </w:r>
      <w:r>
        <w:t xml:space="preserve">UPTEA § 602</w:t>
      </w:r>
      <w:r>
        <w:t xml:space="preserve"> </w:t>
      </w:r>
      <w:r>
        <w:t xml:space="preserve">[@uptea-602]</w:t>
      </w:r>
      <w:r>
        <w:t xml:space="preserve">; Commentary, § 602 note</w:t>
      </w:r>
      <w:r>
        <w:t xml:space="preserve"> </w:t>
      </w:r>
      <w:r>
        <w:t xml:space="preserve">[@uptea-commentary-2026]</w:t>
      </w:r>
      <w:r>
        <w:t xml:space="preserve">.</w:t>
      </w:r>
    </w:p>
  </w:footnote>
  <w:footnote w:id="754">
    <w:p>
      <w:pPr>
        <w:pStyle w:val="FootnoteText"/>
      </w:pPr>
      <w:r>
        <w:rPr>
          <w:rStyle w:val="FootnoteReference"/>
        </w:rPr>
        <w:footnoteRef/>
      </w:r>
      <w:r>
        <w:t xml:space="preserve"> </w:t>
      </w:r>
      <w:r>
        <w:t xml:space="preserve">UPTEA § 601(b)</w:t>
      </w:r>
      <w:r>
        <w:t xml:space="preserve"> </w:t>
      </w:r>
      <w:r>
        <w:t xml:space="preserve">[@uptea-601]</w:t>
      </w:r>
      <w:r>
        <w:t xml:space="preserve">; the underlying limitation is treated at Chapter 18.</w:t>
      </w:r>
    </w:p>
  </w:footnote>
  <w:footnote w:id="755">
    <w:p>
      <w:pPr>
        <w:pStyle w:val="FootnoteText"/>
      </w:pPr>
      <w:r>
        <w:rPr>
          <w:rStyle w:val="FootnoteReference"/>
        </w:rPr>
        <w:footnoteRef/>
      </w:r>
      <w:r>
        <w:t xml:space="preserve"> </w:t>
      </w:r>
      <w:r>
        <w:t xml:space="preserve">UPTEA § 604</w:t>
      </w:r>
      <w:r>
        <w:t xml:space="preserve"> </w:t>
      </w:r>
      <w:r>
        <w:t xml:space="preserve">[@uptea-604]</w:t>
      </w:r>
      <w:r>
        <w:t xml:space="preserve">. The Oregon recharacterization holding the design tracks:</w:t>
      </w:r>
      <w:r>
        <w:t xml:space="preserve"> </w:t>
      </w:r>
      <w:r>
        <w:rPr>
          <w:i/>
        </w:rPr>
        <w:t xml:space="preserve">Comcast of Oregon II, Inc. v. City of Eugene</w:t>
      </w:r>
      <w:r>
        <w:t xml:space="preserve">, 346 Or 238, 249-50 (2009)</w:t>
      </w:r>
      <w:r>
        <w:t xml:space="preserve"> </w:t>
      </w:r>
      <w:r>
        <w:t xml:space="preserve">[@comcast-2009]</w:t>
      </w:r>
      <w:r>
        <w:t xml:space="preserve">; accord</w:t>
      </w:r>
      <w:r>
        <w:t xml:space="preserve"> </w:t>
      </w:r>
      <w:r>
        <w:rPr>
          <w:i/>
        </w:rPr>
        <w:t xml:space="preserve">Advocates for School Trust Lands v. State</w:t>
      </w:r>
      <w:r>
        <w:t xml:space="preserve">, 346 Or App 668, 684 n.9 (2026)</w:t>
      </w:r>
      <w:r>
        <w:t xml:space="preserve"> </w:t>
      </w:r>
      <w:r>
        <w:t xml:space="preserve">[@advocates-2026]</w:t>
      </w:r>
      <w:r>
        <w:t xml:space="preserve"> </w:t>
      </w:r>
      <w:r>
        <w:t xml:space="preserve">(challenges to the validity of laws are not tort claims).</w:t>
      </w:r>
    </w:p>
  </w:footnote>
  <w:footnote w:id="756">
    <w:p>
      <w:pPr>
        <w:pStyle w:val="FootnoteText"/>
      </w:pPr>
      <w:r>
        <w:rPr>
          <w:rStyle w:val="FootnoteReference"/>
        </w:rPr>
        <w:footnoteRef/>
      </w:r>
      <w:r>
        <w:t xml:space="preserve"> </w:t>
      </w:r>
      <w:r>
        <w:t xml:space="preserve">UPTEA § 603</w:t>
      </w:r>
      <w:r>
        <w:t xml:space="preserve"> </w:t>
      </w:r>
      <w:r>
        <w:t xml:space="preserve">[@uptea-603]</w:t>
      </w:r>
      <w:r>
        <w:t xml:space="preserve">.</w:t>
      </w:r>
    </w:p>
  </w:footnote>
  <w:footnote w:id="758">
    <w:p>
      <w:pPr>
        <w:pStyle w:val="FootnoteText"/>
      </w:pPr>
      <w:r>
        <w:rPr>
          <w:rStyle w:val="FootnoteReference"/>
        </w:rPr>
        <w:footnoteRef/>
      </w:r>
      <w:r>
        <w:t xml:space="preserve"> </w:t>
      </w:r>
      <w:r>
        <w:t xml:space="preserve">UPTEA § 701</w:t>
      </w:r>
      <w:r>
        <w:t xml:space="preserve"> </w:t>
      </w:r>
      <w:r>
        <w:t xml:space="preserve">[@uptea-701]</w:t>
      </w:r>
      <w:r>
        <w:t xml:space="preserve">; Commentary, § 701 note</w:t>
      </w:r>
      <w:r>
        <w:t xml:space="preserve"> </w:t>
      </w:r>
      <w:r>
        <w:t xml:space="preserve">[@uptea-commentary-2026]</w:t>
      </w:r>
      <w:r>
        <w:t xml:space="preserve">.</w:t>
      </w:r>
    </w:p>
  </w:footnote>
  <w:footnote w:id="759">
    <w:p>
      <w:pPr>
        <w:pStyle w:val="FootnoteText"/>
      </w:pPr>
      <w:r>
        <w:rPr>
          <w:rStyle w:val="FootnoteReference"/>
        </w:rPr>
        <w:footnoteRef/>
      </w:r>
      <w:r>
        <w:t xml:space="preserve"> </w:t>
      </w:r>
      <w:r>
        <w:t xml:space="preserve">UPTEA § 702</w:t>
      </w:r>
      <w:r>
        <w:t xml:space="preserve"> </w:t>
      </w:r>
      <w:r>
        <w:t xml:space="preserve">[@uptea-702]</w:t>
      </w:r>
      <w:r>
        <w:t xml:space="preserve">.</w:t>
      </w:r>
    </w:p>
  </w:footnote>
  <w:footnote w:id="761">
    <w:p>
      <w:pPr>
        <w:pStyle w:val="FootnoteText"/>
      </w:pPr>
      <w:r>
        <w:rPr>
          <w:rStyle w:val="FootnoteReference"/>
        </w:rPr>
        <w:footnoteRef/>
      </w:r>
      <w:r>
        <w:t xml:space="preserve"> </w:t>
      </w:r>
      <w:r>
        <w:t xml:space="preserve">UPTEA § 105(c)</w:t>
      </w:r>
      <w:r>
        <w:t xml:space="preserve"> </w:t>
      </w:r>
      <w:r>
        <w:t xml:space="preserve">[@uptea-105]</w:t>
      </w:r>
      <w:r>
        <w:t xml:space="preserve">.</w:t>
      </w:r>
    </w:p>
  </w:footnote>
  <w:footnote w:id="762">
    <w:p>
      <w:pPr>
        <w:pStyle w:val="FootnoteText"/>
      </w:pPr>
      <w:r>
        <w:rPr>
          <w:rStyle w:val="FootnoteReference"/>
        </w:rPr>
        <w:footnoteRef/>
      </w:r>
      <w:r>
        <w:t xml:space="preserve"> </w:t>
      </w:r>
      <w:r>
        <w:t xml:space="preserve">UPTEA § 801</w:t>
      </w:r>
      <w:r>
        <w:t xml:space="preserve"> </w:t>
      </w:r>
      <w:r>
        <w:t xml:space="preserve">[@uptea-801]</w:t>
      </w:r>
      <w:r>
        <w:t xml:space="preserve">.</w:t>
      </w:r>
    </w:p>
  </w:footnote>
  <w:footnote w:id="763">
    <w:p>
      <w:pPr>
        <w:pStyle w:val="FootnoteText"/>
      </w:pPr>
      <w:r>
        <w:rPr>
          <w:rStyle w:val="FootnoteReference"/>
        </w:rPr>
        <w:footnoteRef/>
      </w:r>
      <w:r>
        <w:t xml:space="preserve"> </w:t>
      </w:r>
      <w:r>
        <w:t xml:space="preserve">Commentary, § 105 note</w:t>
      </w:r>
      <w:r>
        <w:t xml:space="preserve"> </w:t>
      </w:r>
      <w:r>
        <w:t xml:space="preserve">[@uptea-commentary-2026]</w:t>
      </w:r>
      <w:r>
        <w:t xml:space="preserve">.</w:t>
      </w:r>
    </w:p>
  </w:footnote>
  <w:footnote w:id="765">
    <w:p>
      <w:pPr>
        <w:pStyle w:val="FootnoteText"/>
      </w:pPr>
      <w:r>
        <w:rPr>
          <w:rStyle w:val="FootnoteReference"/>
        </w:rPr>
        <w:footnoteRef/>
      </w:r>
      <w:r>
        <w:t xml:space="preserve"> </w:t>
      </w:r>
      <w:r>
        <w:t xml:space="preserve">Commentary, § 304 note</w:t>
      </w:r>
      <w:r>
        <w:t xml:space="preserve"> </w:t>
      </w:r>
      <w:r>
        <w:t xml:space="preserve">[@uptea-commentary-2026]</w:t>
      </w:r>
      <w:r>
        <w:t xml:space="preserve">;</w:t>
      </w:r>
      <w:r>
        <w:t xml:space="preserve"> </w:t>
      </w:r>
      <w:r>
        <w:rPr>
          <w:i/>
        </w:rPr>
        <w:t xml:space="preserve">Wood v. Honeyman</w:t>
      </w:r>
      <w:r>
        <w:t xml:space="preserve">, 178 Or 484, 555-57 (1946)</w:t>
      </w:r>
      <w:r>
        <w:t xml:space="preserve"> </w:t>
      </w:r>
      <w:r>
        <w:t xml:space="preserve">[@honeyman-1946]</w:t>
      </w:r>
      <w:r>
        <w:t xml:space="preserve"> </w:t>
      </w:r>
      <w:r>
        <w:t xml:space="preserve">(see § 20.5).</w:t>
      </w:r>
    </w:p>
  </w:footnote>
  <w:footnote w:id="766">
    <w:p>
      <w:pPr>
        <w:pStyle w:val="FootnoteText"/>
      </w:pPr>
      <w:r>
        <w:rPr>
          <w:rStyle w:val="FootnoteReference"/>
        </w:rPr>
        <w:footnoteRef/>
      </w:r>
      <w:r>
        <w:t xml:space="preserve"> </w:t>
      </w:r>
      <w:r>
        <w:t xml:space="preserve">Commentary, §§ 604, 804 notes</w:t>
      </w:r>
      <w:r>
        <w:t xml:space="preserve"> </w:t>
      </w:r>
      <w:r>
        <w:t xml:space="preserve">[@uptea-commentary-2026]</w:t>
      </w:r>
      <w:r>
        <w:t xml:space="preserve">.</w:t>
      </w:r>
    </w:p>
  </w:footnote>
  <w:footnote w:id="767">
    <w:p>
      <w:pPr>
        <w:pStyle w:val="FootnoteText"/>
      </w:pPr>
      <w:r>
        <w:rPr>
          <w:rStyle w:val="FootnoteReference"/>
        </w:rPr>
        <w:footnoteRef/>
      </w:r>
      <w:r>
        <w:t xml:space="preserve"> </w:t>
      </w:r>
      <w:r>
        <w:t xml:space="preserve">Commentary, § 403 note</w:t>
      </w:r>
      <w:r>
        <w:t xml:space="preserve"> </w:t>
      </w:r>
      <w:r>
        <w:t xml:space="preserve">[@uptea-commentary-2026]</w:t>
      </w:r>
      <w:r>
        <w:t xml:space="preserve">.</w:t>
      </w:r>
    </w:p>
  </w:footnote>
  <w:footnote w:id="768">
    <w:p>
      <w:pPr>
        <w:pStyle w:val="FootnoteText"/>
      </w:pPr>
      <w:r>
        <w:rPr>
          <w:rStyle w:val="FootnoteReference"/>
        </w:rPr>
        <w:footnoteRef/>
      </w:r>
      <w:r>
        <w:t xml:space="preserve"> </w:t>
      </w:r>
      <w:r>
        <w:t xml:space="preserve">Commentary, § 801 note</w:t>
      </w:r>
      <w:r>
        <w:t xml:space="preserve"> </w:t>
      </w:r>
      <w:r>
        <w:t xml:space="preserve">[@uptea-commentary-2026]</w:t>
      </w:r>
      <w:r>
        <w:t xml:space="preserve">.</w:t>
      </w:r>
    </w:p>
  </w:footnote>
  <w:footnote w:id="769">
    <w:p>
      <w:pPr>
        <w:pStyle w:val="FootnoteText"/>
      </w:pPr>
      <w:r>
        <w:rPr>
          <w:rStyle w:val="FootnoteReference"/>
        </w:rPr>
        <w:footnoteRef/>
      </w:r>
      <w:r>
        <w:t xml:space="preserve"> </w:t>
      </w:r>
      <w:r>
        <w:t xml:space="preserve">Lead case:</w:t>
      </w:r>
      <w:r>
        <w:t xml:space="preserve"> </w:t>
      </w:r>
      <w:r>
        <w:rPr>
          <w:i/>
        </w:rPr>
        <w:t xml:space="preserve">State ex rel. Ebke v. Board of Educational Lands &amp; Funds</w:t>
      </w:r>
      <w:r>
        <w:t xml:space="preserve">, 154 Neb. 244, 47 N.W.2d 520 (1951)</w:t>
      </w:r>
      <w:r>
        <w:t xml:space="preserve"> </w:t>
      </w:r>
      <w:r>
        <w:t xml:space="preserve">[@ebke-1951]</w:t>
      </w:r>
      <w:r>
        <w:t xml:space="preserve">; the collection is § 4.6(a).</w:t>
      </w:r>
    </w:p>
  </w:footnote>
  <w:footnote w:id="771">
    <w:p>
      <w:pPr>
        <w:pStyle w:val="FootnoteText"/>
      </w:pPr>
      <w:r>
        <w:rPr>
          <w:rStyle w:val="FootnoteReference"/>
        </w:rPr>
        <w:footnoteRef/>
      </w:r>
      <w:r>
        <w:t xml:space="preserve"> </w:t>
      </w:r>
      <w:r>
        <w:t xml:space="preserve">UPTEA §§ 102(2), 103</w:t>
      </w:r>
      <w:r>
        <w:t xml:space="preserve"> </w:t>
      </w:r>
      <w:r>
        <w:t xml:space="preserve">[@uptea-103]</w:t>
      </w:r>
      <w:r>
        <w:t xml:space="preserve">.</w:t>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Trust Lands: The Law of America's Educational Land Trusts</dc:title>
  <dc:creator/>
  <cp:keywords/>
  <dcterms:created xsi:type="dcterms:W3CDTF">2026-06-10T14:16:55Z</dcterms:created>
  <dcterms:modified xsi:type="dcterms:W3CDTF">2026-06-10T14:16:55Z</dcterms:modified>
</cp:coreProperties>
</file>

<file path=docProps/custom.xml><?xml version="1.0" encoding="utf-8"?>
<Properties xmlns="http://schemas.openxmlformats.org/officeDocument/2006/custom-properties" xmlns:vt="http://schemas.openxmlformats.org/officeDocument/2006/docPropsVTypes"/>
</file>