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CFCDF4" w14:textId="73008239" w:rsidR="00DC02F5" w:rsidRDefault="00DC02F5"/>
    <w:p w14:paraId="48F02D95" w14:textId="7590B300" w:rsidR="00DC02F5" w:rsidRDefault="00000000">
      <w:r>
        <w:rPr>
          <w:noProof/>
        </w:rPr>
        <w:drawing>
          <wp:inline distT="0" distB="0" distL="0" distR="0" wp14:anchorId="34911F7C" wp14:editId="3E71A779">
            <wp:extent cx="4470400" cy="6705600"/>
            <wp:effectExtent l="0" t="0" r="0" b="0"/>
            <wp:docPr id="20" name="Picture"/>
            <wp:cNvGraphicFramePr/>
            <a:graphic xmlns:a="http://schemas.openxmlformats.org/drawingml/2006/main">
              <a:graphicData uri="http://schemas.openxmlformats.org/drawingml/2006/picture">
                <pic:pic xmlns:pic="http://schemas.openxmlformats.org/drawingml/2006/picture">
                  <pic:nvPicPr>
                    <pic:cNvPr id="21" name="Picture" descr="C:/Users/drdav/My%20Drive/Claude%20Cowork/_tools/_web_cache/FFG_front_cover_2026-05-31_b0ed1d08510c_1200x_q90.jpg"/>
                    <pic:cNvPicPr>
                      <a:picLocks noChangeAspect="1" noChangeArrowheads="1"/>
                    </pic:cNvPicPr>
                  </pic:nvPicPr>
                  <pic:blipFill>
                    <a:blip r:embed="rId7"/>
                    <a:stretch>
                      <a:fillRect/>
                    </a:stretch>
                  </pic:blipFill>
                  <pic:spPr bwMode="auto">
                    <a:xfrm>
                      <a:off x="0" y="0"/>
                      <a:ext cx="4470400" cy="6705600"/>
                    </a:xfrm>
                    <a:prstGeom prst="rect">
                      <a:avLst/>
                    </a:prstGeom>
                    <a:noFill/>
                    <a:ln w="9525">
                      <a:noFill/>
                      <a:headEnd/>
                      <a:tailEnd/>
                    </a:ln>
                  </pic:spPr>
                </pic:pic>
              </a:graphicData>
            </a:graphic>
          </wp:inline>
        </w:drawing>
      </w:r>
      <w:r>
        <w:br w:type="page"/>
      </w:r>
    </w:p>
    <w:p w14:paraId="41119222" w14:textId="77777777" w:rsidR="00DC02F5" w:rsidRDefault="00000000">
      <w:pPr>
        <w:pStyle w:val="BodyText"/>
      </w:pPr>
      <w:r>
        <w:rPr>
          <w:noProof/>
        </w:rPr>
        <w:lastRenderedPageBreak/>
        <w:drawing>
          <wp:inline distT="0" distB="0" distL="0" distR="0" wp14:anchorId="2932951D" wp14:editId="148F504E">
            <wp:extent cx="4470400" cy="6705600"/>
            <wp:effectExtent l="0" t="0" r="0" b="0"/>
            <wp:docPr id="23" name="Picture"/>
            <wp:cNvGraphicFramePr/>
            <a:graphic xmlns:a="http://schemas.openxmlformats.org/drawingml/2006/main">
              <a:graphicData uri="http://schemas.openxmlformats.org/drawingml/2006/picture">
                <pic:pic xmlns:pic="http://schemas.openxmlformats.org/drawingml/2006/picture">
                  <pic:nvPicPr>
                    <pic:cNvPr id="24" name="Picture" descr="C:/Users/drdav/My%20Drive/Claude%20Cowork/_tools/_web_cache/FFG_back_cover_2026-05-31_f9982df0689c_1200x_q90.jpg"/>
                    <pic:cNvPicPr>
                      <a:picLocks noChangeAspect="1" noChangeArrowheads="1"/>
                    </pic:cNvPicPr>
                  </pic:nvPicPr>
                  <pic:blipFill>
                    <a:blip r:embed="rId8"/>
                    <a:stretch>
                      <a:fillRect/>
                    </a:stretch>
                  </pic:blipFill>
                  <pic:spPr bwMode="auto">
                    <a:xfrm>
                      <a:off x="0" y="0"/>
                      <a:ext cx="4470400" cy="6705600"/>
                    </a:xfrm>
                    <a:prstGeom prst="rect">
                      <a:avLst/>
                    </a:prstGeom>
                    <a:noFill/>
                    <a:ln w="9525">
                      <a:noFill/>
                      <a:headEnd/>
                      <a:tailEnd/>
                    </a:ln>
                  </pic:spPr>
                </pic:pic>
              </a:graphicData>
            </a:graphic>
          </wp:inline>
        </w:drawing>
      </w:r>
    </w:p>
    <w:p w14:paraId="5A1FF67F" w14:textId="77777777" w:rsidR="00DC02F5" w:rsidRDefault="00000000">
      <w:r>
        <w:br w:type="page"/>
      </w:r>
    </w:p>
    <w:p w14:paraId="17403F4E" w14:textId="08A04B9E" w:rsidR="00DC02F5" w:rsidRDefault="00000000" w:rsidP="00437C84">
      <w:pPr>
        <w:pStyle w:val="Heading3"/>
      </w:pPr>
      <w:r>
        <w:lastRenderedPageBreak/>
        <w:t xml:space="preserve">THE </w:t>
      </w:r>
      <w:proofErr w:type="gramStart"/>
      <w:r>
        <w:t>FORGOTTEN FOREVER</w:t>
      </w:r>
      <w:proofErr w:type="gramEnd"/>
      <w:r>
        <w:t xml:space="preserve"> GIFT TO PUBLIC SCHOOLS</w:t>
      </w:r>
      <w:r w:rsidR="00437C84">
        <w:t>:</w:t>
      </w:r>
    </w:p>
    <w:p w14:paraId="16C94CA9" w14:textId="77777777" w:rsidR="00DC02F5" w:rsidRDefault="00000000">
      <w:pPr>
        <w:pStyle w:val="Heading3"/>
      </w:pPr>
      <w:bookmarkStart w:id="0" w:name="Xc7b91bce76232c1856c188db487c8753b6ff511"/>
      <w:r>
        <w:t>The Story of the Land America Set Aside for Its Schools — and What Became of It</w:t>
      </w:r>
    </w:p>
    <w:p w14:paraId="438EA126" w14:textId="77777777" w:rsidR="00DC02F5" w:rsidRDefault="00000000">
      <w:r>
        <w:t> </w:t>
      </w:r>
    </w:p>
    <w:p w14:paraId="51C8F9A8" w14:textId="77777777" w:rsidR="00DC02F5" w:rsidRDefault="00000000">
      <w:pPr>
        <w:pStyle w:val="BodyText"/>
      </w:pPr>
      <w:r>
        <w:t>Volume One — Looking Back</w:t>
      </w:r>
    </w:p>
    <w:p w14:paraId="261E8D7B" w14:textId="77777777" w:rsidR="00DC02F5" w:rsidRDefault="00000000">
      <w:pPr>
        <w:pStyle w:val="BodyText"/>
      </w:pPr>
      <w:r>
        <w:t> </w:t>
      </w:r>
    </w:p>
    <w:p w14:paraId="7D266D4A" w14:textId="77777777" w:rsidR="00DC02F5" w:rsidRDefault="00000000">
      <w:pPr>
        <w:pStyle w:val="BodyText"/>
      </w:pPr>
      <w:r>
        <w:t> </w:t>
      </w:r>
    </w:p>
    <w:p w14:paraId="463BA645" w14:textId="77777777" w:rsidR="00DC02F5" w:rsidRDefault="00000000">
      <w:pPr>
        <w:pStyle w:val="BodyText"/>
      </w:pPr>
      <w:r>
        <w:t>Margaret Bird and David Sullivan</w:t>
      </w:r>
    </w:p>
    <w:p w14:paraId="79667E9A" w14:textId="77777777" w:rsidR="00DC02F5" w:rsidRDefault="00000000">
      <w:pPr>
        <w:pStyle w:val="BodyText"/>
      </w:pPr>
      <w:r>
        <w:t> </w:t>
      </w:r>
    </w:p>
    <w:p w14:paraId="6C13DC78" w14:textId="77777777" w:rsidR="00DC02F5" w:rsidRDefault="00000000">
      <w:pPr>
        <w:pStyle w:val="BodyText"/>
      </w:pPr>
      <w:r>
        <w:t> </w:t>
      </w:r>
    </w:p>
    <w:p w14:paraId="50FDD19E" w14:textId="77777777" w:rsidR="00DC02F5" w:rsidRDefault="00000000">
      <w:pPr>
        <w:pStyle w:val="BodyText"/>
      </w:pPr>
      <w:r>
        <w:t>Advocates for School Trust Lands</w:t>
      </w:r>
    </w:p>
    <w:p w14:paraId="345F7523" w14:textId="77777777" w:rsidR="00DC02F5" w:rsidRDefault="00000000">
      <w:r>
        <w:br w:type="page"/>
      </w:r>
    </w:p>
    <w:p w14:paraId="4D1D9848" w14:textId="77777777" w:rsidR="00DC02F5" w:rsidRDefault="00000000">
      <w:pPr>
        <w:pStyle w:val="BodyText"/>
      </w:pPr>
      <w:r>
        <w:rPr>
          <w:i/>
          <w:iCs/>
        </w:rPr>
        <w:lastRenderedPageBreak/>
        <w:t>The Forgotten Forever Gift to Public Schools</w:t>
      </w:r>
      <w:r>
        <w:t>, Volume One — Looking Back</w:t>
      </w:r>
    </w:p>
    <w:p w14:paraId="0367D076" w14:textId="77777777" w:rsidR="00DC02F5" w:rsidRDefault="00000000">
      <w:pPr>
        <w:pStyle w:val="BodyText"/>
      </w:pPr>
      <w:r>
        <w:t>Copyright © 2026 Margaret Bird and David Sullivan</w:t>
      </w:r>
    </w:p>
    <w:p w14:paraId="40B4EB3A" w14:textId="77777777" w:rsidR="00DC02F5" w:rsidRDefault="00000000">
      <w:pPr>
        <w:pStyle w:val="BodyText"/>
      </w:pPr>
      <w:r>
        <w:t>All rights reserved. No part of this book may be reproduced, distributed, or transmitted in any form without the prior written permission of the authors, except for brief quotations in reviews and noncommercial educational use with attribution.</w:t>
      </w:r>
    </w:p>
    <w:p w14:paraId="77B0D7EC" w14:textId="77777777" w:rsidR="00DC02F5" w:rsidRDefault="00000000">
      <w:pPr>
        <w:pStyle w:val="BodyText"/>
      </w:pPr>
      <w:r>
        <w:t>Published by Advocates for School Trust Lands · schooltrusts.net</w:t>
      </w:r>
    </w:p>
    <w:p w14:paraId="5658805B" w14:textId="77777777" w:rsidR="00DC02F5" w:rsidRDefault="00000000">
      <w:pPr>
        <w:pStyle w:val="BodyText"/>
      </w:pPr>
      <w:r>
        <w:t>First edition, 2026 · Content current as of June 2026</w:t>
      </w:r>
    </w:p>
    <w:p w14:paraId="1C40F435" w14:textId="77777777" w:rsidR="00DC02F5" w:rsidRDefault="00000000">
      <w:pPr>
        <w:pStyle w:val="BodyText"/>
      </w:pPr>
      <w:r>
        <w:t>ISBN: 979-8-_______-</w:t>
      </w:r>
      <w:r>
        <w:rPr>
          <w:i/>
          <w:iCs/>
        </w:rPr>
        <w:t>-</w:t>
      </w:r>
      <w:r>
        <w:t xml:space="preserve"> (paperback)</w:t>
      </w:r>
    </w:p>
    <w:p w14:paraId="02E5643B" w14:textId="77777777" w:rsidR="00DC02F5" w:rsidRDefault="00000000">
      <w:pPr>
        <w:pStyle w:val="BodyText"/>
      </w:pPr>
      <w:r>
        <w:t>The historical and legal record in this book is documented in the Notes at the back. The fifty state portraits in Part Two describe living trusts whose figures change continually and whose full record runs well past what a printed book should carry; the current and complete record is maintained online — see “A Living Record” in the front matter and the code at the foot of each state entry.</w:t>
      </w:r>
    </w:p>
    <w:p w14:paraId="3542F025" w14:textId="77777777" w:rsidR="00DC02F5" w:rsidRDefault="00000000">
      <w:pPr>
        <w:pStyle w:val="BodyText"/>
      </w:pPr>
      <w:r>
        <w:t>This book is not intended to provide legal advice. It describes the history and law of America’s school land trusts for a general reader; anyone with a legal question about a specific trust should consult a qualified attorney.</w:t>
      </w:r>
    </w:p>
    <w:p w14:paraId="64038492" w14:textId="77777777" w:rsidR="00DC02F5" w:rsidRDefault="00000000">
      <w:pPr>
        <w:pStyle w:val="BodyText"/>
      </w:pPr>
      <w:r>
        <w:t>A free PDF of this book, and its living online companion, are available at schooltrusts.net.</w:t>
      </w:r>
    </w:p>
    <w:p w14:paraId="7601D0AB" w14:textId="77777777" w:rsidR="00DC02F5" w:rsidRDefault="00000000">
      <w:pPr>
        <w:pStyle w:val="BodyText"/>
      </w:pPr>
      <w:r>
        <w:t>Printed in the United States of America.</w:t>
      </w:r>
    </w:p>
    <w:p w14:paraId="3EAF2516" w14:textId="77777777" w:rsidR="00DC02F5" w:rsidRDefault="00000000">
      <w:r>
        <w:br w:type="page"/>
      </w:r>
    </w:p>
    <w:p w14:paraId="602E854C" w14:textId="77777777" w:rsidR="00DC02F5" w:rsidRDefault="00000000">
      <w:pPr>
        <w:pStyle w:val="BodyText"/>
      </w:pPr>
      <w:r>
        <w:lastRenderedPageBreak/>
        <w:t> </w:t>
      </w:r>
    </w:p>
    <w:p w14:paraId="73BC994F" w14:textId="77777777" w:rsidR="00DC02F5" w:rsidRDefault="00000000">
      <w:pPr>
        <w:pStyle w:val="BodyText"/>
      </w:pPr>
      <w:r>
        <w:t> </w:t>
      </w:r>
    </w:p>
    <w:p w14:paraId="255270B3" w14:textId="77777777" w:rsidR="00DC02F5" w:rsidRDefault="00000000">
      <w:pPr>
        <w:pStyle w:val="BodyText"/>
      </w:pPr>
      <w:r>
        <w:t> </w:t>
      </w:r>
    </w:p>
    <w:p w14:paraId="66BA4663" w14:textId="77777777" w:rsidR="00DC02F5" w:rsidRDefault="00000000">
      <w:pPr>
        <w:pStyle w:val="BodyText"/>
      </w:pPr>
      <w:r>
        <w:rPr>
          <w:i/>
          <w:iCs/>
        </w:rPr>
        <w:t>For the children who are its beneficiaries —</w:t>
      </w:r>
    </w:p>
    <w:p w14:paraId="79D545FA" w14:textId="41F06DBA" w:rsidR="00DC02F5" w:rsidRDefault="00000000" w:rsidP="00437C84">
      <w:pPr>
        <w:pStyle w:val="BodyText"/>
      </w:pPr>
      <w:r>
        <w:rPr>
          <w:i/>
          <w:iCs/>
        </w:rPr>
        <w:t>and do not yet know it.</w:t>
      </w:r>
    </w:p>
    <w:p w14:paraId="05EA7F1C" w14:textId="77777777" w:rsidR="00DC02F5" w:rsidRDefault="00000000">
      <w:r>
        <w:br w:type="page"/>
      </w:r>
    </w:p>
    <w:p w14:paraId="101B0F3F" w14:textId="77777777" w:rsidR="00DC02F5" w:rsidRDefault="00000000">
      <w:pPr>
        <w:pStyle w:val="TOCHeading"/>
      </w:pPr>
      <w:r>
        <w:lastRenderedPageBreak/>
        <w:t>Contents</w:t>
      </w:r>
    </w:p>
    <w:p w14:paraId="79248E98" w14:textId="77777777" w:rsidR="00437C84" w:rsidRDefault="00000000">
      <w:pPr>
        <w:pStyle w:val="TOC1"/>
        <w:tabs>
          <w:tab w:val="right" w:leader="dot" w:pos="6902"/>
        </w:tabs>
        <w:rPr>
          <w:rFonts w:asciiTheme="minorHAnsi" w:eastAsiaTheme="minorEastAsia" w:hAnsiTheme="minorHAnsi"/>
          <w:noProof/>
          <w:sz w:val="24"/>
        </w:rPr>
      </w:pPr>
      <w:r>
        <w:fldChar w:fldCharType="begin"/>
      </w:r>
      <w:r>
        <w:instrText xml:space="preserve"> TOC \o "1-1" \h \z \u </w:instrText>
      </w:r>
      <w:r>
        <w:fldChar w:fldCharType="separate"/>
      </w:r>
      <w:hyperlink w:anchor="_Toc231774277" w:history="1">
        <w:r w:rsidR="00437C84" w:rsidRPr="0003725E">
          <w:rPr>
            <w:rStyle w:val="Hyperlink"/>
            <w:noProof/>
          </w:rPr>
          <w:t>About This Book</w:t>
        </w:r>
        <w:r w:rsidR="00437C84">
          <w:rPr>
            <w:noProof/>
            <w:webHidden/>
          </w:rPr>
          <w:tab/>
        </w:r>
        <w:r w:rsidR="00437C84">
          <w:rPr>
            <w:noProof/>
            <w:webHidden/>
          </w:rPr>
          <w:fldChar w:fldCharType="begin"/>
        </w:r>
        <w:r w:rsidR="00437C84">
          <w:rPr>
            <w:noProof/>
            <w:webHidden/>
          </w:rPr>
          <w:instrText xml:space="preserve"> PAGEREF _Toc231774277 \h </w:instrText>
        </w:r>
        <w:r w:rsidR="00437C84">
          <w:rPr>
            <w:noProof/>
            <w:webHidden/>
          </w:rPr>
        </w:r>
        <w:r w:rsidR="00437C84">
          <w:rPr>
            <w:noProof/>
            <w:webHidden/>
          </w:rPr>
          <w:fldChar w:fldCharType="separate"/>
        </w:r>
        <w:r w:rsidR="00437C84">
          <w:rPr>
            <w:noProof/>
            <w:webHidden/>
          </w:rPr>
          <w:t>12</w:t>
        </w:r>
        <w:r w:rsidR="00437C84">
          <w:rPr>
            <w:noProof/>
            <w:webHidden/>
          </w:rPr>
          <w:fldChar w:fldCharType="end"/>
        </w:r>
      </w:hyperlink>
    </w:p>
    <w:p w14:paraId="0A7F4B97" w14:textId="77777777" w:rsidR="00437C84" w:rsidRDefault="00437C84">
      <w:pPr>
        <w:pStyle w:val="TOC1"/>
        <w:tabs>
          <w:tab w:val="right" w:leader="dot" w:pos="6902"/>
        </w:tabs>
        <w:rPr>
          <w:rFonts w:asciiTheme="minorHAnsi" w:eastAsiaTheme="minorEastAsia" w:hAnsiTheme="minorHAnsi"/>
          <w:noProof/>
          <w:sz w:val="24"/>
        </w:rPr>
      </w:pPr>
      <w:hyperlink w:anchor="_Toc231774278" w:history="1">
        <w:r w:rsidRPr="0003725E">
          <w:rPr>
            <w:rStyle w:val="Hyperlink"/>
            <w:noProof/>
          </w:rPr>
          <w:t>Why This Matters</w:t>
        </w:r>
        <w:r>
          <w:rPr>
            <w:noProof/>
            <w:webHidden/>
          </w:rPr>
          <w:tab/>
        </w:r>
        <w:r>
          <w:rPr>
            <w:noProof/>
            <w:webHidden/>
          </w:rPr>
          <w:fldChar w:fldCharType="begin"/>
        </w:r>
        <w:r>
          <w:rPr>
            <w:noProof/>
            <w:webHidden/>
          </w:rPr>
          <w:instrText xml:space="preserve"> PAGEREF _Toc231774278 \h </w:instrText>
        </w:r>
        <w:r>
          <w:rPr>
            <w:noProof/>
            <w:webHidden/>
          </w:rPr>
        </w:r>
        <w:r>
          <w:rPr>
            <w:noProof/>
            <w:webHidden/>
          </w:rPr>
          <w:fldChar w:fldCharType="separate"/>
        </w:r>
        <w:r>
          <w:rPr>
            <w:noProof/>
            <w:webHidden/>
          </w:rPr>
          <w:t>12</w:t>
        </w:r>
        <w:r>
          <w:rPr>
            <w:noProof/>
            <w:webHidden/>
          </w:rPr>
          <w:fldChar w:fldCharType="end"/>
        </w:r>
      </w:hyperlink>
    </w:p>
    <w:p w14:paraId="5083A8C3" w14:textId="77777777" w:rsidR="00437C84" w:rsidRDefault="00437C84">
      <w:pPr>
        <w:pStyle w:val="TOC1"/>
        <w:tabs>
          <w:tab w:val="right" w:leader="dot" w:pos="6902"/>
        </w:tabs>
        <w:rPr>
          <w:rFonts w:asciiTheme="minorHAnsi" w:eastAsiaTheme="minorEastAsia" w:hAnsiTheme="minorHAnsi"/>
          <w:noProof/>
          <w:sz w:val="24"/>
        </w:rPr>
      </w:pPr>
      <w:hyperlink w:anchor="_Toc231774279" w:history="1">
        <w:r w:rsidRPr="0003725E">
          <w:rPr>
            <w:rStyle w:val="Hyperlink"/>
            <w:noProof/>
          </w:rPr>
          <w:t>A Note on This Edition</w:t>
        </w:r>
        <w:r>
          <w:rPr>
            <w:noProof/>
            <w:webHidden/>
          </w:rPr>
          <w:tab/>
        </w:r>
        <w:r>
          <w:rPr>
            <w:noProof/>
            <w:webHidden/>
          </w:rPr>
          <w:fldChar w:fldCharType="begin"/>
        </w:r>
        <w:r>
          <w:rPr>
            <w:noProof/>
            <w:webHidden/>
          </w:rPr>
          <w:instrText xml:space="preserve"> PAGEREF _Toc231774279 \h </w:instrText>
        </w:r>
        <w:r>
          <w:rPr>
            <w:noProof/>
            <w:webHidden/>
          </w:rPr>
        </w:r>
        <w:r>
          <w:rPr>
            <w:noProof/>
            <w:webHidden/>
          </w:rPr>
          <w:fldChar w:fldCharType="separate"/>
        </w:r>
        <w:r>
          <w:rPr>
            <w:noProof/>
            <w:webHidden/>
          </w:rPr>
          <w:t>16</w:t>
        </w:r>
        <w:r>
          <w:rPr>
            <w:noProof/>
            <w:webHidden/>
          </w:rPr>
          <w:fldChar w:fldCharType="end"/>
        </w:r>
      </w:hyperlink>
    </w:p>
    <w:p w14:paraId="65EE1090" w14:textId="77777777" w:rsidR="00437C84" w:rsidRDefault="00437C84">
      <w:pPr>
        <w:pStyle w:val="TOC1"/>
        <w:tabs>
          <w:tab w:val="right" w:leader="dot" w:pos="6902"/>
        </w:tabs>
        <w:rPr>
          <w:rFonts w:asciiTheme="minorHAnsi" w:eastAsiaTheme="minorEastAsia" w:hAnsiTheme="minorHAnsi"/>
          <w:noProof/>
          <w:sz w:val="24"/>
        </w:rPr>
      </w:pPr>
      <w:hyperlink w:anchor="_Toc231774280" w:history="1">
        <w:r w:rsidRPr="0003725E">
          <w:rPr>
            <w:rStyle w:val="Hyperlink"/>
            <w:noProof/>
          </w:rPr>
          <w:t>PART ONE - The Gift and the Duty</w:t>
        </w:r>
        <w:r>
          <w:rPr>
            <w:noProof/>
            <w:webHidden/>
          </w:rPr>
          <w:tab/>
        </w:r>
        <w:r>
          <w:rPr>
            <w:noProof/>
            <w:webHidden/>
          </w:rPr>
          <w:fldChar w:fldCharType="begin"/>
        </w:r>
        <w:r>
          <w:rPr>
            <w:noProof/>
            <w:webHidden/>
          </w:rPr>
          <w:instrText xml:space="preserve"> PAGEREF _Toc231774280 \h </w:instrText>
        </w:r>
        <w:r>
          <w:rPr>
            <w:noProof/>
            <w:webHidden/>
          </w:rPr>
        </w:r>
        <w:r>
          <w:rPr>
            <w:noProof/>
            <w:webHidden/>
          </w:rPr>
          <w:fldChar w:fldCharType="separate"/>
        </w:r>
        <w:r>
          <w:rPr>
            <w:noProof/>
            <w:webHidden/>
          </w:rPr>
          <w:t>18</w:t>
        </w:r>
        <w:r>
          <w:rPr>
            <w:noProof/>
            <w:webHidden/>
          </w:rPr>
          <w:fldChar w:fldCharType="end"/>
        </w:r>
      </w:hyperlink>
    </w:p>
    <w:p w14:paraId="78FE4857" w14:textId="77777777" w:rsidR="00437C84" w:rsidRDefault="00437C84">
      <w:pPr>
        <w:pStyle w:val="TOC1"/>
        <w:tabs>
          <w:tab w:val="right" w:leader="dot" w:pos="6902"/>
        </w:tabs>
        <w:rPr>
          <w:rFonts w:asciiTheme="minorHAnsi" w:eastAsiaTheme="minorEastAsia" w:hAnsiTheme="minorHAnsi"/>
          <w:noProof/>
          <w:sz w:val="24"/>
        </w:rPr>
      </w:pPr>
      <w:hyperlink w:anchor="_Toc231774281" w:history="1">
        <w:r w:rsidRPr="0003725E">
          <w:rPr>
            <w:rStyle w:val="Hyperlink"/>
            <w:noProof/>
          </w:rPr>
          <w:t>Chapter 1 — The Inheritance Still Standing</w:t>
        </w:r>
        <w:r>
          <w:rPr>
            <w:noProof/>
            <w:webHidden/>
          </w:rPr>
          <w:tab/>
        </w:r>
        <w:r>
          <w:rPr>
            <w:noProof/>
            <w:webHidden/>
          </w:rPr>
          <w:fldChar w:fldCharType="begin"/>
        </w:r>
        <w:r>
          <w:rPr>
            <w:noProof/>
            <w:webHidden/>
          </w:rPr>
          <w:instrText xml:space="preserve"> PAGEREF _Toc231774281 \h </w:instrText>
        </w:r>
        <w:r>
          <w:rPr>
            <w:noProof/>
            <w:webHidden/>
          </w:rPr>
        </w:r>
        <w:r>
          <w:rPr>
            <w:noProof/>
            <w:webHidden/>
          </w:rPr>
          <w:fldChar w:fldCharType="separate"/>
        </w:r>
        <w:r>
          <w:rPr>
            <w:noProof/>
            <w:webHidden/>
          </w:rPr>
          <w:t>19</w:t>
        </w:r>
        <w:r>
          <w:rPr>
            <w:noProof/>
            <w:webHidden/>
          </w:rPr>
          <w:fldChar w:fldCharType="end"/>
        </w:r>
      </w:hyperlink>
    </w:p>
    <w:p w14:paraId="4E2A1E40" w14:textId="77777777" w:rsidR="00437C84" w:rsidRDefault="00437C84">
      <w:pPr>
        <w:pStyle w:val="TOC1"/>
        <w:tabs>
          <w:tab w:val="right" w:leader="dot" w:pos="6902"/>
        </w:tabs>
        <w:rPr>
          <w:rFonts w:asciiTheme="minorHAnsi" w:eastAsiaTheme="minorEastAsia" w:hAnsiTheme="minorHAnsi"/>
          <w:noProof/>
          <w:sz w:val="24"/>
        </w:rPr>
      </w:pPr>
      <w:hyperlink w:anchor="_Toc231774282" w:history="1">
        <w:r w:rsidRPr="0003725E">
          <w:rPr>
            <w:rStyle w:val="Hyperlink"/>
            <w:noProof/>
          </w:rPr>
          <w:t>Chapter 2 - The World That Made the Gift</w:t>
        </w:r>
        <w:r>
          <w:rPr>
            <w:noProof/>
            <w:webHidden/>
          </w:rPr>
          <w:tab/>
        </w:r>
        <w:r>
          <w:rPr>
            <w:noProof/>
            <w:webHidden/>
          </w:rPr>
          <w:fldChar w:fldCharType="begin"/>
        </w:r>
        <w:r>
          <w:rPr>
            <w:noProof/>
            <w:webHidden/>
          </w:rPr>
          <w:instrText xml:space="preserve"> PAGEREF _Toc231774282 \h </w:instrText>
        </w:r>
        <w:r>
          <w:rPr>
            <w:noProof/>
            <w:webHidden/>
          </w:rPr>
        </w:r>
        <w:r>
          <w:rPr>
            <w:noProof/>
            <w:webHidden/>
          </w:rPr>
          <w:fldChar w:fldCharType="separate"/>
        </w:r>
        <w:r>
          <w:rPr>
            <w:noProof/>
            <w:webHidden/>
          </w:rPr>
          <w:t>23</w:t>
        </w:r>
        <w:r>
          <w:rPr>
            <w:noProof/>
            <w:webHidden/>
          </w:rPr>
          <w:fldChar w:fldCharType="end"/>
        </w:r>
      </w:hyperlink>
    </w:p>
    <w:p w14:paraId="40D765C6" w14:textId="77777777" w:rsidR="00437C84" w:rsidRDefault="00437C84">
      <w:pPr>
        <w:pStyle w:val="TOC1"/>
        <w:tabs>
          <w:tab w:val="right" w:leader="dot" w:pos="6902"/>
        </w:tabs>
        <w:rPr>
          <w:rFonts w:asciiTheme="minorHAnsi" w:eastAsiaTheme="minorEastAsia" w:hAnsiTheme="minorHAnsi"/>
          <w:noProof/>
          <w:sz w:val="24"/>
        </w:rPr>
      </w:pPr>
      <w:hyperlink w:anchor="_Toc231774283" w:history="1">
        <w:r w:rsidRPr="0003725E">
          <w:rPr>
            <w:rStyle w:val="Hyperlink"/>
            <w:noProof/>
          </w:rPr>
          <w:t>Chapter 3 — The Punctilio of Honor</w:t>
        </w:r>
        <w:r>
          <w:rPr>
            <w:noProof/>
            <w:webHidden/>
          </w:rPr>
          <w:tab/>
        </w:r>
        <w:r>
          <w:rPr>
            <w:noProof/>
            <w:webHidden/>
          </w:rPr>
          <w:fldChar w:fldCharType="begin"/>
        </w:r>
        <w:r>
          <w:rPr>
            <w:noProof/>
            <w:webHidden/>
          </w:rPr>
          <w:instrText xml:space="preserve"> PAGEREF _Toc231774283 \h </w:instrText>
        </w:r>
        <w:r>
          <w:rPr>
            <w:noProof/>
            <w:webHidden/>
          </w:rPr>
        </w:r>
        <w:r>
          <w:rPr>
            <w:noProof/>
            <w:webHidden/>
          </w:rPr>
          <w:fldChar w:fldCharType="separate"/>
        </w:r>
        <w:r>
          <w:rPr>
            <w:noProof/>
            <w:webHidden/>
          </w:rPr>
          <w:t>29</w:t>
        </w:r>
        <w:r>
          <w:rPr>
            <w:noProof/>
            <w:webHidden/>
          </w:rPr>
          <w:fldChar w:fldCharType="end"/>
        </w:r>
      </w:hyperlink>
    </w:p>
    <w:p w14:paraId="226845AE" w14:textId="77777777" w:rsidR="00437C84" w:rsidRDefault="00437C84">
      <w:pPr>
        <w:pStyle w:val="TOC1"/>
        <w:tabs>
          <w:tab w:val="right" w:leader="dot" w:pos="6902"/>
        </w:tabs>
        <w:rPr>
          <w:rFonts w:asciiTheme="minorHAnsi" w:eastAsiaTheme="minorEastAsia" w:hAnsiTheme="minorHAnsi"/>
          <w:noProof/>
          <w:sz w:val="24"/>
        </w:rPr>
      </w:pPr>
      <w:hyperlink w:anchor="_Toc231774284" w:history="1">
        <w:r w:rsidRPr="0003725E">
          <w:rPr>
            <w:rStyle w:val="Hyperlink"/>
            <w:noProof/>
          </w:rPr>
          <w:t>Chapter 4 — Loyalty: The Gift Treated as Pocket Money</w:t>
        </w:r>
        <w:r>
          <w:rPr>
            <w:noProof/>
            <w:webHidden/>
          </w:rPr>
          <w:tab/>
        </w:r>
        <w:r>
          <w:rPr>
            <w:noProof/>
            <w:webHidden/>
          </w:rPr>
          <w:fldChar w:fldCharType="begin"/>
        </w:r>
        <w:r>
          <w:rPr>
            <w:noProof/>
            <w:webHidden/>
          </w:rPr>
          <w:instrText xml:space="preserve"> PAGEREF _Toc231774284 \h </w:instrText>
        </w:r>
        <w:r>
          <w:rPr>
            <w:noProof/>
            <w:webHidden/>
          </w:rPr>
        </w:r>
        <w:r>
          <w:rPr>
            <w:noProof/>
            <w:webHidden/>
          </w:rPr>
          <w:fldChar w:fldCharType="separate"/>
        </w:r>
        <w:r>
          <w:rPr>
            <w:noProof/>
            <w:webHidden/>
          </w:rPr>
          <w:t>32</w:t>
        </w:r>
        <w:r>
          <w:rPr>
            <w:noProof/>
            <w:webHidden/>
          </w:rPr>
          <w:fldChar w:fldCharType="end"/>
        </w:r>
      </w:hyperlink>
    </w:p>
    <w:p w14:paraId="1545FB81" w14:textId="77777777" w:rsidR="00437C84" w:rsidRDefault="00437C84">
      <w:pPr>
        <w:pStyle w:val="TOC1"/>
        <w:tabs>
          <w:tab w:val="right" w:leader="dot" w:pos="6902"/>
        </w:tabs>
        <w:rPr>
          <w:rFonts w:asciiTheme="minorHAnsi" w:eastAsiaTheme="minorEastAsia" w:hAnsiTheme="minorHAnsi"/>
          <w:noProof/>
          <w:sz w:val="24"/>
        </w:rPr>
      </w:pPr>
      <w:hyperlink w:anchor="_Toc231774285" w:history="1">
        <w:r w:rsidRPr="0003725E">
          <w:rPr>
            <w:rStyle w:val="Hyperlink"/>
            <w:noProof/>
          </w:rPr>
          <w:t>Chapter 5 — Prudence: Do Not Eat the Seed Corn</w:t>
        </w:r>
        <w:r>
          <w:rPr>
            <w:noProof/>
            <w:webHidden/>
          </w:rPr>
          <w:tab/>
        </w:r>
        <w:r>
          <w:rPr>
            <w:noProof/>
            <w:webHidden/>
          </w:rPr>
          <w:fldChar w:fldCharType="begin"/>
        </w:r>
        <w:r>
          <w:rPr>
            <w:noProof/>
            <w:webHidden/>
          </w:rPr>
          <w:instrText xml:space="preserve"> PAGEREF _Toc231774285 \h </w:instrText>
        </w:r>
        <w:r>
          <w:rPr>
            <w:noProof/>
            <w:webHidden/>
          </w:rPr>
        </w:r>
        <w:r>
          <w:rPr>
            <w:noProof/>
            <w:webHidden/>
          </w:rPr>
          <w:fldChar w:fldCharType="separate"/>
        </w:r>
        <w:r>
          <w:rPr>
            <w:noProof/>
            <w:webHidden/>
          </w:rPr>
          <w:t>36</w:t>
        </w:r>
        <w:r>
          <w:rPr>
            <w:noProof/>
            <w:webHidden/>
          </w:rPr>
          <w:fldChar w:fldCharType="end"/>
        </w:r>
      </w:hyperlink>
    </w:p>
    <w:p w14:paraId="38CE4ECB" w14:textId="77777777" w:rsidR="00437C84" w:rsidRDefault="00437C84">
      <w:pPr>
        <w:pStyle w:val="TOC1"/>
        <w:tabs>
          <w:tab w:val="right" w:leader="dot" w:pos="6902"/>
        </w:tabs>
        <w:rPr>
          <w:rFonts w:asciiTheme="minorHAnsi" w:eastAsiaTheme="minorEastAsia" w:hAnsiTheme="minorHAnsi"/>
          <w:noProof/>
          <w:sz w:val="24"/>
        </w:rPr>
      </w:pPr>
      <w:hyperlink w:anchor="_Toc231774286" w:history="1">
        <w:r w:rsidRPr="0003725E">
          <w:rPr>
            <w:rStyle w:val="Hyperlink"/>
            <w:noProof/>
          </w:rPr>
          <w:t>Chapter 6 — Competence and Accounting: The Books Must Tell the Truth</w:t>
        </w:r>
        <w:r>
          <w:rPr>
            <w:noProof/>
            <w:webHidden/>
          </w:rPr>
          <w:tab/>
        </w:r>
        <w:r>
          <w:rPr>
            <w:noProof/>
            <w:webHidden/>
          </w:rPr>
          <w:fldChar w:fldCharType="begin"/>
        </w:r>
        <w:r>
          <w:rPr>
            <w:noProof/>
            <w:webHidden/>
          </w:rPr>
          <w:instrText xml:space="preserve"> PAGEREF _Toc231774286 \h </w:instrText>
        </w:r>
        <w:r>
          <w:rPr>
            <w:noProof/>
            <w:webHidden/>
          </w:rPr>
        </w:r>
        <w:r>
          <w:rPr>
            <w:noProof/>
            <w:webHidden/>
          </w:rPr>
          <w:fldChar w:fldCharType="separate"/>
        </w:r>
        <w:r>
          <w:rPr>
            <w:noProof/>
            <w:webHidden/>
          </w:rPr>
          <w:t>43</w:t>
        </w:r>
        <w:r>
          <w:rPr>
            <w:noProof/>
            <w:webHidden/>
          </w:rPr>
          <w:fldChar w:fldCharType="end"/>
        </w:r>
      </w:hyperlink>
    </w:p>
    <w:p w14:paraId="5DB18DCC" w14:textId="77777777" w:rsidR="00437C84" w:rsidRDefault="00437C84">
      <w:pPr>
        <w:pStyle w:val="TOC1"/>
        <w:tabs>
          <w:tab w:val="right" w:leader="dot" w:pos="6902"/>
        </w:tabs>
        <w:rPr>
          <w:rFonts w:asciiTheme="minorHAnsi" w:eastAsiaTheme="minorEastAsia" w:hAnsiTheme="minorHAnsi"/>
          <w:noProof/>
          <w:sz w:val="24"/>
        </w:rPr>
      </w:pPr>
      <w:hyperlink w:anchor="_Toc231774287" w:history="1">
        <w:r w:rsidRPr="0003725E">
          <w:rPr>
            <w:rStyle w:val="Hyperlink"/>
            <w:noProof/>
          </w:rPr>
          <w:t>Chapter 7 — Supervision and Enforcement: Someone Has to Watch the Watcher</w:t>
        </w:r>
        <w:r>
          <w:rPr>
            <w:noProof/>
            <w:webHidden/>
          </w:rPr>
          <w:tab/>
        </w:r>
        <w:r>
          <w:rPr>
            <w:noProof/>
            <w:webHidden/>
          </w:rPr>
          <w:fldChar w:fldCharType="begin"/>
        </w:r>
        <w:r>
          <w:rPr>
            <w:noProof/>
            <w:webHidden/>
          </w:rPr>
          <w:instrText xml:space="preserve"> PAGEREF _Toc231774287 \h </w:instrText>
        </w:r>
        <w:r>
          <w:rPr>
            <w:noProof/>
            <w:webHidden/>
          </w:rPr>
        </w:r>
        <w:r>
          <w:rPr>
            <w:noProof/>
            <w:webHidden/>
          </w:rPr>
          <w:fldChar w:fldCharType="separate"/>
        </w:r>
        <w:r>
          <w:rPr>
            <w:noProof/>
            <w:webHidden/>
          </w:rPr>
          <w:t>46</w:t>
        </w:r>
        <w:r>
          <w:rPr>
            <w:noProof/>
            <w:webHidden/>
          </w:rPr>
          <w:fldChar w:fldCharType="end"/>
        </w:r>
      </w:hyperlink>
    </w:p>
    <w:p w14:paraId="7F99B2F5" w14:textId="77777777" w:rsidR="00437C84" w:rsidRDefault="00437C84">
      <w:pPr>
        <w:pStyle w:val="TOC1"/>
        <w:tabs>
          <w:tab w:val="right" w:leader="dot" w:pos="6902"/>
        </w:tabs>
        <w:rPr>
          <w:rFonts w:asciiTheme="minorHAnsi" w:eastAsiaTheme="minorEastAsia" w:hAnsiTheme="minorHAnsi"/>
          <w:noProof/>
          <w:sz w:val="24"/>
        </w:rPr>
      </w:pPr>
      <w:hyperlink w:anchor="_Toc231774288" w:history="1">
        <w:r w:rsidRPr="0003725E">
          <w:rPr>
            <w:rStyle w:val="Hyperlink"/>
            <w:noProof/>
          </w:rPr>
          <w:t>Chapter 8 - The Money Must Be Seen</w:t>
        </w:r>
        <w:r>
          <w:rPr>
            <w:noProof/>
            <w:webHidden/>
          </w:rPr>
          <w:tab/>
        </w:r>
        <w:r>
          <w:rPr>
            <w:noProof/>
            <w:webHidden/>
          </w:rPr>
          <w:fldChar w:fldCharType="begin"/>
        </w:r>
        <w:r>
          <w:rPr>
            <w:noProof/>
            <w:webHidden/>
          </w:rPr>
          <w:instrText xml:space="preserve"> PAGEREF _Toc231774288 \h </w:instrText>
        </w:r>
        <w:r>
          <w:rPr>
            <w:noProof/>
            <w:webHidden/>
          </w:rPr>
        </w:r>
        <w:r>
          <w:rPr>
            <w:noProof/>
            <w:webHidden/>
          </w:rPr>
          <w:fldChar w:fldCharType="separate"/>
        </w:r>
        <w:r>
          <w:rPr>
            <w:noProof/>
            <w:webHidden/>
          </w:rPr>
          <w:t>53</w:t>
        </w:r>
        <w:r>
          <w:rPr>
            <w:noProof/>
            <w:webHidden/>
          </w:rPr>
          <w:fldChar w:fldCharType="end"/>
        </w:r>
      </w:hyperlink>
    </w:p>
    <w:p w14:paraId="467357C4" w14:textId="77777777" w:rsidR="00437C84" w:rsidRDefault="00437C84">
      <w:pPr>
        <w:pStyle w:val="TOC1"/>
        <w:tabs>
          <w:tab w:val="right" w:leader="dot" w:pos="6902"/>
        </w:tabs>
        <w:rPr>
          <w:rFonts w:asciiTheme="minorHAnsi" w:eastAsiaTheme="minorEastAsia" w:hAnsiTheme="minorHAnsi"/>
          <w:noProof/>
          <w:sz w:val="24"/>
        </w:rPr>
      </w:pPr>
      <w:hyperlink w:anchor="_Toc231774289" w:history="1">
        <w:r w:rsidRPr="0003725E">
          <w:rPr>
            <w:rStyle w:val="Hyperlink"/>
            <w:noProof/>
          </w:rPr>
          <w:t>Chapter 9 - What Citizens Can Do Now</w:t>
        </w:r>
        <w:r>
          <w:rPr>
            <w:noProof/>
            <w:webHidden/>
          </w:rPr>
          <w:tab/>
        </w:r>
        <w:r>
          <w:rPr>
            <w:noProof/>
            <w:webHidden/>
          </w:rPr>
          <w:fldChar w:fldCharType="begin"/>
        </w:r>
        <w:r>
          <w:rPr>
            <w:noProof/>
            <w:webHidden/>
          </w:rPr>
          <w:instrText xml:space="preserve"> PAGEREF _Toc231774289 \h </w:instrText>
        </w:r>
        <w:r>
          <w:rPr>
            <w:noProof/>
            <w:webHidden/>
          </w:rPr>
        </w:r>
        <w:r>
          <w:rPr>
            <w:noProof/>
            <w:webHidden/>
          </w:rPr>
          <w:fldChar w:fldCharType="separate"/>
        </w:r>
        <w:r>
          <w:rPr>
            <w:noProof/>
            <w:webHidden/>
          </w:rPr>
          <w:t>56</w:t>
        </w:r>
        <w:r>
          <w:rPr>
            <w:noProof/>
            <w:webHidden/>
          </w:rPr>
          <w:fldChar w:fldCharType="end"/>
        </w:r>
      </w:hyperlink>
    </w:p>
    <w:p w14:paraId="51FAD04C" w14:textId="77777777" w:rsidR="00437C84" w:rsidRDefault="00437C84">
      <w:pPr>
        <w:pStyle w:val="TOC1"/>
        <w:tabs>
          <w:tab w:val="right" w:leader="dot" w:pos="6902"/>
        </w:tabs>
        <w:rPr>
          <w:rFonts w:asciiTheme="minorHAnsi" w:eastAsiaTheme="minorEastAsia" w:hAnsiTheme="minorHAnsi"/>
          <w:noProof/>
          <w:sz w:val="24"/>
        </w:rPr>
      </w:pPr>
      <w:hyperlink w:anchor="_Toc231774290" w:history="1">
        <w:r w:rsidRPr="0003725E">
          <w:rPr>
            <w:rStyle w:val="Hyperlink"/>
            <w:noProof/>
          </w:rPr>
          <w:t>PART TWO — The Granted States, A to Z</w:t>
        </w:r>
        <w:r>
          <w:rPr>
            <w:noProof/>
            <w:webHidden/>
          </w:rPr>
          <w:tab/>
        </w:r>
        <w:r>
          <w:rPr>
            <w:noProof/>
            <w:webHidden/>
          </w:rPr>
          <w:fldChar w:fldCharType="begin"/>
        </w:r>
        <w:r>
          <w:rPr>
            <w:noProof/>
            <w:webHidden/>
          </w:rPr>
          <w:instrText xml:space="preserve"> PAGEREF _Toc231774290 \h </w:instrText>
        </w:r>
        <w:r>
          <w:rPr>
            <w:noProof/>
            <w:webHidden/>
          </w:rPr>
        </w:r>
        <w:r>
          <w:rPr>
            <w:noProof/>
            <w:webHidden/>
          </w:rPr>
          <w:fldChar w:fldCharType="separate"/>
        </w:r>
        <w:r>
          <w:rPr>
            <w:noProof/>
            <w:webHidden/>
          </w:rPr>
          <w:t>59</w:t>
        </w:r>
        <w:r>
          <w:rPr>
            <w:noProof/>
            <w:webHidden/>
          </w:rPr>
          <w:fldChar w:fldCharType="end"/>
        </w:r>
      </w:hyperlink>
    </w:p>
    <w:p w14:paraId="1E15C223" w14:textId="77777777" w:rsidR="00437C84" w:rsidRDefault="00437C84">
      <w:pPr>
        <w:pStyle w:val="TOC1"/>
        <w:tabs>
          <w:tab w:val="right" w:leader="dot" w:pos="6902"/>
        </w:tabs>
        <w:rPr>
          <w:rFonts w:asciiTheme="minorHAnsi" w:eastAsiaTheme="minorEastAsia" w:hAnsiTheme="minorHAnsi"/>
          <w:noProof/>
          <w:sz w:val="24"/>
        </w:rPr>
      </w:pPr>
      <w:hyperlink w:anchor="_Toc231774291" w:history="1">
        <w:r w:rsidRPr="0003725E">
          <w:rPr>
            <w:rStyle w:val="Hyperlink"/>
            <w:noProof/>
          </w:rPr>
          <w:t>A Note on Method and Sources</w:t>
        </w:r>
        <w:r>
          <w:rPr>
            <w:noProof/>
            <w:webHidden/>
          </w:rPr>
          <w:tab/>
        </w:r>
        <w:r>
          <w:rPr>
            <w:noProof/>
            <w:webHidden/>
          </w:rPr>
          <w:fldChar w:fldCharType="begin"/>
        </w:r>
        <w:r>
          <w:rPr>
            <w:noProof/>
            <w:webHidden/>
          </w:rPr>
          <w:instrText xml:space="preserve"> PAGEREF _Toc231774291 \h </w:instrText>
        </w:r>
        <w:r>
          <w:rPr>
            <w:noProof/>
            <w:webHidden/>
          </w:rPr>
        </w:r>
        <w:r>
          <w:rPr>
            <w:noProof/>
            <w:webHidden/>
          </w:rPr>
          <w:fldChar w:fldCharType="separate"/>
        </w:r>
        <w:r>
          <w:rPr>
            <w:noProof/>
            <w:webHidden/>
          </w:rPr>
          <w:t>143</w:t>
        </w:r>
        <w:r>
          <w:rPr>
            <w:noProof/>
            <w:webHidden/>
          </w:rPr>
          <w:fldChar w:fldCharType="end"/>
        </w:r>
      </w:hyperlink>
    </w:p>
    <w:p w14:paraId="43C579FA" w14:textId="77777777" w:rsidR="00437C84" w:rsidRDefault="00437C84">
      <w:pPr>
        <w:pStyle w:val="TOC1"/>
        <w:tabs>
          <w:tab w:val="right" w:leader="dot" w:pos="6902"/>
        </w:tabs>
        <w:rPr>
          <w:rFonts w:asciiTheme="minorHAnsi" w:eastAsiaTheme="minorEastAsia" w:hAnsiTheme="minorHAnsi"/>
          <w:noProof/>
          <w:sz w:val="24"/>
        </w:rPr>
      </w:pPr>
      <w:hyperlink w:anchor="_Toc231774292" w:history="1">
        <w:r w:rsidRPr="0003725E">
          <w:rPr>
            <w:rStyle w:val="Hyperlink"/>
            <w:noProof/>
          </w:rPr>
          <w:t>APPENDIX — The Non-Grant States</w:t>
        </w:r>
        <w:r>
          <w:rPr>
            <w:noProof/>
            <w:webHidden/>
          </w:rPr>
          <w:tab/>
        </w:r>
        <w:r>
          <w:rPr>
            <w:noProof/>
            <w:webHidden/>
          </w:rPr>
          <w:fldChar w:fldCharType="begin"/>
        </w:r>
        <w:r>
          <w:rPr>
            <w:noProof/>
            <w:webHidden/>
          </w:rPr>
          <w:instrText xml:space="preserve"> PAGEREF _Toc231774292 \h </w:instrText>
        </w:r>
        <w:r>
          <w:rPr>
            <w:noProof/>
            <w:webHidden/>
          </w:rPr>
        </w:r>
        <w:r>
          <w:rPr>
            <w:noProof/>
            <w:webHidden/>
          </w:rPr>
          <w:fldChar w:fldCharType="separate"/>
        </w:r>
        <w:r>
          <w:rPr>
            <w:noProof/>
            <w:webHidden/>
          </w:rPr>
          <w:t>144</w:t>
        </w:r>
        <w:r>
          <w:rPr>
            <w:noProof/>
            <w:webHidden/>
          </w:rPr>
          <w:fldChar w:fldCharType="end"/>
        </w:r>
      </w:hyperlink>
    </w:p>
    <w:p w14:paraId="09E54DAE" w14:textId="77777777" w:rsidR="00437C84" w:rsidRDefault="00437C84">
      <w:pPr>
        <w:pStyle w:val="TOC1"/>
        <w:tabs>
          <w:tab w:val="right" w:leader="dot" w:pos="6902"/>
        </w:tabs>
        <w:rPr>
          <w:rFonts w:asciiTheme="minorHAnsi" w:eastAsiaTheme="minorEastAsia" w:hAnsiTheme="minorHAnsi"/>
          <w:noProof/>
          <w:sz w:val="24"/>
        </w:rPr>
      </w:pPr>
      <w:hyperlink w:anchor="_Toc231774293" w:history="1">
        <w:r w:rsidRPr="0003725E">
          <w:rPr>
            <w:rStyle w:val="Hyperlink"/>
            <w:noProof/>
          </w:rPr>
          <w:t>Closing Word</w:t>
        </w:r>
        <w:r>
          <w:rPr>
            <w:noProof/>
            <w:webHidden/>
          </w:rPr>
          <w:tab/>
        </w:r>
        <w:r>
          <w:rPr>
            <w:noProof/>
            <w:webHidden/>
          </w:rPr>
          <w:fldChar w:fldCharType="begin"/>
        </w:r>
        <w:r>
          <w:rPr>
            <w:noProof/>
            <w:webHidden/>
          </w:rPr>
          <w:instrText xml:space="preserve"> PAGEREF _Toc231774293 \h </w:instrText>
        </w:r>
        <w:r>
          <w:rPr>
            <w:noProof/>
            <w:webHidden/>
          </w:rPr>
        </w:r>
        <w:r>
          <w:rPr>
            <w:noProof/>
            <w:webHidden/>
          </w:rPr>
          <w:fldChar w:fldCharType="separate"/>
        </w:r>
        <w:r>
          <w:rPr>
            <w:noProof/>
            <w:webHidden/>
          </w:rPr>
          <w:t>155</w:t>
        </w:r>
        <w:r>
          <w:rPr>
            <w:noProof/>
            <w:webHidden/>
          </w:rPr>
          <w:fldChar w:fldCharType="end"/>
        </w:r>
      </w:hyperlink>
    </w:p>
    <w:p w14:paraId="3CE1C83B" w14:textId="77777777" w:rsidR="00437C84" w:rsidRDefault="00437C84">
      <w:pPr>
        <w:pStyle w:val="TOC1"/>
        <w:tabs>
          <w:tab w:val="right" w:leader="dot" w:pos="6902"/>
        </w:tabs>
        <w:rPr>
          <w:rFonts w:asciiTheme="minorHAnsi" w:eastAsiaTheme="minorEastAsia" w:hAnsiTheme="minorHAnsi"/>
          <w:noProof/>
          <w:sz w:val="24"/>
        </w:rPr>
      </w:pPr>
      <w:hyperlink w:anchor="_Toc231774294" w:history="1">
        <w:r w:rsidRPr="0003725E">
          <w:rPr>
            <w:rStyle w:val="Hyperlink"/>
            <w:noProof/>
          </w:rPr>
          <w:t>Notes</w:t>
        </w:r>
        <w:r>
          <w:rPr>
            <w:noProof/>
            <w:webHidden/>
          </w:rPr>
          <w:tab/>
        </w:r>
        <w:r>
          <w:rPr>
            <w:noProof/>
            <w:webHidden/>
          </w:rPr>
          <w:fldChar w:fldCharType="begin"/>
        </w:r>
        <w:r>
          <w:rPr>
            <w:noProof/>
            <w:webHidden/>
          </w:rPr>
          <w:instrText xml:space="preserve"> PAGEREF _Toc231774294 \h </w:instrText>
        </w:r>
        <w:r>
          <w:rPr>
            <w:noProof/>
            <w:webHidden/>
          </w:rPr>
        </w:r>
        <w:r>
          <w:rPr>
            <w:noProof/>
            <w:webHidden/>
          </w:rPr>
          <w:fldChar w:fldCharType="separate"/>
        </w:r>
        <w:r>
          <w:rPr>
            <w:noProof/>
            <w:webHidden/>
          </w:rPr>
          <w:t>156</w:t>
        </w:r>
        <w:r>
          <w:rPr>
            <w:noProof/>
            <w:webHidden/>
          </w:rPr>
          <w:fldChar w:fldCharType="end"/>
        </w:r>
      </w:hyperlink>
    </w:p>
    <w:p w14:paraId="3CCB45DE" w14:textId="77777777" w:rsidR="00DC02F5" w:rsidRDefault="00000000">
      <w:pPr>
        <w:pStyle w:val="TOC1"/>
      </w:pPr>
      <w:r>
        <w:fldChar w:fldCharType="end"/>
      </w:r>
    </w:p>
    <w:p w14:paraId="5D442598" w14:textId="77777777" w:rsidR="00DC02F5" w:rsidRDefault="00000000">
      <w:r>
        <w:br w:type="page"/>
      </w:r>
    </w:p>
    <w:p w14:paraId="1A633128" w14:textId="77777777" w:rsidR="00DC02F5" w:rsidRDefault="00000000">
      <w:pPr>
        <w:pStyle w:val="Heading1"/>
      </w:pPr>
      <w:bookmarkStart w:id="1" w:name="about-this-book"/>
      <w:bookmarkStart w:id="2" w:name="_Toc231774205"/>
      <w:bookmarkStart w:id="3" w:name="_Toc231774277"/>
      <w:bookmarkEnd w:id="0"/>
      <w:r>
        <w:lastRenderedPageBreak/>
        <w:t>About This Book</w:t>
      </w:r>
      <w:bookmarkEnd w:id="2"/>
      <w:bookmarkEnd w:id="3"/>
    </w:p>
    <w:p w14:paraId="6A618573" w14:textId="77777777" w:rsidR="00DC02F5" w:rsidRDefault="00000000">
      <w:r>
        <w:t>Imagine an inheritance set aside for every child in a public school — not a metaphor, but real land, granted by the founders at each state’s birth and held in trust for the schools ever since. In about twenty states it still exists, and in a few it has grown into a permanent fund worth billions. Almost no one knows it is there.</w:t>
      </w:r>
    </w:p>
    <w:p w14:paraId="3A497647" w14:textId="77777777" w:rsidR="00DC02F5" w:rsidRDefault="00000000">
      <w:pPr>
        <w:pStyle w:val="BodyText"/>
      </w:pPr>
      <w:r>
        <w:t>This is the story of that gift: how a young and nearly bankrupt republic reserved a portion of a continent for the education of children not yet born; what the law has always required of the states that hold it; and how, state by state, the promise was kept, neglected, or quietly broken. This volume looks back at that history; its companion works carry the story into the present fight and the design of the trusts to come.</w:t>
      </w:r>
    </w:p>
    <w:p w14:paraId="2F4B520B" w14:textId="77777777" w:rsidR="00DC02F5" w:rsidRDefault="00000000">
      <w:pPr>
        <w:pStyle w:val="BodyText"/>
      </w:pPr>
      <w:r>
        <w:t>It was meant to be a forever gift, to forever schools, for a forever democracy. Whether it is handed forward now is up to people who know it exists.</w:t>
      </w:r>
    </w:p>
    <w:p w14:paraId="77973813" w14:textId="77777777" w:rsidR="00DC02F5" w:rsidRDefault="00000000">
      <w:pPr>
        <w:pStyle w:val="Heading1"/>
      </w:pPr>
      <w:bookmarkStart w:id="4" w:name="why-this-matters"/>
      <w:bookmarkStart w:id="5" w:name="_Toc231774206"/>
      <w:bookmarkStart w:id="6" w:name="_Toc231774278"/>
      <w:bookmarkEnd w:id="1"/>
      <w:r>
        <w:t>Why This Matters</w:t>
      </w:r>
      <w:bookmarkEnd w:id="5"/>
      <w:bookmarkEnd w:id="6"/>
    </w:p>
    <w:p w14:paraId="7F4F2710" w14:textId="77777777" w:rsidR="00DC02F5" w:rsidRDefault="00000000">
      <w:pPr>
        <w:pStyle w:val="Heading3"/>
      </w:pPr>
      <w:bookmarkStart w:id="7" w:name="a-note-from-the-authors"/>
      <w:r>
        <w:t>A Note from the Authors</w:t>
      </w:r>
    </w:p>
    <w:p w14:paraId="1A9A7BE3" w14:textId="77777777" w:rsidR="00DC02F5" w:rsidRDefault="00000000">
      <w:r>
        <w:t>There is a kind of wealth a child can be born into and never be told about — and lose, just as silently. It arrives as no check. It is held in no account in her name. It appears on no statement she will ever read. And yet, in about twenty states of this country, every public-school child is the heir to it: a piece of land, set aside more than two hundred years ago, by people who would die long before she was born, on the conviction that a free republic owes its children the means to grow into citizens who can keep it free.</w:t>
      </w:r>
    </w:p>
    <w:p w14:paraId="338F7CAC" w14:textId="77777777" w:rsidR="00DC02F5" w:rsidRDefault="00000000">
      <w:pPr>
        <w:pStyle w:val="BodyText"/>
      </w:pPr>
      <w:r>
        <w:lastRenderedPageBreak/>
        <w:t>We want to tell you, at the very start, how large this is — because almost no one knows it is there.</w:t>
      </w:r>
    </w:p>
    <w:p w14:paraId="22AE97B8" w14:textId="77777777" w:rsidR="00DC02F5" w:rsidRDefault="00000000">
      <w:pPr>
        <w:pStyle w:val="BodyText"/>
      </w:pPr>
      <w:r>
        <w:t>When the United States was new — poorer than its ambitions, with little to its name but a continent of unsold land stretching west toward an ocean its people had not yet seen — the founders made a decision that has no parallel in the history of nations. Before there were towns on that land, before there were settlers, before there was so much as a road, they reached into the public domain and reserved a square mile of every township for the support of schools. Not for that year’s schools. For all of them, in perpetuity, generation after generation, for as long as the land and the country should last. It was among the first things the new nation did, and it was extraordinary, because in 1785 a “free” school was a thing of shame — charity for the poor, beneath the dignity of any family that could scrape together the fees. The founders looked past that and endowed public schooling for everyone, forever, before the public schools they imagined even existed.</w:t>
      </w:r>
    </w:p>
    <w:p w14:paraId="1EFF4164" w14:textId="77777777" w:rsidR="00DC02F5" w:rsidRDefault="00000000">
      <w:pPr>
        <w:pStyle w:val="BodyText"/>
      </w:pPr>
      <w:r>
        <w:t>That endowment was real. It is still real. Today the state records compiled by Advocates for School Trust Lands show that twenty states still hold more than forty-five million acres in trust — an expanse a little smaller than Colorado or Utah — quietly earning, in some places, money that still flows into classrooms every year.</w:t>
      </w:r>
    </w:p>
    <w:p w14:paraId="417C611C" w14:textId="77777777" w:rsidR="00DC02F5" w:rsidRDefault="00000000">
      <w:pPr>
        <w:pStyle w:val="BodyText"/>
      </w:pPr>
      <w:r>
        <w:t>And here is the part that ought to stop the reader cold: hardly anyone knows it is there. We have spent our lives inside this — one of us for more than fifty years, inside the workings of a state school trust; the other through a long fight over a single forest in Oregon — and again and again we have watched educated, civic-minded people learn for the first time, in late middle age, that their own schools were born with an inheritance, that the inheritance still exists, and that in their state it has been faithfully kept or quietly squandered, without their ever being asked.</w:t>
      </w:r>
    </w:p>
    <w:p w14:paraId="5BA64976" w14:textId="77777777" w:rsidR="00DC02F5" w:rsidRDefault="00000000">
      <w:pPr>
        <w:pStyle w:val="BodyText"/>
      </w:pPr>
      <w:r>
        <w:lastRenderedPageBreak/>
        <w:t>For the truth is that the story has not ended the same way everywhere. In some states the gift was honored — the land managed with care, the principal preserved, the trust grown into a permanent fund now worth billions and paying out, year over year, exactly as intended. In others it was let go: sold for a few dollars an acre, poured into banks that failed, leased away for a pittance, raided in lean budget years, and — in more than one state, then and now — quietly sold by the state to itself. By our best reckoning the endowment that survives nationwide is a fraction of what faithful stewardship would have produced. The difference did not vanish into the air. It was a debt owed to children, and it was not paid.</w:t>
      </w:r>
    </w:p>
    <w:p w14:paraId="155D08FD" w14:textId="77777777" w:rsidR="00DC02F5" w:rsidRDefault="00000000">
      <w:pPr>
        <w:pStyle w:val="BodyText"/>
      </w:pPr>
      <w:r>
        <w:t>This is the record of what became of that gift. The grant was made, with almost the same words, to one state after another across more than a century of changing Congresses, and the Supreme Court held in 1916 that it meant the same thing every time. The duties a trustee owes — loyalty, care, honest accounting, vigilance, and above all the preservation of the principal — were the same in Ohio in 1803 as in the newest western state, and the same then as now. What changed from place to place was not the duty. It was whether anyone honored it, and whether anyone was watching.</w:t>
      </w:r>
    </w:p>
    <w:p w14:paraId="2D2E9293" w14:textId="77777777" w:rsidR="00DC02F5" w:rsidRDefault="00000000">
      <w:pPr>
        <w:pStyle w:val="BodyText"/>
      </w:pPr>
      <w:r>
        <w:t>We did not write this to lament. We wrote it because the gift is not gone. About twenty states still hold these lands and these funds, which means about twenty states still have the chance to treat them the way the founders meant — with what an old line of trust law calls the punctilio of an honor the most sensitive. You cannot defend an inheritance you were never told you had. So before anything else, we want to tell you: it is yours. It was set aside for you, and for the children who will come after you, by people who trusted that each generation would hand it forward whole.</w:t>
      </w:r>
    </w:p>
    <w:p w14:paraId="6EB9E1DF" w14:textId="77777777" w:rsidR="00DC02F5" w:rsidRDefault="00000000">
      <w:pPr>
        <w:pStyle w:val="BodyText"/>
      </w:pPr>
      <w:r>
        <w:lastRenderedPageBreak/>
        <w:t>It was meant to be a forever gift, to forever schools, for a forever democracy. Whether it is handed forward now is, at last, up to people who know it exists.</w:t>
      </w:r>
    </w:p>
    <w:p w14:paraId="6C1B2B5C" w14:textId="77777777" w:rsidR="00DC02F5" w:rsidRDefault="00000000">
      <w:pPr>
        <w:pStyle w:val="BodyText"/>
      </w:pPr>
      <w:r>
        <w:t>That is why we wrote this. Here is the record.</w:t>
      </w:r>
    </w:p>
    <w:p w14:paraId="695B524B" w14:textId="77777777" w:rsidR="00DC02F5" w:rsidRDefault="00000000">
      <w:r>
        <w:br w:type="page"/>
      </w:r>
    </w:p>
    <w:p w14:paraId="6F70FA69" w14:textId="77777777" w:rsidR="00DC02F5" w:rsidRDefault="00000000">
      <w:pPr>
        <w:pStyle w:val="Heading1"/>
      </w:pPr>
      <w:bookmarkStart w:id="8" w:name="a-note-on-this-edition"/>
      <w:bookmarkStart w:id="9" w:name="_Toc231774207"/>
      <w:bookmarkStart w:id="10" w:name="_Toc231774279"/>
      <w:bookmarkEnd w:id="4"/>
      <w:bookmarkEnd w:id="7"/>
      <w:r>
        <w:lastRenderedPageBreak/>
        <w:t>A Note on This Edition</w:t>
      </w:r>
      <w:bookmarkEnd w:id="9"/>
      <w:bookmarkEnd w:id="10"/>
    </w:p>
    <w:p w14:paraId="5C436EF3" w14:textId="77777777" w:rsidR="00DC02F5" w:rsidRDefault="00000000">
      <w:r>
        <w:t xml:space="preserve">This is a working revision of </w:t>
      </w:r>
      <w:r>
        <w:rPr>
          <w:i/>
          <w:iCs/>
        </w:rPr>
        <w:t>The Forgotten Forever Gift to Public Schools</w:t>
      </w:r>
      <w:r>
        <w:t xml:space="preserve"> (Volume One - Looking Back), prepared as the history was assembled and tested against the full state record. It is not yet the final print text. The revision does three things at once: it removes language that could imply there was ever no real trust; it expands the early American history the founding deserves; and it moves the future-facing design lessons toward the companion volume, leaving this book to do its own work first - tell the history and help citizens protect the trusts that still survive.</w:t>
      </w:r>
    </w:p>
    <w:p w14:paraId="22045432" w14:textId="77777777" w:rsidR="00DC02F5" w:rsidRDefault="00000000">
      <w:pPr>
        <w:pStyle w:val="BodyText"/>
      </w:pPr>
      <w:r>
        <w:rPr>
          <w:b/>
          <w:bCs/>
        </w:rPr>
        <w:t>This book is one room in a larger work.</w:t>
      </w:r>
      <w:r>
        <w:t xml:space="preserve"> For most of two centuries the school-trust story could not be seen whole. It was scattered across the country and across two hundred years — written into statehood acts, land-office ledgers, audit reports, and the records of courts that mostly never spoke to one another. Each state lived its own losses as a local accident: a bad governor, a hard budget year, a deal that got away. Because no one had laid the cases side by side, no one could see that the accidents had a shape.</w:t>
      </w:r>
    </w:p>
    <w:p w14:paraId="1B1EB591" w14:textId="77777777" w:rsidR="00DC02F5" w:rsidRDefault="00000000">
      <w:pPr>
        <w:pStyle w:val="BodyText"/>
      </w:pPr>
      <w:r>
        <w:t>Assembling the record is what changed the view. Set Alabama’s vanished bank deposits beside Utah’s drained fund, Oregon’s sold-off forest beside Arizona’s quiet giveaways, and one pattern surfaces in every column: the duty was real and binding from the moment a state accepted the land, but almost nowhere had anyone built the machinery to make a trustee honor it. The failures were not bad luck. They were the predictable result of a forever promise written without the means to enforce it.</w:t>
      </w:r>
    </w:p>
    <w:p w14:paraId="04284662" w14:textId="77777777" w:rsidR="00DC02F5" w:rsidRDefault="00000000">
      <w:pPr>
        <w:pStyle w:val="BodyText"/>
      </w:pPr>
      <w:r>
        <w:t xml:space="preserve">Seeing that clearly is what made the rest of this work possible. Once it is plain that the missing ingredient was never the duty but always the enforcement — the accounting, the standing to sue, the constituency </w:t>
      </w:r>
      <w:r>
        <w:lastRenderedPageBreak/>
        <w:t xml:space="preserve">watching — the question stops being “what went wrong in my state” and becomes “how do we build trusts that do not depend on anyone happening to be watching.” That question is the subject of the companion volume, </w:t>
      </w:r>
      <w:r>
        <w:rPr>
          <w:i/>
          <w:iCs/>
        </w:rPr>
        <w:t>Stewards of the Republic</w:t>
      </w:r>
      <w:r>
        <w:t>, and of the model law it argues for — the Uniform Public Trust Enforcement Act — which would write the missing machinery into statute. This volume looks back so that those can look forward; each can be read alone, but together, with the living record that underlies them all, they are one argument across time.</w:t>
      </w:r>
    </w:p>
    <w:p w14:paraId="1820D4C0" w14:textId="77777777" w:rsidR="00DC02F5" w:rsidRDefault="00000000">
      <w:pPr>
        <w:pStyle w:val="BodyText"/>
      </w:pPr>
      <w:r>
        <w:rPr>
          <w:b/>
          <w:bCs/>
        </w:rPr>
        <w:t>A Living Record.</w:t>
      </w:r>
      <w:r>
        <w:t xml:space="preserve"> The history and law in this book are documented in the Notes at the back. The fifty state portraits in Part Two are deliberately brief because living trusts change: lands are sold and exchanged, fund balances move, officers change, and litigation develops. Each state entry carries a code you can scan to reach its living page in America’s School Trust Library at schooltrusts.net, where the full record is kept current and open to correction. The book is the doorway to the record, not the record itself.</w:t>
      </w:r>
    </w:p>
    <w:p w14:paraId="3E8E979A" w14:textId="77777777" w:rsidR="00DC02F5" w:rsidRDefault="00000000">
      <w:pPr>
        <w:pStyle w:val="BodyText"/>
      </w:pPr>
      <w:r>
        <w:rPr>
          <w:noProof/>
        </w:rPr>
        <w:drawing>
          <wp:inline distT="0" distB="0" distL="0" distR="0" wp14:anchorId="590880D9" wp14:editId="3643EDBC">
            <wp:extent cx="914400" cy="914400"/>
            <wp:effectExtent l="0" t="0" r="0" b="0"/>
            <wp:docPr id="30" name="Picture"/>
            <wp:cNvGraphicFramePr/>
            <a:graphic xmlns:a="http://schemas.openxmlformats.org/drawingml/2006/main">
              <a:graphicData uri="http://schemas.openxmlformats.org/drawingml/2006/picture">
                <pic:pic xmlns:pic="http://schemas.openxmlformats.org/drawingml/2006/picture">
                  <pic:nvPicPr>
                    <pic:cNvPr id="31" name="Picture" descr="C:/Users/drdav/My%20Drive/Claude%20Cowork/_tools/_web_cache/qr_hub_884487fd4ee0_1200x_q90.jpg"/>
                    <pic:cNvPicPr>
                      <a:picLocks noChangeAspect="1" noChangeArrowheads="1"/>
                    </pic:cNvPicPr>
                  </pic:nvPicPr>
                  <pic:blipFill>
                    <a:blip r:embed="rId9"/>
                    <a:stretch>
                      <a:fillRect/>
                    </a:stretch>
                  </pic:blipFill>
                  <pic:spPr bwMode="auto">
                    <a:xfrm>
                      <a:off x="0" y="0"/>
                      <a:ext cx="914400" cy="914400"/>
                    </a:xfrm>
                    <a:prstGeom prst="rect">
                      <a:avLst/>
                    </a:prstGeom>
                    <a:noFill/>
                    <a:ln w="9525">
                      <a:noFill/>
                      <a:headEnd/>
                      <a:tailEnd/>
                    </a:ln>
                  </pic:spPr>
                </pic:pic>
              </a:graphicData>
            </a:graphic>
          </wp:inline>
        </w:drawing>
      </w:r>
    </w:p>
    <w:p w14:paraId="7F5ABE37" w14:textId="77777777" w:rsidR="00DC02F5" w:rsidRDefault="00000000">
      <w:pPr>
        <w:pStyle w:val="BodyText"/>
      </w:pPr>
      <w:r>
        <w:rPr>
          <w:i/>
          <w:iCs/>
        </w:rPr>
        <w:t>Scan for the full index of state pages at schooltrusts.net/reading.</w:t>
      </w:r>
    </w:p>
    <w:p w14:paraId="57404AED" w14:textId="77777777" w:rsidR="00DC02F5" w:rsidRDefault="00000000">
      <w:r>
        <w:br w:type="page"/>
      </w:r>
    </w:p>
    <w:p w14:paraId="5887452E" w14:textId="77777777" w:rsidR="00DC02F5" w:rsidRDefault="00000000">
      <w:pPr>
        <w:pStyle w:val="Heading1"/>
      </w:pPr>
      <w:bookmarkStart w:id="11" w:name="part-one---the-gift-and-the-duty"/>
      <w:bookmarkStart w:id="12" w:name="_Toc231774208"/>
      <w:bookmarkStart w:id="13" w:name="_Toc231774280"/>
      <w:bookmarkEnd w:id="8"/>
      <w:r>
        <w:lastRenderedPageBreak/>
        <w:t>PART ONE - The Gift and the Duty</w:t>
      </w:r>
      <w:bookmarkEnd w:id="12"/>
      <w:bookmarkEnd w:id="13"/>
    </w:p>
    <w:p w14:paraId="5875E2CE" w14:textId="77777777" w:rsidR="00DC02F5" w:rsidRDefault="00000000">
      <w:pPr>
        <w:pStyle w:val="PullQuote"/>
      </w:pPr>
      <w:r>
        <w:t>“Religion, morality, and knowledge, being necessary to good government and the happiness of mankind, schools and the means of education shall forever be encouraged.” - Northwest Ordinance, 1787</w:t>
      </w:r>
    </w:p>
    <w:p w14:paraId="3D8AE4A9" w14:textId="77777777" w:rsidR="00DC02F5" w:rsidRDefault="00000000">
      <w:pPr>
        <w:pStyle w:val="BodyText"/>
      </w:pPr>
      <w:r>
        <w:t>This book is in two parts because the story is two things at once: an argument and a record. Part One is the argument.</w:t>
      </w:r>
    </w:p>
    <w:p w14:paraId="1472E97C" w14:textId="77777777" w:rsidR="00DC02F5" w:rsidRDefault="00000000">
      <w:pPr>
        <w:pStyle w:val="BodyText"/>
      </w:pPr>
      <w:r>
        <w:t>It begins with the gift - what still survives, why it was astonishing, and why a country with almost no money chose to reserve land for children not yet born. It then turns to the duty, because property held for someone else is a trust, and a trust binds the one who holds it. The duties are not decorative. They are loyalty, prudence, honest accounting, and enforcement. Each is shown in the breach and in the recovery, because a duty is easiest to see when someone tries to evade it.</w:t>
      </w:r>
    </w:p>
    <w:p w14:paraId="1773F578" w14:textId="77777777" w:rsidR="00DC02F5" w:rsidRDefault="00000000">
      <w:pPr>
        <w:pStyle w:val="BodyText"/>
      </w:pPr>
      <w:r>
        <w:t>Part One ends not with abstraction, but with preservation. How does the money reach the beneficiary? Who sees it? Who has standing to object when the stream is diverted? What can a citizen in a trust-land state do now?</w:t>
      </w:r>
    </w:p>
    <w:p w14:paraId="569CB1A4" w14:textId="77777777" w:rsidR="00DC02F5" w:rsidRDefault="00000000">
      <w:pPr>
        <w:pStyle w:val="BodyText"/>
      </w:pPr>
      <w:r>
        <w:t>Read Part One to understand what was promised and what is owed. Then read Part Two to see, state by state, what became of it.</w:t>
      </w:r>
    </w:p>
    <w:p w14:paraId="5457D17F" w14:textId="77777777" w:rsidR="00DC02F5" w:rsidRDefault="00000000">
      <w:r>
        <w:br w:type="page"/>
      </w:r>
    </w:p>
    <w:p w14:paraId="480CC4B6" w14:textId="77777777" w:rsidR="00DC02F5" w:rsidRDefault="00000000">
      <w:pPr>
        <w:pStyle w:val="Heading1"/>
      </w:pPr>
      <w:bookmarkStart w:id="14" w:name="chapter-1-the-inheritance-still-standing"/>
      <w:bookmarkStart w:id="15" w:name="_Toc231774209"/>
      <w:bookmarkStart w:id="16" w:name="_Toc231774281"/>
      <w:bookmarkEnd w:id="11"/>
      <w:r>
        <w:lastRenderedPageBreak/>
        <w:t>Chapter 1 — The Inheritance Still Standing</w:t>
      </w:r>
      <w:bookmarkEnd w:id="15"/>
      <w:bookmarkEnd w:id="16"/>
    </w:p>
    <w:p w14:paraId="2CE35036" w14:textId="77777777" w:rsidR="00DC02F5" w:rsidRDefault="00000000">
      <w:pPr>
        <w:pStyle w:val="PullQuote"/>
      </w:pPr>
      <w:r>
        <w:t>“A popular Government, without popular information, or the means of acquiring it, is but a Prologue to a Farce or a Tragedy; or, perhaps both.”</w:t>
      </w:r>
      <w:r>
        <w:rPr>
          <w:vertAlign w:val="superscript"/>
        </w:rPr>
        <w:t>1</w:t>
      </w:r>
      <w:r>
        <w:t xml:space="preserve"> — James Madison to W. T. Barry, 1822</w:t>
      </w:r>
    </w:p>
    <w:p w14:paraId="2788F625" w14:textId="77777777" w:rsidR="00DC02F5" w:rsidRDefault="00000000">
      <w:pPr>
        <w:pStyle w:val="BodyText"/>
      </w:pPr>
      <w:r>
        <w:t>Start with what is still here — because it is the part almost no one believes, and because it is the part that can still be saved.</w:t>
      </w:r>
    </w:p>
    <w:p w14:paraId="4C57AAB4" w14:textId="77777777" w:rsidR="00DC02F5" w:rsidRDefault="00000000">
      <w:pPr>
        <w:pStyle w:val="BodyText"/>
      </w:pPr>
      <w:r>
        <w:t xml:space="preserve">In about twenty states of the American West, the public schools still own land — a great deal of it. Not land the legislature happens to fund them from; land they </w:t>
      </w:r>
      <w:r>
        <w:rPr>
          <w:i/>
          <w:iCs/>
        </w:rPr>
        <w:t>own</w:t>
      </w:r>
      <w:r>
        <w:t>, in trust, set aside for them at the moment each territory became a state, and held for them ever since. The gift is not a ruin to be mourned. It survives, it is large, and the states that still hold it have, right now, the chance to keep faith with it. Add it up and, today, the surviving estate comes to more than forty-five million acres — an area smaller than the state of Utah.</w:t>
      </w:r>
    </w:p>
    <w:p w14:paraId="5A3C9D3F" w14:textId="77777777" w:rsidR="00DC02F5" w:rsidRDefault="00000000">
      <w:pPr>
        <w:pStyle w:val="BodyText"/>
      </w:pPr>
      <w:r>
        <w:t>That is what survives. It is not what was given. Counted state by state — a section, and later two, of every survey township across some thirty states — the original grant for the common schools came to about seventy-eight million acres. That is more land than the whole of Colorado, and half again the size of Utah. About forty-five million acres of it remain in trust today; the rest — roughly two acres of every five — has been sold, lost, or signed away (Figure 1). And the loss is wildly uneven. The states admitted before 1850 parted with essentially all of theirs; Nevada, granted some two million acres, has almost none left. The arid Western states admitted around 1890 kept nearly all of theirs — which is why almost every surviving trust acre lies west of the Rockies.</w:t>
      </w:r>
    </w:p>
    <w:p w14:paraId="62695C44" w14:textId="77777777" w:rsidR="00DC02F5" w:rsidRDefault="00000000">
      <w:r>
        <w:rPr>
          <w:noProof/>
        </w:rPr>
        <w:lastRenderedPageBreak/>
        <w:drawing>
          <wp:inline distT="0" distB="0" distL="0" distR="0" wp14:anchorId="67040429" wp14:editId="202081F2">
            <wp:extent cx="4470400" cy="2292161"/>
            <wp:effectExtent l="0" t="0" r="0" b="0"/>
            <wp:docPr id="35" name="Picture" descr="Figure 1. The scale of the gift — and what is left of it. Congress granted about 78 million acres for the common schools — more than the entire state of Colorado. About 45 million acres remain in trust today, an area smaller than Utah; the rest was sold or lost. Colorado and Utah are shown at their full state size, for scale. Sources: original grant summed from Souder &amp; Fairfax, State Trust Lands (1995), Table Two (~78 million acres), consistent with the 77.6-million-acre common-school total reported by the Center on Education Policy (2011); surviving acreage from Advocates for School Trust Lands."/>
            <wp:cNvGraphicFramePr/>
            <a:graphic xmlns:a="http://schemas.openxmlformats.org/drawingml/2006/main">
              <a:graphicData uri="http://schemas.openxmlformats.org/drawingml/2006/picture">
                <pic:pic xmlns:pic="http://schemas.openxmlformats.org/drawingml/2006/picture">
                  <pic:nvPicPr>
                    <pic:cNvPr id="36" name="Picture" descr="C:/Users/drdav/My%20Drive/Claude%20Cowork/_tools/_web_cache/fig_scale_4d23387e6cef_1200x_q90.jpg"/>
                    <pic:cNvPicPr>
                      <a:picLocks noChangeAspect="1" noChangeArrowheads="1"/>
                    </pic:cNvPicPr>
                  </pic:nvPicPr>
                  <pic:blipFill>
                    <a:blip r:embed="rId10"/>
                    <a:stretch>
                      <a:fillRect/>
                    </a:stretch>
                  </pic:blipFill>
                  <pic:spPr bwMode="auto">
                    <a:xfrm>
                      <a:off x="0" y="0"/>
                      <a:ext cx="4470400" cy="2292161"/>
                    </a:xfrm>
                    <a:prstGeom prst="rect">
                      <a:avLst/>
                    </a:prstGeom>
                    <a:noFill/>
                    <a:ln w="9525">
                      <a:noFill/>
                      <a:headEnd/>
                      <a:tailEnd/>
                    </a:ln>
                  </pic:spPr>
                </pic:pic>
              </a:graphicData>
            </a:graphic>
          </wp:inline>
        </w:drawing>
      </w:r>
    </w:p>
    <w:p w14:paraId="7F05897F" w14:textId="77777777" w:rsidR="00DC02F5" w:rsidRDefault="00000000">
      <w:r>
        <w:rPr>
          <w:b/>
          <w:bCs/>
        </w:rPr>
        <w:t>Figure 1. The scale of the gift — and what is left of it.</w:t>
      </w:r>
      <w:r>
        <w:t xml:space="preserve"> Congress granted about 78 million acres for the common schools — more than the entire state of Colorado. About 45 million acres remain in trust today, an area smaller than Utah; the rest was sold or lost. Colorado and Utah are shown at their full state size, for scale. Sources: original grant summed from Souder &amp; Fairfax, </w:t>
      </w:r>
      <w:r>
        <w:rPr>
          <w:i/>
          <w:iCs/>
        </w:rPr>
        <w:t>State Trust Lands</w:t>
      </w:r>
      <w:r>
        <w:t xml:space="preserve"> (1995), Table Two (~78 million acres), consistent with the 77.6-million-acre common-school total reported by the Center on Education Policy (2011); surviving acreage from Advocates for School Trust Lands.</w:t>
      </w:r>
    </w:p>
    <w:p w14:paraId="1278C374" w14:textId="77777777" w:rsidR="00DC02F5" w:rsidRDefault="00000000">
      <w:pPr>
        <w:pStyle w:val="BodyText"/>
      </w:pPr>
      <w:r>
        <w:t>In some states the income from it still arrives in classrooms every year. In a few, the permanent fund built from it has grown into the billions. It is one of the largest and oldest endowments in the country, and it belongs to children.</w:t>
      </w:r>
    </w:p>
    <w:p w14:paraId="3DEEE56C" w14:textId="77777777" w:rsidR="00DC02F5" w:rsidRDefault="00000000">
      <w:pPr>
        <w:pStyle w:val="BodyText"/>
      </w:pPr>
      <w:r>
        <w:t>Ask almost any of those children’s parents about it and you will get a blank look. Ask their teachers, their school-board members, often their legislators, and you will get the same. The inheritance is real, it is large, and it is invisible — which is exactly the condition in which an inheritance gets lost.</w:t>
      </w:r>
    </w:p>
    <w:p w14:paraId="10E4477D" w14:textId="77777777" w:rsidR="00DC02F5" w:rsidRDefault="00000000">
      <w:pPr>
        <w:pStyle w:val="BodyText"/>
      </w:pPr>
      <w:r>
        <w:t xml:space="preserve">To feel why the gift was extraordinary, you have to remember what a school was when it was made. In 1785 there was no such thing as free </w:t>
      </w:r>
      <w:r>
        <w:lastRenderedPageBreak/>
        <w:t>public education as we mean it. A child learned from a private tutor if the family was wealthy, or in a subscription school paid for by “rate bills”</w:t>
      </w:r>
      <w:r>
        <w:rPr>
          <w:vertAlign w:val="superscript"/>
        </w:rPr>
        <w:t>2</w:t>
      </w:r>
      <w:r>
        <w:t xml:space="preserve"> — fees billed to parents by the student — if the family was middling. The few genuinely free schools were charity, and charity carried a brand. To send your child to one was to declare in public that you could not provide for your own, and families would do almost anything to avoid it. In antebellum Georgia, where the state set up a “Poor School Fund” to pay the tuition of indigent children, the schools that took the money became known as “pauper schools,” and parents kept their children home rather than be marked by them. In Bryan County in 1847, 164 children were entitled to the fund; no more than 16 attended</w:t>
      </w:r>
      <w:r>
        <w:rPr>
          <w:vertAlign w:val="superscript"/>
        </w:rPr>
        <w:t>3</w:t>
      </w:r>
      <w:r>
        <w:t>. The money existed. The stigma kept the schoolroom empty.</w:t>
      </w:r>
    </w:p>
    <w:p w14:paraId="2097456D" w14:textId="77777777" w:rsidR="00DC02F5" w:rsidRDefault="00000000">
      <w:pPr>
        <w:pStyle w:val="BodyText"/>
      </w:pPr>
      <w:r>
        <w:t xml:space="preserve">Against that backdrop, consider what the founders did. They did not means-test a charity. They set aside, out of the only wealth the new nation had, a permanent endowment for the schooling of </w:t>
      </w:r>
      <w:r>
        <w:rPr>
          <w:i/>
          <w:iCs/>
        </w:rPr>
        <w:t>everyone’s</w:t>
      </w:r>
      <w:r>
        <w:t xml:space="preserve"> children, in every township that would ever be settled, forever. They built the public school before the public was ready to want it.</w:t>
      </w:r>
    </w:p>
    <w:p w14:paraId="664F3738" w14:textId="77777777" w:rsidR="00DC02F5" w:rsidRDefault="00000000">
      <w:pPr>
        <w:pStyle w:val="BodyText"/>
      </w:pPr>
      <w:r>
        <w:t xml:space="preserve">And they built it the same way every time. As the country grew — Ohio in 1803, then state after state across more than a century — Congress wrote the school-land grant into each new state’s founding terms using, almost word for word, the same language it had used before. That was not an accident, and the Supreme Court said so. In 1916, in </w:t>
      </w:r>
      <w:r>
        <w:rPr>
          <w:i/>
          <w:iCs/>
        </w:rPr>
        <w:t>United States v. Morrison</w:t>
      </w:r>
      <w:r>
        <w:t>, the Court held that because Congress “used the same phrase substantially in nearly every one of the school grants,</w:t>
      </w:r>
      <w:r>
        <w:rPr>
          <w:vertAlign w:val="superscript"/>
        </w:rPr>
        <w:t>4</w:t>
      </w:r>
      <w:r>
        <w:t>” with “the manifest intention to place the states on the same footing,” the grant “did not have one meaning in one grant and a different meaning in another.” One promise, made over and over, meaning the same thing each time. That is why the thirty-three states that received it can be told as a single story.</w:t>
      </w:r>
    </w:p>
    <w:p w14:paraId="08064A45" w14:textId="77777777" w:rsidR="00DC02F5" w:rsidRDefault="00000000">
      <w:pPr>
        <w:pStyle w:val="BodyText"/>
      </w:pPr>
      <w:r>
        <w:lastRenderedPageBreak/>
        <w:t xml:space="preserve">It is also why a single word governs all of it: </w:t>
      </w:r>
      <w:r>
        <w:rPr>
          <w:i/>
          <w:iCs/>
        </w:rPr>
        <w:t>trust</w:t>
      </w:r>
      <w:r>
        <w:t xml:space="preserve">. This was a real trust from the first acceptance — the same creature in every state, as the Supreme Court confirmed in </w:t>
      </w:r>
      <w:r>
        <w:rPr>
          <w:i/>
          <w:iCs/>
        </w:rPr>
        <w:t>Morrison</w:t>
      </w:r>
      <w:r>
        <w:t>. The grants did not always use the word, and they did not have to. A trust, like a contract, is defined by its substance, not its label — and the substance was unmistakable: property given to one party (the state) to hold and manage for the benefit of another (the schools), forever. What that means for the people who hold it — the duty they are under, and the standard the law holds them to — is the subject of this book. But the duty rests on the gift, and the gift came first. Before we ask how it was kept and how it was broken, we should understand the world that made it, and why a people with almost nothing chose to give their children almost the only thing they had.</w:t>
      </w:r>
    </w:p>
    <w:p w14:paraId="745BF442" w14:textId="77777777" w:rsidR="00DC02F5" w:rsidRDefault="00000000">
      <w:r>
        <w:br w:type="page"/>
      </w:r>
    </w:p>
    <w:p w14:paraId="06B674DA" w14:textId="77777777" w:rsidR="00DC02F5" w:rsidRDefault="00000000">
      <w:pPr>
        <w:pStyle w:val="Heading1"/>
      </w:pPr>
      <w:bookmarkStart w:id="17" w:name="chapter-2---the-world-that-made-the-gift"/>
      <w:bookmarkStart w:id="18" w:name="_Toc231774210"/>
      <w:bookmarkStart w:id="19" w:name="_Toc231774282"/>
      <w:bookmarkEnd w:id="14"/>
      <w:r>
        <w:lastRenderedPageBreak/>
        <w:t>Chapter 2 - The World That Made the Gift</w:t>
      </w:r>
      <w:bookmarkEnd w:id="18"/>
      <w:bookmarkEnd w:id="19"/>
    </w:p>
    <w:p w14:paraId="20AD7FD3" w14:textId="77777777" w:rsidR="00DC02F5" w:rsidRDefault="00000000">
      <w:pPr>
        <w:pStyle w:val="PullQuote"/>
      </w:pPr>
      <w:r>
        <w:t>“Laws for the liberal education of youth, especially of the lower class of people, are so extremely wise and useful, that to a humane and generous mind, no expense for this purpose would be thought extravagant.”</w:t>
      </w:r>
      <w:r>
        <w:rPr>
          <w:vertAlign w:val="superscript"/>
        </w:rPr>
        <w:t>1</w:t>
      </w:r>
      <w:r>
        <w:t xml:space="preserve"> - John Adams</w:t>
      </w:r>
    </w:p>
    <w:p w14:paraId="3B0D9712" w14:textId="77777777" w:rsidR="00DC02F5" w:rsidRDefault="00000000">
      <w:pPr>
        <w:pStyle w:val="BodyText"/>
      </w:pPr>
      <w:r>
        <w:t>It is hard, from here, to feel how strange and bold the school-land grant was. We are used to public schools. We are used to a federal government with a treasury, taxing power, agencies, courts, roads, and maps. The men who made the first school reservation had almost none of that.</w:t>
      </w:r>
    </w:p>
    <w:p w14:paraId="13696A14" w14:textId="77777777" w:rsidR="00DC02F5" w:rsidRDefault="00000000">
      <w:pPr>
        <w:pStyle w:val="BodyText"/>
      </w:pPr>
      <w:r>
        <w:t>The fighting had ended at Yorktown in 1781, and the Treaty of Paris confirmed independence in 1783 — but victory had not made the country rich. The Confederation Congress could not levy a direct national tax. Soldiers had gone unpaid, many of them promised western land they had not yet received. Domestic and foreign creditors waited. The states had their own jealousies, their own debts, and their own western claims. The new United States was a government trying to become a nation before it had the ordinary tools of a nation.</w:t>
      </w:r>
    </w:p>
    <w:p w14:paraId="4E174141" w14:textId="77777777" w:rsidR="00DC02F5" w:rsidRDefault="00000000">
      <w:pPr>
        <w:pStyle w:val="BodyText"/>
      </w:pPr>
      <w:r>
        <w:t>What it did have was land, or at least a claim to land. Britain had ceded territory east of the Mississippi in the Treaty of Paris, but that paper description did not make the West simple. Several original states claimed enormous western reaches, some on maps that ran toward an ocean almost no American official had seen. Native nations lived there, governed there, fought there, and did not regard the land as empty. British troops remained at frontier posts. Spain controlled the lower Mississippi, the river the settlers would need if the West was to become more than a map. The country possessed a vast asset and a vast problem at the same time.</w:t>
      </w:r>
    </w:p>
    <w:p w14:paraId="6D2F3918" w14:textId="77777777" w:rsidR="00DC02F5" w:rsidRDefault="00000000">
      <w:pPr>
        <w:pStyle w:val="BodyText"/>
      </w:pPr>
      <w:r>
        <w:lastRenderedPageBreak/>
        <w:t>The first problem was political: what would the western country become? If it stayed attached to the older states, Virginia and other large claimants might dominate the Union. If it became colonies, the Revolution would have reproduced the very structure it had rejected. If it became states, those states would need a path from unsettled territory to equal membership in the Union. That was the question a committee of the Confederation Congress took up in 1784. The Congress did most of its work through such committees, and it handed this one — nothing less than the future of the western country — to Thomas Jefferson. He was the natural choice: a Virginia delegate, the author of the Declaration, and the era’s deepest thinker about land and self-government — and he came from the very state that had just ceded its sweeping western claims to the nation. A Virginian writing the rules for land Virginia had given up was not lost on anyone in the room.</w:t>
      </w:r>
    </w:p>
    <w:p w14:paraId="47AE4FCB" w14:textId="77777777" w:rsidR="00DC02F5" w:rsidRDefault="00000000">
      <w:pPr>
        <w:pStyle w:val="BodyText"/>
      </w:pPr>
      <w:r>
        <w:t>Jefferson’s plan was not the school-section grant. That came the next year. His 1784 report was a state-making plan: temporary government, organized territory, then new states admitted on equal footing with the old. It also carried one of the great might-have-beens of American history. Jefferson proposed that, after 1800, slavery be barred from the western states. The clause failed by a single state vote. New Jersey would likely have supplied the missing vote, but one of its delegates was ill and absent. Three years later, the Northwest Ordinance would bar slavery north of the Ohio. In 1784, the line between freedom and slavery in the future West turned, for a moment, on an empty chair.</w:t>
      </w:r>
      <w:r>
        <w:rPr>
          <w:vertAlign w:val="superscript"/>
        </w:rPr>
        <w:t>2</w:t>
      </w:r>
    </w:p>
    <w:p w14:paraId="0538052D" w14:textId="77777777" w:rsidR="00DC02F5" w:rsidRDefault="00000000">
      <w:pPr>
        <w:pStyle w:val="BodyText"/>
      </w:pPr>
      <w:r>
        <w:t>The second problem was fiscal. Land was the only national asset large enough to answer the debt. But land that could not be surveyed, defended, titled, and settled was not yet a treasury. A government can sell a continent on paper; families will not move to a dangerous, unmapped place unless they believe civil society will arrive with them. Roads mattered. Courts mattered. Clear title mattered. So did schools.</w:t>
      </w:r>
    </w:p>
    <w:p w14:paraId="512B4E70" w14:textId="77777777" w:rsidR="00DC02F5" w:rsidRDefault="00000000">
      <w:pPr>
        <w:pStyle w:val="BodyText"/>
      </w:pPr>
      <w:r>
        <w:lastRenderedPageBreak/>
        <w:t>That is why the Land Ordinance of May 20, 1785 is more than a surveying statute. It divided the public domain into townships six miles square, each township into thirty-six sections of one square mile. And then, in the middle of that fiscal machine, Congress did something that cost it real money: it reserved Lot No. 16 of every township for the maintenance of public schools within that township.</w:t>
      </w:r>
      <w:r>
        <w:rPr>
          <w:vertAlign w:val="superscript"/>
        </w:rPr>
        <w:t>3</w:t>
      </w:r>
      <w:r>
        <w:t xml:space="preserve"> One section out of thirty-six was not sold for the creditors. It was held back for children.</w:t>
      </w:r>
    </w:p>
    <w:p w14:paraId="056CF648" w14:textId="77777777" w:rsidR="00DC02F5" w:rsidRDefault="00000000">
      <w:pPr>
        <w:pStyle w:val="BodyText"/>
      </w:pPr>
      <w:r>
        <w:t>That is easy to sentimentalize and just as easy to understate. The government was not giving away spare land. It was reserving one thirty-sixth of the very asset it hoped would save its credit. The school section was a public purpose written into the geometry of settlement. Every township would carry its own local endowment. Every map would show, before the town existed, that the future community was expected to educate its children.</w:t>
      </w:r>
    </w:p>
    <w:p w14:paraId="4030E898" w14:textId="77777777" w:rsidR="00DC02F5" w:rsidRDefault="00000000">
      <w:pPr>
        <w:pStyle w:val="BodyText"/>
      </w:pPr>
      <w:r>
        <w:t xml:space="preserve">It is worth pausing on what land </w:t>
      </w:r>
      <w:r>
        <w:rPr>
          <w:i/>
          <w:iCs/>
        </w:rPr>
        <w:t>meant</w:t>
      </w:r>
      <w:r>
        <w:t xml:space="preserve"> in that world, because a modern reader pictures wealth as money in a bank. In 1785, wealth was land. It was the economy — almost everyone farmed — and it was the measure of a person’s standing and independence. It was also, in most of the new states, the key to the vote: a man generally had to own land, a freehold, before he could cast a ballot at all. The landless were governed but could not consent; women, the enslaved, and most free Black men were shut out entirely. To hold land was to be a full member of the republic. Seen that way, reserving land for the schools was no soft gesture. It was the founders handing the next generation the one asset that, in their world, conferred both a living and a vote — and tying it to the thing they believed the republic could not survive without: an educated people.</w:t>
      </w:r>
    </w:p>
    <w:p w14:paraId="2F57F127" w14:textId="77777777" w:rsidR="00DC02F5" w:rsidRDefault="00000000">
      <w:pPr>
        <w:pStyle w:val="PullQuote"/>
      </w:pPr>
      <w:r>
        <w:rPr>
          <w:b/>
          <w:bCs/>
        </w:rPr>
        <w:t>BOX - The World of 1785</w:t>
      </w:r>
    </w:p>
    <w:p w14:paraId="5BCB2827" w14:textId="77777777" w:rsidR="00DC02F5" w:rsidRDefault="00000000">
      <w:pPr>
        <w:pStyle w:val="PullQuote"/>
      </w:pPr>
      <w:r>
        <w:t xml:space="preserve">The United States in 1785 had debt, land claims, unpaid soldiers, no reliable national tax, British posts still in the Northwest, Spanish control of </w:t>
      </w:r>
      <w:r>
        <w:lastRenderedPageBreak/>
        <w:t>the Mississippi, and Native nations whose title and sovereignty stood between paper maps and actual settlement. To reserve school land in that world was not a decorative gesture. It was a decision to spend the country’s most valuable asset on the civic equipment of a republic that did not yet fully exist.</w:t>
      </w:r>
    </w:p>
    <w:p w14:paraId="1BD048D8" w14:textId="77777777" w:rsidR="00DC02F5" w:rsidRDefault="00000000">
      <w:pPr>
        <w:pStyle w:val="BodyText"/>
      </w:pPr>
      <w:r>
        <w:t>The third problem was moral, and it cannot be skipped. The public domain was not created out of emptiness. The school lands were carved from territory Native nations occupied, defended, and understood as their own. The 1785 ordinance itself assumed that land would be disposed of only after Indian title had been purchased or otherwise extinguished, but the federal system quickly learned to treat Indigenous title as an obstacle to be cleared on the government’s timetable. The school-section reservation was therefore born inside a contradiction: a civic endowment for future children, built into a westward system that displaced the peoples already there.</w:t>
      </w:r>
      <w:r>
        <w:rPr>
          <w:vertAlign w:val="superscript"/>
        </w:rPr>
        <w:t>4</w:t>
      </w:r>
    </w:p>
    <w:p w14:paraId="208756CB" w14:textId="77777777" w:rsidR="00DC02F5" w:rsidRDefault="00000000">
      <w:pPr>
        <w:pStyle w:val="BodyText"/>
      </w:pPr>
      <w:r>
        <w:t>A truthful history has to carry both facts at once. The school grant was one of the most generous civic acts in American founding law. It was also part of the machinery by which the United States transformed Indigenous homelands into surveyed, saleable, state-making property. That tension does not make the trust less real. It makes the duty heavier. If land came into the schools through a national act of conquest, bargain, survey, and settlement, the least later trustees could do was keep faith with the children for whom the land was reserved.</w:t>
      </w:r>
    </w:p>
    <w:p w14:paraId="031978CD" w14:textId="77777777" w:rsidR="00DC02F5" w:rsidRDefault="00000000">
      <w:pPr>
        <w:pStyle w:val="BodyText"/>
      </w:pPr>
      <w:r>
        <w:t>The 1787 Northwest Ordinance gave the reservation its famous sentence: “Religion, morality, and knowledge” were necessary to good government and human happiness, and therefore “schools and the means of education shall forever be encouraged.” But the 1787 ordinance did not create the section-sixteen grant — the 1785 Land Ordinance did that. The two belong together: one supplied the land, the other supplied the civic reason.</w:t>
      </w:r>
    </w:p>
    <w:p w14:paraId="033BF5CA" w14:textId="77777777" w:rsidR="00DC02F5" w:rsidRDefault="00000000">
      <w:pPr>
        <w:pStyle w:val="BodyText"/>
      </w:pPr>
      <w:r>
        <w:lastRenderedPageBreak/>
        <w:t>From there the pattern moved into statehood. Ohio entered in 1803, the first public-land state. Because so much land inside the new state remained federal, Ohio could not tax it the way the original states taxed their own land. The school grant became part of the bargain: the United States gave land for schools; the new state accepted terms and agreed not to tax federal land. Later states accepted the same bargain in their own admission and enabling acts. That is the compact theory in plain English. The school lands were not a casual gift tossed into statehood. They were consideration in the founding deal between a new state and the Union.</w:t>
      </w:r>
      <w:r>
        <w:rPr>
          <w:vertAlign w:val="superscript"/>
        </w:rPr>
        <w:t>5</w:t>
      </w:r>
    </w:p>
    <w:p w14:paraId="2E510B65" w14:textId="77777777" w:rsidR="00DC02F5" w:rsidRDefault="00000000">
      <w:pPr>
        <w:pStyle w:val="BodyText"/>
      </w:pPr>
      <w:r>
        <w:t>This is also where the original states and the later public-land states part company. Rhode Island, Delaware, Connecticut, New Jersey, New Hampshire, Massachusetts, Maryland, and the other original states entered the Union already holding their own soil. Vermont, Kentucky, Tennessee, Maine, and West Virginia came by different paths. Many of them built school funds or education clauses from state sources. Some were honorable. Some were later weakened or undone because the same people who created them could amend or repeal them. The federal school-land compact was different. It came from the terms of statehood itself, repeated across the public-land states, and later read by the Supreme Court as the same grant made for the same purpose.</w:t>
      </w:r>
    </w:p>
    <w:p w14:paraId="762EF754" w14:textId="77777777" w:rsidR="00DC02F5" w:rsidRDefault="00000000">
      <w:pPr>
        <w:pStyle w:val="BodyText"/>
      </w:pPr>
      <w:r>
        <w:t>That is the history the reader has to see first. Before Alabama loses the money in a bank, before Oregon sells a forest to itself, before Utah rebuilds from near collapse, we have to understand the founding choice. A poor republic looked west, saw debt, danger, ambition, speculation, civic fragility, and children who had not yet been born, and chose to reserve land for their schools. Hold that picture: it is the measure against which every later betrayal will be judged.</w:t>
      </w:r>
    </w:p>
    <w:p w14:paraId="02D33B52" w14:textId="77777777" w:rsidR="00DC02F5" w:rsidRDefault="00000000">
      <w:pPr>
        <w:pStyle w:val="BodyText"/>
      </w:pPr>
      <w:r>
        <w:t xml:space="preserve">The gift was not charity. It was not a slogan. It was public land put into fiduciary form for a public purpose that was meant to outlive the founders. That is why the trust matters, and why the word does not </w:t>
      </w:r>
      <w:r>
        <w:lastRenderedPageBreak/>
        <w:t>have to appear in every statute for the duty to exist. Property was set apart. A beneficiary was named. The state held what the schools were to receive. That is the substance of a trust.</w:t>
      </w:r>
    </w:p>
    <w:p w14:paraId="7C97582E" w14:textId="77777777" w:rsidR="00DC02F5" w:rsidRDefault="00000000">
      <w:pPr>
        <w:pStyle w:val="BodyText"/>
      </w:pPr>
      <w:r>
        <w:t>What that substance required of the states — the honor it demanded, and how often that honor was kept or betrayed — is the subject of the next chapter.</w:t>
      </w:r>
    </w:p>
    <w:p w14:paraId="551EE109" w14:textId="77777777" w:rsidR="00DC02F5" w:rsidRDefault="00000000">
      <w:r>
        <w:br w:type="page"/>
      </w:r>
    </w:p>
    <w:p w14:paraId="1CABFEA6" w14:textId="77777777" w:rsidR="00DC02F5" w:rsidRDefault="00000000">
      <w:pPr>
        <w:pStyle w:val="Heading1"/>
      </w:pPr>
      <w:bookmarkStart w:id="20" w:name="chapter-3-the-punctilio-of-honor"/>
      <w:bookmarkStart w:id="21" w:name="_Toc231774211"/>
      <w:bookmarkStart w:id="22" w:name="_Toc231774283"/>
      <w:bookmarkEnd w:id="17"/>
      <w:r>
        <w:lastRenderedPageBreak/>
        <w:t>Chapter 3 — The Punctilio of Honor</w:t>
      </w:r>
      <w:bookmarkEnd w:id="21"/>
      <w:bookmarkEnd w:id="22"/>
    </w:p>
    <w:p w14:paraId="0D54DAC2" w14:textId="77777777" w:rsidR="00DC02F5" w:rsidRDefault="00000000">
      <w:pPr>
        <w:pStyle w:val="PullQuote"/>
      </w:pPr>
      <w:r>
        <w:t xml:space="preserve">“A trustee is held to something stricter than the morals of the market place. Not honesty alone, but the punctilio of an honor the most sensitive, is then the standard of behavior.” — Benjamin Cardozo, </w:t>
      </w:r>
      <w:r>
        <w:rPr>
          <w:iCs/>
        </w:rPr>
        <w:t>Meinhard v. Salmon</w:t>
      </w:r>
      <w:r>
        <w:t xml:space="preserve"> (1928)</w:t>
      </w:r>
    </w:p>
    <w:p w14:paraId="0B58FDA7" w14:textId="77777777" w:rsidR="00DC02F5" w:rsidRDefault="00000000">
      <w:pPr>
        <w:pStyle w:val="BodyText"/>
      </w:pPr>
      <w:r>
        <w:t>When a state accepted the school-land grant, it accepted a job, and the job had rules. They were not invented for the occasion. They were the settled duties of a trustee, worked out over centuries, and they are demanding on purpose.</w:t>
      </w:r>
    </w:p>
    <w:p w14:paraId="7007937B" w14:textId="77777777" w:rsidR="00DC02F5" w:rsidRDefault="00000000">
      <w:pPr>
        <w:pStyle w:val="BodyText"/>
      </w:pPr>
      <w:r>
        <w:t>The standard is not the standard of the marketplace. A businessman may drive a hard bargain, look first to his own advantage, and do nothing wrong. A trustee may not. Cardozo put the difference in a single sentence that has governed trust law ever since: a trustee is held “not honesty alone, but the punctilio of an honor the most sensitive.”</w:t>
      </w:r>
      <w:r>
        <w:rPr>
          <w:vertAlign w:val="superscript"/>
        </w:rPr>
        <w:t>1</w:t>
      </w:r>
      <w:r>
        <w:t xml:space="preserve"> The trustee’s own interest disappears; only the beneficiary’s good remains. That is the bar the school-land states agreed to clear.</w:t>
      </w:r>
    </w:p>
    <w:p w14:paraId="6DB1CF24" w14:textId="77777777" w:rsidR="00DC02F5" w:rsidRDefault="00000000">
      <w:pPr>
        <w:pStyle w:val="BodyText"/>
      </w:pPr>
      <w:r>
        <w:t>What does it require in practice? A handful of duties, each of which we will watch a real state honor and a real state break in the chapters that follow:</w:t>
      </w:r>
    </w:p>
    <w:p w14:paraId="596482DA" w14:textId="77777777" w:rsidR="00DC02F5" w:rsidRDefault="00000000">
      <w:pPr>
        <w:numPr>
          <w:ilvl w:val="0"/>
          <w:numId w:val="4"/>
        </w:numPr>
      </w:pPr>
      <w:r>
        <w:rPr>
          <w:b/>
          <w:bCs/>
        </w:rPr>
        <w:t>Undivided loyalty.</w:t>
      </w:r>
      <w:r>
        <w:t xml:space="preserve"> The trustee acts only for the beneficiary — here, the schools — and never to serve the state’s general budget, a favored industry, or the trustee’s own convenience.</w:t>
      </w:r>
    </w:p>
    <w:p w14:paraId="7FFCB8E3" w14:textId="77777777" w:rsidR="00DC02F5" w:rsidRDefault="00000000">
      <w:pPr>
        <w:numPr>
          <w:ilvl w:val="0"/>
          <w:numId w:val="4"/>
        </w:numPr>
      </w:pPr>
      <w:r>
        <w:rPr>
          <w:b/>
          <w:bCs/>
        </w:rPr>
        <w:t>Prudence and the preservation of the corpus.</w:t>
      </w:r>
      <w:r>
        <w:t xml:space="preserve"> The principal — the land, and the fund built from selling it — is to be kept whole and made productive, not spent. Income may go to the schools; the corpus is forever.</w:t>
      </w:r>
    </w:p>
    <w:p w14:paraId="1D4DD88C" w14:textId="77777777" w:rsidR="00DC02F5" w:rsidRDefault="00000000">
      <w:pPr>
        <w:numPr>
          <w:ilvl w:val="0"/>
          <w:numId w:val="4"/>
        </w:numPr>
      </w:pPr>
      <w:r>
        <w:rPr>
          <w:b/>
          <w:bCs/>
        </w:rPr>
        <w:t>Competence and the duty to account.</w:t>
      </w:r>
      <w:r>
        <w:t xml:space="preserve"> A trustee must know what the trust holds, manage it with skill, and be able to show, to the penny, what came in and where it went.</w:t>
      </w:r>
    </w:p>
    <w:p w14:paraId="4E7944E8" w14:textId="77777777" w:rsidR="00DC02F5" w:rsidRDefault="00000000">
      <w:pPr>
        <w:numPr>
          <w:ilvl w:val="0"/>
          <w:numId w:val="4"/>
        </w:numPr>
      </w:pPr>
      <w:r>
        <w:rPr>
          <w:b/>
          <w:bCs/>
        </w:rPr>
        <w:lastRenderedPageBreak/>
        <w:t>Supervision and enforcement.</w:t>
      </w:r>
      <w:r>
        <w:t xml:space="preserve"> The duty does not run out at the statehouse door. The trustee must police its own agents and tenants and insist on full value for the trust’s lands.</w:t>
      </w:r>
    </w:p>
    <w:p w14:paraId="1D554E27" w14:textId="77777777" w:rsidR="00DC02F5" w:rsidRDefault="00000000">
      <w:r>
        <w:t>None of this needed the word “trust” written into the grant, and usually it was not. The substance was there — property, a beneficiary, a duty — and the substance is what the law looks to. The founders chose this instrument precisely because of its severity. They were handing a fortune to governments that would be tempted, in every lean year for two centuries, to treat it as their own. The trust was the lock they put on the door.</w:t>
      </w:r>
    </w:p>
    <w:p w14:paraId="6CA3E7C9" w14:textId="77777777" w:rsidR="00DC02F5" w:rsidRDefault="00000000">
      <w:pPr>
        <w:pStyle w:val="BodyText"/>
      </w:pPr>
      <w:r>
        <w:t>The rest of this book is the record of who kept that honor and who did not - told not state by state, in this part, but duty by duty, so that the principle and its breach stand side by side.</w:t>
      </w:r>
    </w:p>
    <w:p w14:paraId="66FFFE02" w14:textId="77777777" w:rsidR="00DC02F5" w:rsidRDefault="00000000">
      <w:pPr>
        <w:pStyle w:val="BodyText"/>
      </w:pPr>
      <w:r>
        <w:t>One distinction has to be made before the breach stories begin. The school trust is not doubtful. The duty is not a coin toss. A state that accepted school lands accepted fiduciary obligations, whether or not the first statute used the word “trust.” The Supreme Court’s school-land cases have never given a state permission, on the merits, to treat the school corpus as its own pocket money.</w:t>
      </w:r>
    </w:p>
    <w:p w14:paraId="05C07376" w14:textId="77777777" w:rsidR="00DC02F5" w:rsidRDefault="00000000">
      <w:pPr>
        <w:pStyle w:val="BodyText"/>
      </w:pPr>
      <w:r>
        <w:t>What has failed, over and over, is enforcement. Sometimes no one knew enough to object. Sometimes the money vanished into general finance so quietly that no beneficiary could see what had been lost. Sometimes a court told the schools they were too late, or in the wrong forum, or facing a sovereign that had not consented to be sued. Those losses are real. Oregon has lived inside them. But they are not losses about whether the duty exists. They are losses about whether anyone can make the trustee honor it.</w:t>
      </w:r>
    </w:p>
    <w:p w14:paraId="431A3C73" w14:textId="77777777" w:rsidR="00DC02F5" w:rsidRDefault="00000000">
      <w:pPr>
        <w:pStyle w:val="BodyText"/>
      </w:pPr>
      <w:r>
        <w:t xml:space="preserve">That distinction is the spine of everything that follows: </w:t>
      </w:r>
      <w:r>
        <w:rPr>
          <w:b/>
          <w:bCs/>
        </w:rPr>
        <w:t>the duty is binding law; the remedy has to be built.</w:t>
      </w:r>
      <w:r>
        <w:t xml:space="preserve"> A trust without a visible beneficiary, a clear account, a named enforcer, and a courthouse door </w:t>
      </w:r>
      <w:r>
        <w:lastRenderedPageBreak/>
        <w:t>still may be a trust. It is simply an unguarded one. Every broken state in this book is the story of that gap. Every recovery begins when someone stands where the missing guard should have stood.</w:t>
      </w:r>
    </w:p>
    <w:p w14:paraId="608DE5A9" w14:textId="77777777" w:rsidR="00DC02F5" w:rsidRDefault="00000000">
      <w:r>
        <w:br w:type="page"/>
      </w:r>
    </w:p>
    <w:p w14:paraId="3EB07516" w14:textId="77777777" w:rsidR="00DC02F5" w:rsidRDefault="00000000">
      <w:pPr>
        <w:pStyle w:val="Heading1"/>
      </w:pPr>
      <w:bookmarkStart w:id="23" w:name="Xf0721b9a7c84c277dfa52e2a9db37e4de03c9e3"/>
      <w:bookmarkStart w:id="24" w:name="_Toc231774212"/>
      <w:bookmarkStart w:id="25" w:name="_Toc231774284"/>
      <w:bookmarkEnd w:id="20"/>
      <w:r>
        <w:lastRenderedPageBreak/>
        <w:t>Chapter 4 — Loyalty: The Gift Treated as Pocket Money</w:t>
      </w:r>
      <w:bookmarkEnd w:id="24"/>
      <w:bookmarkEnd w:id="25"/>
    </w:p>
    <w:p w14:paraId="1288AE07" w14:textId="77777777" w:rsidR="00DC02F5" w:rsidRDefault="00000000">
      <w:pPr>
        <w:pStyle w:val="PullQuote"/>
      </w:pPr>
      <w:r>
        <w:t>“He that is entrusted with the interest of others, cannot be allowed to make the business an object of interest to himself.”</w:t>
      </w:r>
      <w:r>
        <w:rPr>
          <w:vertAlign w:val="superscript"/>
        </w:rPr>
        <w:t>1</w:t>
      </w:r>
    </w:p>
    <w:p w14:paraId="2088FEA3" w14:textId="77777777" w:rsidR="00DC02F5" w:rsidRDefault="00000000">
      <w:pPr>
        <w:pStyle w:val="PullQuote"/>
      </w:pPr>
      <w:r>
        <w:t xml:space="preserve">— Lord Chancellor King, </w:t>
      </w:r>
      <w:r>
        <w:rPr>
          <w:iCs/>
        </w:rPr>
        <w:t>Keech v. Sandford</w:t>
      </w:r>
      <w:r>
        <w:t xml:space="preserve"> (1726)</w:t>
      </w:r>
    </w:p>
    <w:p w14:paraId="429D809E" w14:textId="77777777" w:rsidR="00DC02F5" w:rsidRDefault="00000000">
      <w:pPr>
        <w:pStyle w:val="BodyText"/>
      </w:pPr>
      <w:r>
        <w:t>Trust law begins with a plain sentence: the trustee does not own the trust for himself. He holds it for another. In the school-land grants, the “another” was not the governor, the legislature, the road department, the mining town, the county machine, or the favored buyer. The beneficiary was the schools.</w:t>
      </w:r>
    </w:p>
    <w:p w14:paraId="2F5BF93A" w14:textId="77777777" w:rsidR="00DC02F5" w:rsidRDefault="00000000">
      <w:pPr>
        <w:pStyle w:val="BodyText"/>
      </w:pPr>
      <w:r>
        <w:t>That is the duty of loyalty. It is older than the American republic and sharper than ordinary public-interest balancing. A state may do many things for many constituencies. But when it holds school trust land, it has taken off one hat and put on another. It is no longer simply sovereign; it is trustee.</w:t>
      </w:r>
    </w:p>
    <w:p w14:paraId="7674F903" w14:textId="77777777" w:rsidR="00DC02F5" w:rsidRDefault="00000000">
      <w:pPr>
        <w:pStyle w:val="BodyText"/>
      </w:pPr>
      <w:r>
        <w:t>The breach usually does not announce itself as theft. It comes wrapped in useful words: settlement, development, roads, rescue, economic relief, administrative convenience. Often the competing public purpose is real. That is exactly why loyalty matters. If every attractive public purpose can borrow the school trust’s balance sheet, the trust has no separate existence.</w:t>
      </w:r>
    </w:p>
    <w:p w14:paraId="0081EB38" w14:textId="77777777" w:rsidR="00DC02F5" w:rsidRDefault="00000000">
      <w:pPr>
        <w:pStyle w:val="Heading2"/>
      </w:pPr>
      <w:bookmarkStart w:id="26" w:name="principle"/>
      <w:bookmarkStart w:id="27" w:name="_Toc231774213"/>
      <w:r>
        <w:t>Principle</w:t>
      </w:r>
      <w:bookmarkEnd w:id="27"/>
    </w:p>
    <w:p w14:paraId="13297207" w14:textId="77777777" w:rsidR="00DC02F5" w:rsidRDefault="00000000">
      <w:r>
        <w:t>A trustee must act with an undivided mind. The school trust may earn income for the schools, preserve corpus for the schools, exchange assets for the schools, and litigate for the schools. It may not be made to subsidize another state program simply because the same state happens to control both sides of the transaction.</w:t>
      </w:r>
    </w:p>
    <w:p w14:paraId="3808303D" w14:textId="77777777" w:rsidR="00DC02F5" w:rsidRDefault="00000000">
      <w:pPr>
        <w:pStyle w:val="BodyText"/>
      </w:pPr>
      <w:r>
        <w:rPr>
          <w:i/>
          <w:iCs/>
        </w:rPr>
        <w:lastRenderedPageBreak/>
        <w:t>Magruder v. Drury</w:t>
      </w:r>
      <w:r>
        <w:t xml:space="preserve"> put the baseline plainly: “a trustee can make no profit out of his trust.”</w:t>
      </w:r>
      <w:r>
        <w:rPr>
          <w:vertAlign w:val="superscript"/>
        </w:rPr>
        <w:t>2</w:t>
      </w:r>
      <w:r>
        <w:t xml:space="preserve"> And Cardozo, in </w:t>
      </w:r>
      <w:r>
        <w:rPr>
          <w:i/>
          <w:iCs/>
        </w:rPr>
        <w:t>Meinhard v. Salmon</w:t>
      </w:r>
      <w:r>
        <w:t>, set the standard that has governed ever since</w:t>
      </w:r>
      <w:r>
        <w:rPr>
          <w:vertAlign w:val="superscript"/>
        </w:rPr>
        <w:t>3</w:t>
      </w:r>
      <w:r>
        <w:t>: “A trustee is held to something stricter than the morals of the market place. Not honesty alone, but the punctilio of an honor the most sensitive, is then the standard of behavior.”</w:t>
      </w:r>
    </w:p>
    <w:p w14:paraId="2D2F7442" w14:textId="77777777" w:rsidR="00DC02F5" w:rsidRDefault="00000000">
      <w:pPr>
        <w:pStyle w:val="BodyText"/>
      </w:pPr>
      <w:r>
        <w:t>The school trust is not exempt from that standard because its trustee is a state.</w:t>
      </w:r>
    </w:p>
    <w:p w14:paraId="108BCCEA" w14:textId="77777777" w:rsidR="00DC02F5" w:rsidRDefault="00000000">
      <w:pPr>
        <w:pStyle w:val="Heading2"/>
      </w:pPr>
      <w:bookmarkStart w:id="28" w:name="abuse"/>
      <w:bookmarkStart w:id="29" w:name="_Toc231774214"/>
      <w:bookmarkEnd w:id="26"/>
      <w:r>
        <w:t>Abuse</w:t>
      </w:r>
      <w:bookmarkEnd w:id="29"/>
    </w:p>
    <w:p w14:paraId="5E40E4AE" w14:textId="77777777" w:rsidR="00DC02F5" w:rsidRDefault="00000000">
      <w:r>
        <w:t>The simplest loyalty breach is the one New Mexico tried in the early twentieth century</w:t>
      </w:r>
      <w:r>
        <w:rPr>
          <w:vertAlign w:val="superscript"/>
        </w:rPr>
        <w:t>4</w:t>
      </w:r>
      <w:r>
        <w:t xml:space="preserve">. Congress had granted land for schools and other institutions. New Mexico used income from those lands to advertise the state. In </w:t>
      </w:r>
      <w:r>
        <w:rPr>
          <w:i/>
          <w:iCs/>
        </w:rPr>
        <w:t>Ervien</w:t>
      </w:r>
      <w:r>
        <w:t>, the United States objected, and the Supreme Court agreed: the federal grant could not be treated as a general promotional fund. The trust purpose controlled.</w:t>
      </w:r>
    </w:p>
    <w:p w14:paraId="7A91BF79" w14:textId="77777777" w:rsidR="00DC02F5" w:rsidRDefault="00000000">
      <w:pPr>
        <w:pStyle w:val="BodyText"/>
      </w:pPr>
      <w:r>
        <w:t>The modern forms are subtler. Washington tried to use school timber revenue to soften an industry crisis. Mississippi counties treated sixteenth-section lands as private convenience for favored lessees. Arizona’s trust was pressed into highway financing. Oregon’s Elliott State Forest became the cleanest contemporary illustration: the state was both seller and buyer, both trustee and policy beneficiary, both price-setter and public-purpose advocate.</w:t>
      </w:r>
    </w:p>
    <w:p w14:paraId="446B841C" w14:textId="77777777" w:rsidR="00DC02F5" w:rsidRDefault="00000000">
      <w:pPr>
        <w:pStyle w:val="BoxedHeaderSimple"/>
      </w:pPr>
      <w:r>
        <w:t>When the Seller Is Also the Buyer</w:t>
      </w:r>
    </w:p>
    <w:p w14:paraId="6BB80973" w14:textId="77777777" w:rsidR="00DC02F5" w:rsidRDefault="00000000">
      <w:pPr>
        <w:pStyle w:val="BoxBody"/>
      </w:pPr>
      <w:r>
        <w:t xml:space="preserve">Oregon’s Elliott State Forest shows why loyalty is not a decorative doctrine. In 2022 testimony to Oregon’s State Land Board, Margaret Bird pointed to a Mason, Bruce &amp; Girard “investment value” of </w:t>
      </w:r>
      <w:r>
        <w:rPr>
          <w:b/>
          <w:bCs/>
        </w:rPr>
        <w:t>$99.6 million</w:t>
      </w:r>
      <w:r>
        <w:t xml:space="preserve"> for the school trust’s interest, while public-market evidence discussed in the same record put the larger forest value roughly in the </w:t>
      </w:r>
      <w:r>
        <w:rPr>
          <w:b/>
          <w:bCs/>
        </w:rPr>
        <w:t>$1 billion to $1.3 billion</w:t>
      </w:r>
      <w:r>
        <w:t xml:space="preserve"> range. The 2024 legislative funding package for decoupling supplied </w:t>
      </w:r>
      <w:r>
        <w:rPr>
          <w:b/>
          <w:bCs/>
        </w:rPr>
        <w:t>$121 million in General Fund money</w:t>
      </w:r>
      <w:r>
        <w:t xml:space="preserve"> and </w:t>
      </w:r>
      <w:r>
        <w:rPr>
          <w:b/>
          <w:bCs/>
        </w:rPr>
        <w:lastRenderedPageBreak/>
        <w:t>$100 million in bond funding</w:t>
      </w:r>
      <w:r>
        <w:t xml:space="preserve">, for a total of </w:t>
      </w:r>
      <w:r>
        <w:rPr>
          <w:b/>
          <w:bCs/>
        </w:rPr>
        <w:t>$221 million</w:t>
      </w:r>
      <w:r>
        <w:t>. The formal question sounded technical: what is the school trust owed when the state wants conservation control? The loyalty question was simpler: can the state sit on both sides of the table and call the price fair?</w:t>
      </w:r>
    </w:p>
    <w:p w14:paraId="0E4F7478" w14:textId="77777777" w:rsidR="00DC02F5" w:rsidRDefault="00000000">
      <w:pPr>
        <w:pStyle w:val="BodyText"/>
      </w:pPr>
      <w:r>
        <w:t xml:space="preserve">A loyalty breach can also hide inside an exchange. Utah’s reform generation built one of the country’s most admired trust institutions. The 1998 Utah Schools and Lands Exchange Act, connected to the Grand Staircase-Escalante controversy, brought Utah’s trust a major package that included a </w:t>
      </w:r>
      <w:r>
        <w:rPr>
          <w:b/>
          <w:bCs/>
        </w:rPr>
        <w:t>$50 million</w:t>
      </w:r>
      <w:r>
        <w:t xml:space="preserve"> cash component</w:t>
      </w:r>
      <w:r>
        <w:rPr>
          <w:vertAlign w:val="superscript"/>
        </w:rPr>
        <w:t>5</w:t>
      </w:r>
      <w:r>
        <w:t>. That is the honorable side of exchange: blocked or scattered school lands can be converted into assets that actually serve the beneficiary.</w:t>
      </w:r>
    </w:p>
    <w:p w14:paraId="1933E475" w14:textId="77777777" w:rsidR="00DC02F5" w:rsidRDefault="00000000">
      <w:pPr>
        <w:pStyle w:val="BodyText"/>
      </w:pPr>
      <w:r>
        <w:t>But the same tool can be misused. The current Book Cliffs controversy tests whether a noncompetitive transfer to another arm of state government can meet the same loyalty standard. The question is not whether the receiving state program has a public purpose. It almost certainly does. The question is whether the school trust receives what a loyal trustee would demand from an arm’s-length buyer.</w:t>
      </w:r>
    </w:p>
    <w:p w14:paraId="76D00D34" w14:textId="77777777" w:rsidR="00DC02F5" w:rsidRDefault="00000000">
      <w:pPr>
        <w:pStyle w:val="Heading2"/>
      </w:pPr>
      <w:bookmarkStart w:id="30" w:name="honorable-counterexample"/>
      <w:bookmarkStart w:id="31" w:name="_Toc231774215"/>
      <w:bookmarkEnd w:id="28"/>
      <w:r>
        <w:t>Honorable Counterexample</w:t>
      </w:r>
      <w:bookmarkEnd w:id="31"/>
    </w:p>
    <w:p w14:paraId="269786A4" w14:textId="77777777" w:rsidR="00DC02F5" w:rsidRDefault="00000000">
      <w:r>
        <w:t xml:space="preserve">The counterexample to divided loyalty is not paralysis. It is disciplined conversion. New Mexico could not use trust income for advertising, but it could manage lands and funds for beneficiary return. Washington could not raid timber income for general economic relief — when its 1982 recovery act tore up high-priced timber contracts to rescue the industry during a recession, the state supreme court held in </w:t>
      </w:r>
      <w:r>
        <w:rPr>
          <w:i/>
          <w:iCs/>
        </w:rPr>
        <w:t>County of Skamania v. State</w:t>
      </w:r>
      <w:r>
        <w:t xml:space="preserve"> (1984) that a trustee owes undivided loyalty and may not take the loss out of schoolchildren’s pockets to cushion the wider economy. (Do not confuse this with Washington’s later </w:t>
      </w:r>
      <w:r>
        <w:rPr>
          <w:i/>
          <w:iCs/>
        </w:rPr>
        <w:t>McCleary</w:t>
      </w:r>
      <w:r>
        <w:t xml:space="preserve"> school-funding fight, which is a tax-and-appropriations case, not a trust-lands case.) The duty did not forbid managing the forests; it forbade managing them for anyone other than the schools. Utah could </w:t>
      </w:r>
      <w:r>
        <w:lastRenderedPageBreak/>
        <w:t>exchange trapped trust parcels when the schools received genuine value.</w:t>
      </w:r>
    </w:p>
    <w:p w14:paraId="1E151A12" w14:textId="77777777" w:rsidR="00DC02F5" w:rsidRDefault="00000000">
      <w:pPr>
        <w:pStyle w:val="BodyText"/>
      </w:pPr>
      <w:r>
        <w:t>That is the rule worth carrying through the rest of the book: the trust can change form. Land can become money. Money can become diversified investments. Fragmented parcels can become more manageable assets. But the beneficiary cannot change. The schools remain the beneficiary all the way through.</w:t>
      </w:r>
    </w:p>
    <w:p w14:paraId="2A95EBDF" w14:textId="77777777" w:rsidR="00DC02F5" w:rsidRDefault="00000000">
      <w:r>
        <w:br w:type="page"/>
      </w:r>
    </w:p>
    <w:p w14:paraId="5486A0DA" w14:textId="77777777" w:rsidR="00DC02F5" w:rsidRDefault="00000000">
      <w:pPr>
        <w:pStyle w:val="Heading1"/>
      </w:pPr>
      <w:bookmarkStart w:id="32" w:name="Xb03ca550012684e798b5a556422781d37a83e68"/>
      <w:bookmarkStart w:id="33" w:name="_Toc231774216"/>
      <w:bookmarkStart w:id="34" w:name="_Toc231774285"/>
      <w:bookmarkEnd w:id="23"/>
      <w:bookmarkEnd w:id="30"/>
      <w:r>
        <w:lastRenderedPageBreak/>
        <w:t>Chapter 5 — Prudence: Do Not Eat the Seed Corn</w:t>
      </w:r>
      <w:bookmarkEnd w:id="33"/>
      <w:bookmarkEnd w:id="34"/>
    </w:p>
    <w:p w14:paraId="4BD5B90A" w14:textId="77777777" w:rsidR="00DC02F5" w:rsidRDefault="00000000">
      <w:pPr>
        <w:pStyle w:val="PullQuote"/>
      </w:pPr>
      <w:r>
        <w:t>“The trust must be administered with an eye single to the interests of the beneficiaries.”</w:t>
      </w:r>
      <w:r>
        <w:rPr>
          <w:vertAlign w:val="superscript"/>
        </w:rPr>
        <w:t>1</w:t>
      </w:r>
    </w:p>
    <w:p w14:paraId="61289969" w14:textId="77777777" w:rsidR="00DC02F5" w:rsidRDefault="00000000">
      <w:pPr>
        <w:pStyle w:val="PullQuote"/>
      </w:pPr>
      <w:r w:rsidRPr="00437C84">
        <w:rPr>
          <w:lang w:val="es-ES"/>
        </w:rPr>
        <w:t xml:space="preserve">— </w:t>
      </w:r>
      <w:r w:rsidRPr="00437C84">
        <w:rPr>
          <w:iCs/>
          <w:lang w:val="es-ES"/>
        </w:rPr>
        <w:t xml:space="preserve">Lassen v. Arizona ex </w:t>
      </w:r>
      <w:proofErr w:type="spellStart"/>
      <w:r w:rsidRPr="00437C84">
        <w:rPr>
          <w:iCs/>
          <w:lang w:val="es-ES"/>
        </w:rPr>
        <w:t>rel.</w:t>
      </w:r>
      <w:proofErr w:type="spellEnd"/>
      <w:r w:rsidRPr="00437C84">
        <w:rPr>
          <w:iCs/>
          <w:lang w:val="es-ES"/>
        </w:rPr>
        <w:t xml:space="preserve"> </w:t>
      </w:r>
      <w:r>
        <w:rPr>
          <w:iCs/>
        </w:rPr>
        <w:t>Arizona Highway Department</w:t>
      </w:r>
      <w:r>
        <w:t xml:space="preserve"> (1967)</w:t>
      </w:r>
    </w:p>
    <w:p w14:paraId="6D9236BF" w14:textId="77777777" w:rsidR="00DC02F5" w:rsidRDefault="00000000">
      <w:pPr>
        <w:pStyle w:val="BodyText"/>
      </w:pPr>
      <w:r>
        <w:t>Prudence is loyalty’s practical twin. Loyalty asks, “Who are you serving?” Prudence asks, “Are you keeping the thing you were given?”</w:t>
      </w:r>
    </w:p>
    <w:p w14:paraId="1D4B22EB" w14:textId="77777777" w:rsidR="00DC02F5" w:rsidRDefault="00000000">
      <w:pPr>
        <w:pStyle w:val="BodyText"/>
      </w:pPr>
      <w:r>
        <w:t>The school-land grant was not meant to be a one-time coupon. It was a seed asset. Congress gave land because land was the federal government’s durable currency. The states were expected to turn that corpus into continuing school support. A trustee could sell, lease, exchange, or invest, but only in ways that preserved and enlarged the gift’s capacity to serve schools over time.</w:t>
      </w:r>
    </w:p>
    <w:p w14:paraId="668749A4" w14:textId="77777777" w:rsidR="00DC02F5" w:rsidRDefault="00000000">
      <w:pPr>
        <w:pStyle w:val="Heading2"/>
      </w:pPr>
      <w:bookmarkStart w:id="35" w:name="principle-1"/>
      <w:bookmarkStart w:id="36" w:name="_Toc231774217"/>
      <w:r>
        <w:t>Principle</w:t>
      </w:r>
      <w:bookmarkEnd w:id="36"/>
    </w:p>
    <w:p w14:paraId="6F210239" w14:textId="77777777" w:rsidR="00DC02F5" w:rsidRDefault="00000000">
      <w:r>
        <w:t>A permanent school fund is not a savings account with sentimental value. It is the trust’s converted corpus. Once land becomes money, the money carries the same obligation. Spend the income as law permits; preserve the principal. If principal must be reduced, the trustee should be able to explain why the beneficiary is better off, not merely why the treasury is relieved.</w:t>
      </w:r>
    </w:p>
    <w:p w14:paraId="605F4941" w14:textId="77777777" w:rsidR="00DC02F5" w:rsidRDefault="00000000">
      <w:pPr>
        <w:pStyle w:val="BodyText"/>
      </w:pPr>
      <w:r>
        <w:t>The difference between income and corpus is the difference between harvesting fruit and chopping down the orchard. That distinction is simple enough for a schoolchild, which may be why adults in power so often blur it.</w:t>
      </w:r>
    </w:p>
    <w:p w14:paraId="428A28E4" w14:textId="77777777" w:rsidR="00DC02F5" w:rsidRDefault="00000000">
      <w:pPr>
        <w:pStyle w:val="Heading2"/>
      </w:pPr>
      <w:bookmarkStart w:id="37" w:name="abuse-1"/>
      <w:bookmarkStart w:id="38" w:name="_Toc231774218"/>
      <w:bookmarkEnd w:id="35"/>
      <w:r>
        <w:lastRenderedPageBreak/>
        <w:t>Abuse</w:t>
      </w:r>
      <w:bookmarkEnd w:id="38"/>
    </w:p>
    <w:p w14:paraId="494F8A58" w14:textId="77777777" w:rsidR="00DC02F5" w:rsidRDefault="00000000">
      <w:r>
        <w:t xml:space="preserve">The first and most common way to break the trust was the simplest: you sold the land. The land was always meant to be sold, leased, or worked — the point was to turn it into money for schools. But the founders’ design rested on a distinction a state in a hurry could forget in an afternoon: the difference between </w:t>
      </w:r>
      <w:r>
        <w:rPr>
          <w:i/>
          <w:iCs/>
        </w:rPr>
        <w:t>principal</w:t>
      </w:r>
      <w:r>
        <w:t xml:space="preserve"> and </w:t>
      </w:r>
      <w:r>
        <w:rPr>
          <w:i/>
          <w:iCs/>
        </w:rPr>
        <w:t>income</w:t>
      </w:r>
      <w:r>
        <w:t>. Sell the land and you get a one-time check. Hold it — or invest the check and never touch it — and you get a stream of income forever. The trust was meant to be a perpetual machine. The fire sale broke the machine and spent the parts.</w:t>
      </w:r>
    </w:p>
    <w:p w14:paraId="0B7B31CE" w14:textId="77777777" w:rsidR="00DC02F5" w:rsidRDefault="00000000">
      <w:pPr>
        <w:pStyle w:val="BodyText"/>
      </w:pPr>
      <w:r>
        <w:t xml:space="preserve">Ohio went first and set the worst example. Admitted in 1803 as the first public-land state, it liquidated its one-section grant with no mechanism to preserve a permanent fund. The land became cash, the cash became current spending, and when it was gone it was gone. Ohio’s schoolchildren of the next century inherited the memory of a gift, not the gift. Kansas did the same thing decades later, knowing better — its roughly 2.9-million-acre grant sold off between 1862 and 1915 with no durable wall around the proceeds, and a 1966 rewrite that replaced inviolable-fund language with authority to appropriate “both as to principal and income.” California failed more quietly, by omission: the first state to receive the doubled two-section grant never even </w:t>
      </w:r>
      <w:r>
        <w:rPr>
          <w:i/>
          <w:iCs/>
        </w:rPr>
        <w:t>selected</w:t>
      </w:r>
      <w:r>
        <w:t xml:space="preserve"> part of its entitlement — revenue the schools never saw because no one filed the paperwork to capture it.</w:t>
      </w:r>
    </w:p>
    <w:p w14:paraId="10326B87" w14:textId="77777777" w:rsidR="00DC02F5" w:rsidRDefault="00000000">
      <w:pPr>
        <w:pStyle w:val="BodyText"/>
      </w:pPr>
      <w:r>
        <w:t>The single most spectacular fire sale in American history happened in Chicago. Congress reserved Section 16 of every township for schools; Chicago’s happened to sit on what became the downtown Loop. On October 4, 1833, the town sold the school section — the square mile bounded by today’s Madison, State, Roosevelt, and Halsted streets — for about sixty dollars an acre, some thirty-eight thousand dollars for the whole section</w:t>
      </w:r>
      <w:r>
        <w:rPr>
          <w:vertAlign w:val="superscript"/>
        </w:rPr>
        <w:t>2</w:t>
      </w:r>
      <w:r>
        <w:t xml:space="preserve">, and it sold </w:t>
      </w:r>
      <w:r>
        <w:rPr>
          <w:i/>
          <w:iCs/>
        </w:rPr>
        <w:t>outright</w:t>
      </w:r>
      <w:r>
        <w:t xml:space="preserve"> rather than leasing and keeping title. Had Chicago held that square mile and merely rented it out, the </w:t>
      </w:r>
      <w:r>
        <w:lastRenderedPageBreak/>
        <w:t>schools would today sit atop an endowment beyond reckoning. Instead the richest school section in America was cashed out for the price of a few buildings. It was not corruption or theft — just a permanent asset traded for a quick dollar by people who could not imagine how long forever would turn out to be.</w:t>
      </w:r>
    </w:p>
    <w:p w14:paraId="7953DCA7" w14:textId="77777777" w:rsidR="00DC02F5" w:rsidRDefault="00000000">
      <w:pPr>
        <w:pStyle w:val="BodyText"/>
      </w:pPr>
      <w:r>
        <w:t xml:space="preserve">Some states made it worse by capping the price </w:t>
      </w:r>
      <w:r>
        <w:rPr>
          <w:i/>
          <w:iCs/>
        </w:rPr>
        <w:t>by law</w:t>
      </w:r>
      <w:r>
        <w:t>. Wisconsin — a one-section state, with that much less margin for error — capped its university-land grant at three dollars an acre while good Wisconsin land sold for ten to twenty, sold it fast at the ceiling over its own regents’ protests, raised a total of about $138,240, and then loaned much of even that out on shaky mortgages never seen again. A later board of land commissioners confessed the state had managed a sacred trust with less care than “a man of ordinary judgment”</w:t>
      </w:r>
      <w:r>
        <w:rPr>
          <w:vertAlign w:val="superscript"/>
        </w:rPr>
        <w:t>3</w:t>
      </w:r>
      <w:r>
        <w:t xml:space="preserve"> would give his own affairs. Michigan showed you did not even need a villain: it set a fair minimum price for its school land, then opened a second window and slashed the price of its </w:t>
      </w:r>
      <w:r>
        <w:rPr>
          <w:i/>
          <w:iCs/>
        </w:rPr>
        <w:t>road and canal</w:t>
      </w:r>
      <w:r>
        <w:t xml:space="preserve"> land to thirty or forty cents an acre, so buyers took the bargain acres and left the school sections sitting. And once in a while the fire sale ended in a hole in the ground: Alabama set aside its 1836 federal-surplus share — $669,086.78</w:t>
      </w:r>
      <w:r>
        <w:rPr>
          <w:vertAlign w:val="superscript"/>
        </w:rPr>
        <w:t>4</w:t>
      </w:r>
      <w:r>
        <w:t xml:space="preserve"> — for the schools, put it in the state bank to keep it safe, and watched it vanish when the bank collapsed in 1843. Not stolen by any one thief; just gone, swallowed by a failed institution the state had trusted with its children’s future.</w:t>
      </w:r>
    </w:p>
    <w:p w14:paraId="2144DEDE" w14:textId="77777777" w:rsidR="00DC02F5" w:rsidRDefault="00000000">
      <w:pPr>
        <w:pStyle w:val="BodyText"/>
      </w:pPr>
      <w:r>
        <w:t>Alabama is the purest lesson in imprudence the record holds: an entire school endowment, lost not to a hundred small thefts but to one bad decision to keep the children’s money in a single bank. When the State Bank of Alabama failed, the schools’ share failed with it. A prudent trustee does not put the corpus where one collapse can end it.</w:t>
      </w:r>
    </w:p>
    <w:p w14:paraId="6A26A936" w14:textId="77777777" w:rsidR="00DC02F5" w:rsidRDefault="00000000">
      <w:pPr>
        <w:pStyle w:val="BodyText"/>
      </w:pPr>
      <w:r>
        <w:t xml:space="preserve">Nevada carried the fire sale to its logical end. From close to four million acres it sold or swapped away nearly the entire endowment; what remains is about </w:t>
      </w:r>
      <w:r>
        <w:rPr>
          <w:b/>
          <w:bCs/>
        </w:rPr>
        <w:t>2,914 acres</w:t>
      </w:r>
      <w:r>
        <w:t xml:space="preserve">, producing </w:t>
      </w:r>
      <w:r>
        <w:rPr>
          <w:b/>
          <w:bCs/>
        </w:rPr>
        <w:t>less than $5,000 a year</w:t>
      </w:r>
      <w:r>
        <w:rPr>
          <w:vertAlign w:val="superscript"/>
        </w:rPr>
        <w:t>5</w:t>
      </w:r>
      <w:r>
        <w:t xml:space="preserve">, </w:t>
      </w:r>
      <w:r>
        <w:lastRenderedPageBreak/>
        <w:t>while neighboring Colorado, which held on, draws tens of millions. A second, arguably deeper Nevada failure runs alongside it: as the driest state, Nevada bargained for the right to choose where its parcels sat in exchange for taking only two sections per township, then never pressed a large additional-acreage claim it may have had — simply by never asking. Selling cheap is bad stewardship; never claiming what the children were owed is a trustee who never showed up.</w:t>
      </w:r>
    </w:p>
    <w:p w14:paraId="68367028" w14:textId="77777777" w:rsidR="00DC02F5" w:rsidRDefault="00000000">
      <w:pPr>
        <w:pStyle w:val="BodyText"/>
      </w:pPr>
      <w:r>
        <w:t xml:space="preserve">The twentieth-century version of the same breach was the raid: spending principal, or redirecting income, to a non-beneficiary purpose. Arizona’s Proposition 123 was sold as a way to move money to classrooms, and classrooms badly needed it — but the trust question is different from the budget question, and by a contemporary 2016 analysis the measure was an approximately </w:t>
      </w:r>
      <w:r>
        <w:rPr>
          <w:b/>
          <w:bCs/>
        </w:rPr>
        <w:t>$2 billion</w:t>
      </w:r>
      <w:r>
        <w:t xml:space="preserve"> draw against corpus.</w:t>
      </w:r>
    </w:p>
    <w:p w14:paraId="0B798BD2" w14:textId="77777777" w:rsidR="00DC02F5" w:rsidRDefault="00000000">
      <w:pPr>
        <w:pStyle w:val="BoxedHeaderSimple"/>
      </w:pPr>
      <w:r>
        <w:t>Don’t Eat the Seed Corn</w:t>
      </w:r>
    </w:p>
    <w:p w14:paraId="50F5B03C" w14:textId="77777777" w:rsidR="00DC02F5" w:rsidRDefault="00000000">
      <w:pPr>
        <w:pStyle w:val="BoxBody"/>
      </w:pPr>
      <w:r>
        <w:t>The raid is not a museum piece. As this book was being written, trust-land advocates warned that Nebraska was considering a sweep from a Permanent School Fund built at statehood in 1867, to plug a one-time hole in the state budget. Defenders called the money “excess earnings.” In a perpetual trust there is no such thing: the interest is the engine, and you do not raid the engine. Nebraska had learned this once before – fire-sale liquidations nearly bankrupted its school trust in the 1890s until the 1897 Sheldon Act restored discipline. Farmers have a name for spending the principal to get through a hard winter. They call it eating your seed corn, and they know what spring looks like after you do.</w:t>
      </w:r>
    </w:p>
    <w:p w14:paraId="7C76C96E" w14:textId="77777777" w:rsidR="00DC02F5" w:rsidRDefault="00000000">
      <w:pPr>
        <w:pStyle w:val="BoxedHeaderSimple"/>
      </w:pPr>
      <w:r>
        <w:t>The Corpus Test</w:t>
      </w:r>
    </w:p>
    <w:p w14:paraId="741A86C8" w14:textId="77777777" w:rsidR="00DC02F5" w:rsidRDefault="00000000">
      <w:pPr>
        <w:pStyle w:val="BoxBody"/>
      </w:pPr>
      <w:r>
        <w:t>Before any sale, exchange, raid, or diversion, ask four questions.</w:t>
      </w:r>
    </w:p>
    <w:p w14:paraId="38B19061" w14:textId="77777777" w:rsidR="00DC02F5" w:rsidRDefault="00000000">
      <w:pPr>
        <w:numPr>
          <w:ilvl w:val="0"/>
          <w:numId w:val="5"/>
        </w:numPr>
      </w:pPr>
      <w:r>
        <w:t>Is the trust receiving fair market value or a clearly documented equivalent?</w:t>
      </w:r>
    </w:p>
    <w:p w14:paraId="0EFCBE78" w14:textId="77777777" w:rsidR="00DC02F5" w:rsidRDefault="00000000">
      <w:pPr>
        <w:numPr>
          <w:ilvl w:val="0"/>
          <w:numId w:val="5"/>
        </w:numPr>
      </w:pPr>
      <w:r>
        <w:lastRenderedPageBreak/>
        <w:t>Is the principal preserved, or is principal being spent as if it were income?</w:t>
      </w:r>
    </w:p>
    <w:p w14:paraId="1123C448" w14:textId="77777777" w:rsidR="00DC02F5" w:rsidRDefault="00000000">
      <w:pPr>
        <w:numPr>
          <w:ilvl w:val="0"/>
          <w:numId w:val="5"/>
        </w:numPr>
      </w:pPr>
      <w:r>
        <w:t>Would a private trustee, accountable only to the beneficiary, make the same transaction?</w:t>
      </w:r>
    </w:p>
    <w:p w14:paraId="242DCAF6" w14:textId="77777777" w:rsidR="00DC02F5" w:rsidRDefault="00000000">
      <w:pPr>
        <w:numPr>
          <w:ilvl w:val="0"/>
          <w:numId w:val="5"/>
        </w:numPr>
      </w:pPr>
      <w:r>
        <w:t>Can the trustee show the calculation in public?</w:t>
      </w:r>
    </w:p>
    <w:p w14:paraId="0BCFF9D1" w14:textId="77777777" w:rsidR="00DC02F5" w:rsidRDefault="00000000">
      <w:pPr>
        <w:pStyle w:val="BoxBody"/>
      </w:pPr>
      <w:r>
        <w:t>If the answer to any of these is no, the burden should fall on the trustee, not on the schools.</w:t>
      </w:r>
    </w:p>
    <w:p w14:paraId="44AF6E1D" w14:textId="77777777" w:rsidR="00DC02F5" w:rsidRDefault="00000000">
      <w:pPr>
        <w:pStyle w:val="Heading2"/>
      </w:pPr>
      <w:bookmarkStart w:id="39" w:name="honorable-counterexample-1"/>
      <w:bookmarkStart w:id="40" w:name="_Toc231774219"/>
      <w:bookmarkEnd w:id="37"/>
      <w:r>
        <w:t>Honorable Counterexample</w:t>
      </w:r>
      <w:bookmarkEnd w:id="40"/>
    </w:p>
    <w:p w14:paraId="1920284D" w14:textId="77777777" w:rsidR="00DC02F5" w:rsidRDefault="00000000">
      <w:r>
        <w:t>The most famous prudence counterexample begins with one stubborn surveyor. In 1869 William Henry Harrison Beadle rode west into Dakota Territory carrying an idea he could not let go of. He had watched the older states sell their school lands to speculators for a dollar and a quarter an acre, sometimes less, emptying the very fund the land was meant to fill before the ink was dry. The school lands, he wrote, “were the great trust of the future commonwealth and should be absolutely secured from waste and cheap sales.”</w:t>
      </w:r>
    </w:p>
    <w:p w14:paraId="01B6DCAE" w14:textId="77777777" w:rsidR="00DC02F5" w:rsidRDefault="00000000">
      <w:pPr>
        <w:pStyle w:val="BodyText"/>
      </w:pPr>
      <w:r>
        <w:t>When South Dakota wrote its constitution, Beadle got his rule written in: school land could be sold only at its appraised value, and never for less than ten dollars an acre</w:t>
      </w:r>
      <w:r>
        <w:rPr>
          <w:vertAlign w:val="superscript"/>
        </w:rPr>
        <w:t>6</w:t>
      </w:r>
      <w:r>
        <w:t xml:space="preserve"> — at a time when the federal homestead price was a fraction of that. The proceeds would be invested, the principal kept whole forever, and only the interest spent on schools. It was a floor against the fire sale, carved into the founding document where no friendly legislature could quietly file it away. It worked so well that the omnibus admission of 1889 — North Dakota, South Dakota, Montana, and Washington, with Idaho and Wyoming close behind — wrote Beadle’s protections into their constitutions too, by federal requirement. Roughly twenty-two million acres came under the shelter of one surveyor’s refusal to watch the same theft happen again.</w:t>
      </w:r>
    </w:p>
    <w:p w14:paraId="5F3CB65B" w14:textId="77777777" w:rsidR="00DC02F5" w:rsidRDefault="00000000">
      <w:pPr>
        <w:pStyle w:val="BodyText"/>
      </w:pPr>
      <w:r>
        <w:lastRenderedPageBreak/>
        <w:t>Beadle’s real monument is not the statue South Dakota’s schoolchildren funded in pennies and nickels, which still stands in the United States Capitol. It is the lesson the story carries: the floor held because there was “an educated and forewarned constituency”</w:t>
      </w:r>
      <w:r>
        <w:rPr>
          <w:vertAlign w:val="superscript"/>
        </w:rPr>
        <w:t>7</w:t>
      </w:r>
      <w:r>
        <w:t xml:space="preserve"> behind it. A number in a constitution is only as strong as the people who know it is there and will fight when someone tries to lower it. The Beadle Club survives to this day as a standing advocacy body</w:t>
      </w:r>
      <w:r>
        <w:rPr>
          <w:vertAlign w:val="superscript"/>
        </w:rPr>
        <w:t>8</w:t>
      </w:r>
      <w:r>
        <w:t xml:space="preserve"> for the trust — the enforceable text and the organized people who keep watch over it, carried together across a hundred and forty years.</w:t>
      </w:r>
    </w:p>
    <w:p w14:paraId="372CB547" w14:textId="77777777" w:rsidR="00DC02F5" w:rsidRDefault="00000000">
      <w:pPr>
        <w:pStyle w:val="BodyText"/>
      </w:pPr>
      <w:r>
        <w:t xml:space="preserve">North Dakota shows what that discipline does when fortune arrives. The state kept the rule Beadle’s region had built in: revenue from the lands, and especially from the non-renewable resources beneath them, fed the permanent fund rather than the year’s budget. When the Bakken oil boom came, the royalties poured in — and because the rules directed that money into the corpus instead of letting it be spent as it came, the fund swelled to extraordinary size, reported at </w:t>
      </w:r>
      <w:r>
        <w:rPr>
          <w:b/>
          <w:bCs/>
        </w:rPr>
        <w:t>$7.94 billion</w:t>
      </w:r>
      <w:r>
        <w:t xml:space="preserve"> [as of Dec. 11, 2025]</w:t>
      </w:r>
      <w:r>
        <w:rPr>
          <w:vertAlign w:val="superscript"/>
        </w:rPr>
        <w:t>9</w:t>
      </w:r>
      <w:r>
        <w:t xml:space="preserve"> in the Department of Trust Lands’ report to the Board of University and School Lands. Oil is one-time money; the coal seam emptied is empty forever. A well-built trust treats a windfall as principal, so the children of 2075 inherit the value of what was sold in 2025. North Dakota’s billions are not a story about luck. They are a story about a rule, written down in advance, that turned luck into a permanent inheritance.</w:t>
      </w:r>
    </w:p>
    <w:p w14:paraId="493324B5" w14:textId="77777777" w:rsidR="00DC02F5" w:rsidRDefault="00000000">
      <w:pPr>
        <w:pStyle w:val="BodyText"/>
      </w:pPr>
      <w:r>
        <w:t xml:space="preserve">New Mexico’s Land Grant Permanent Fund, reported at </w:t>
      </w:r>
      <w:r>
        <w:rPr>
          <w:b/>
          <w:bCs/>
        </w:rPr>
        <w:t>about $32.97 billion</w:t>
      </w:r>
      <w:r>
        <w:t xml:space="preserve"> [as of Dec. 31, 2024]</w:t>
      </w:r>
      <w:r>
        <w:rPr>
          <w:vertAlign w:val="superscript"/>
        </w:rPr>
        <w:t>10</w:t>
      </w:r>
      <w:r>
        <w:t xml:space="preserve">, is the strongest single contemporary illustration in the record — and the story of </w:t>
      </w:r>
      <w:r>
        <w:rPr>
          <w:i/>
          <w:iCs/>
        </w:rPr>
        <w:t>how</w:t>
      </w:r>
      <w:r>
        <w:t xml:space="preserve"> its words came to have teeth is told in Chapter 7, where enforcement, not prudence alone, did the work.</w:t>
      </w:r>
    </w:p>
    <w:p w14:paraId="4A140B45" w14:textId="77777777" w:rsidR="00DC02F5" w:rsidRDefault="00000000">
      <w:pPr>
        <w:pStyle w:val="BodyText"/>
      </w:pPr>
      <w:r>
        <w:t xml:space="preserve">Prudence is not nostalgia for land. A loyal trustee may sell land. A competent trustee may diversify. A modern trustee may prefer a permanent fund to scattered acres. The duty is not to keep every </w:t>
      </w:r>
      <w:r>
        <w:lastRenderedPageBreak/>
        <w:t>original acre forever. The duty is to avoid converting forever assets into temporary relief.</w:t>
      </w:r>
    </w:p>
    <w:p w14:paraId="7E0135E5" w14:textId="77777777" w:rsidR="00DC02F5" w:rsidRDefault="00000000">
      <w:r>
        <w:br w:type="page"/>
      </w:r>
    </w:p>
    <w:p w14:paraId="0F7D9E9C" w14:textId="77777777" w:rsidR="00DC02F5" w:rsidRDefault="00000000">
      <w:pPr>
        <w:pStyle w:val="Heading1"/>
      </w:pPr>
      <w:bookmarkStart w:id="41" w:name="Xa785ff15bbc5aca2cde698441a7895191522807"/>
      <w:bookmarkStart w:id="42" w:name="_Toc231774220"/>
      <w:bookmarkStart w:id="43" w:name="_Toc231774286"/>
      <w:bookmarkEnd w:id="32"/>
      <w:bookmarkEnd w:id="39"/>
      <w:r>
        <w:lastRenderedPageBreak/>
        <w:t>Chapter 6 — Competence and Accounting: The Books Must Tell the Truth</w:t>
      </w:r>
      <w:bookmarkEnd w:id="42"/>
      <w:bookmarkEnd w:id="43"/>
    </w:p>
    <w:p w14:paraId="613A896E" w14:textId="77777777" w:rsidR="00DC02F5" w:rsidRDefault="00000000">
      <w:pPr>
        <w:pStyle w:val="PullQuote"/>
      </w:pPr>
      <w:r>
        <w:t>“To say that a man is a fiduciary only begins analysis; it gives direction to further inquiry. To whom is he a fiduciary? What obligations does he owe as a fiduciary? In what respect has he failed to discharge these obligations</w:t>
      </w:r>
      <w:r>
        <w:rPr>
          <w:vertAlign w:val="superscript"/>
        </w:rPr>
        <w:t>1</w:t>
      </w:r>
      <w:r>
        <w:t>?”</w:t>
      </w:r>
    </w:p>
    <w:p w14:paraId="1DB73B19" w14:textId="77777777" w:rsidR="00DC02F5" w:rsidRDefault="00000000">
      <w:pPr>
        <w:pStyle w:val="PullQuote"/>
      </w:pPr>
      <w:r>
        <w:t xml:space="preserve">— </w:t>
      </w:r>
      <w:r>
        <w:rPr>
          <w:iCs/>
        </w:rPr>
        <w:t>SEC v. Chenery Corp.</w:t>
      </w:r>
      <w:r>
        <w:t xml:space="preserve"> (1943)</w:t>
      </w:r>
    </w:p>
    <w:p w14:paraId="1962E468" w14:textId="77777777" w:rsidR="00DC02F5" w:rsidRDefault="00000000">
      <w:pPr>
        <w:pStyle w:val="BodyText"/>
      </w:pPr>
      <w:r>
        <w:t>A trust without books is a promise without memory.</w:t>
      </w:r>
    </w:p>
    <w:p w14:paraId="01E137B6" w14:textId="77777777" w:rsidR="00DC02F5" w:rsidRDefault="00000000">
      <w:pPr>
        <w:pStyle w:val="BodyText"/>
      </w:pPr>
      <w:r>
        <w:t>Competence is not glamour work. It is surveys, plats, leases, appraisals, minutes, audits, investment policies, maps, receipts, distributions, and public explanations. But for a school trust, that ordinary apparatus is sacred machinery. If the trustee cannot say what came in, what went out, what remains, and why, the public cannot know whether the beneficiary was served.</w:t>
      </w:r>
    </w:p>
    <w:p w14:paraId="3822F0FF" w14:textId="77777777" w:rsidR="00DC02F5" w:rsidRDefault="00000000">
      <w:pPr>
        <w:pStyle w:val="Heading2"/>
      </w:pPr>
      <w:bookmarkStart w:id="44" w:name="principle-2"/>
      <w:bookmarkStart w:id="45" w:name="_Toc231774221"/>
      <w:r>
        <w:t>Principle</w:t>
      </w:r>
      <w:bookmarkEnd w:id="45"/>
    </w:p>
    <w:p w14:paraId="2F84431A" w14:textId="77777777" w:rsidR="00DC02F5" w:rsidRDefault="00000000">
      <w:r>
        <w:t>The duty to account is the duty to make stewardship legible. A trustee must know the corpus, track the income, document the decisions, and report in a form the beneficiary can challenge. Modern trust administration is technical, but the standard is not mysterious: the books should let a skeptical reader reconstruct the path from federal grant to present asset.</w:t>
      </w:r>
    </w:p>
    <w:p w14:paraId="000F0C79" w14:textId="77777777" w:rsidR="00DC02F5" w:rsidRDefault="00000000">
      <w:pPr>
        <w:pStyle w:val="BodyText"/>
      </w:pPr>
      <w:r>
        <w:t>This is where the one-grant thesis matters most. If the grant is construed identically across the thirty-three granted states, then each state dossier is not a local curiosity. It is evidence in a national audit. The failures rhyme because the legal obligation rhymed.</w:t>
      </w:r>
    </w:p>
    <w:p w14:paraId="5C5E3122" w14:textId="77777777" w:rsidR="00DC02F5" w:rsidRDefault="00000000">
      <w:pPr>
        <w:pStyle w:val="Heading2"/>
      </w:pPr>
      <w:bookmarkStart w:id="46" w:name="abuse-2"/>
      <w:bookmarkStart w:id="47" w:name="_Toc231774222"/>
      <w:bookmarkEnd w:id="44"/>
      <w:r>
        <w:lastRenderedPageBreak/>
        <w:t>Abuse</w:t>
      </w:r>
      <w:bookmarkEnd w:id="47"/>
    </w:p>
    <w:p w14:paraId="248FC184" w14:textId="77777777" w:rsidR="00DC02F5" w:rsidRDefault="00000000">
      <w:r>
        <w:t>The common early failure was not merely selling low; it was losing the ability to prove what had happened. In several early states, the record thins just where the trust story should become most important. The state can recite that land was granted, sold, or commuted, but not always with the chain of valuations, terms, replacements, and beneficiary distributions a real trustee would preserve.</w:t>
      </w:r>
    </w:p>
    <w:p w14:paraId="39FFB61A" w14:textId="77777777" w:rsidR="00DC02F5" w:rsidRDefault="00000000">
      <w:pPr>
        <w:pStyle w:val="BodyText"/>
      </w:pPr>
      <w:r>
        <w:t>Alabama is the emblem. When the state auditor R. M. Reynolds went looking in 1869 for the roughly $2.1 million the schools were owed, he could find no valuable trace of it — not in bonds, not in buildings, not in records. The money was not merely gone; the accounting that would have let anyone prove where it went had never been kept. That is the accounting failure in its purest form: not a theft you can point to, but a trust whose books can no longer answer the only question that matters.</w:t>
      </w:r>
    </w:p>
    <w:p w14:paraId="21F9D26C" w14:textId="77777777" w:rsidR="00DC02F5" w:rsidRDefault="00000000">
      <w:pPr>
        <w:pStyle w:val="BodyText"/>
      </w:pPr>
      <w:r>
        <w:t>California shows the administrative version. The problem was not a single dramatic raid. It was the long, bureaucratic attrition of a claim that never became a coherent estate. Nevada shows the residue problem: a trust technically alive but reduced to fragments too small to matter unless deliberately repaired. Utah’s older coal-land and land-exchange controversies show the danger of technical machinery the public cannot see until after the value has moved.</w:t>
      </w:r>
    </w:p>
    <w:p w14:paraId="080A3DF3" w14:textId="77777777" w:rsidR="00DC02F5" w:rsidRDefault="00000000">
      <w:pPr>
        <w:pStyle w:val="BodyText"/>
      </w:pPr>
      <w:r>
        <w:t>Accounting failure is also how breach becomes deniable. If the state never valued the asset properly, the later official can say there is no number to compare. If the land was never mapped cleanly, the trustee can call loss “history.” If the beneficiary never receives a clear annual account, underperformance becomes atmosphere rather than evidence.</w:t>
      </w:r>
    </w:p>
    <w:p w14:paraId="0BF7360C" w14:textId="77777777" w:rsidR="00DC02F5" w:rsidRDefault="00000000">
      <w:pPr>
        <w:pStyle w:val="Heading2"/>
      </w:pPr>
      <w:bookmarkStart w:id="48" w:name="honorable-counterexample-2"/>
      <w:bookmarkStart w:id="49" w:name="_Toc231774223"/>
      <w:bookmarkEnd w:id="46"/>
      <w:r>
        <w:lastRenderedPageBreak/>
        <w:t>Honorable Counterexample</w:t>
      </w:r>
      <w:bookmarkEnd w:id="49"/>
    </w:p>
    <w:p w14:paraId="25E128A0" w14:textId="77777777" w:rsidR="00DC02F5" w:rsidRDefault="00000000">
      <w:r>
        <w:t>Modern reform states show what competence looks like when it grows teeth. Utah’s trust reform separated land management, fund investment, and beneficiary advocacy more clearly than the old general-land-office model. New Mexico’s structure gives the land commissioner and the investment apparatus visible institutional roles. Minnesota’s reform created a dedicated school trust position and forced the trust question into daylight.</w:t>
      </w:r>
    </w:p>
    <w:p w14:paraId="49E059CA" w14:textId="77777777" w:rsidR="00DC02F5" w:rsidRDefault="00000000">
      <w:pPr>
        <w:pStyle w:val="BodyText"/>
      </w:pPr>
      <w:r>
        <w:t>None of those systems is self-executing. Utah’s current Book Cliffs fight proves that even a celebrated reform can face a loyalty and valuation test. But a visible institution is easier to challenge than a fog. A public ledger does not guarantee fidelity; it makes fidelity and breach both easier to see.</w:t>
      </w:r>
    </w:p>
    <w:p w14:paraId="3EE18827" w14:textId="77777777" w:rsidR="00DC02F5" w:rsidRDefault="00000000">
      <w:pPr>
        <w:pStyle w:val="BodyText"/>
      </w:pPr>
      <w:r>
        <w:t>The book’s Part Two state entries should therefore answer the accounting question in a standard way: What was granted? What remains? What fund exists? Who manages it? Who reports to the beneficiary? What unresolved claim or caution remains? Thin entries should stay thin only when the record itself is thin and the manuscript says so.</w:t>
      </w:r>
    </w:p>
    <w:p w14:paraId="6D311DFA" w14:textId="77777777" w:rsidR="00DC02F5" w:rsidRDefault="00000000">
      <w:r>
        <w:br w:type="page"/>
      </w:r>
    </w:p>
    <w:p w14:paraId="1057E98C" w14:textId="77777777" w:rsidR="00DC02F5" w:rsidRDefault="00000000">
      <w:pPr>
        <w:pStyle w:val="Heading1"/>
      </w:pPr>
      <w:bookmarkStart w:id="50" w:name="Xe82d56c33fc65cef5eb77d02ed3c998e49bfba3"/>
      <w:bookmarkStart w:id="51" w:name="_Toc231774224"/>
      <w:bookmarkStart w:id="52" w:name="_Toc231774287"/>
      <w:bookmarkEnd w:id="41"/>
      <w:bookmarkEnd w:id="48"/>
      <w:r>
        <w:lastRenderedPageBreak/>
        <w:t>Chapter 7 — Supervision and Enforcement: Someone Has to Watch the Watcher</w:t>
      </w:r>
      <w:bookmarkEnd w:id="51"/>
      <w:bookmarkEnd w:id="52"/>
    </w:p>
    <w:p w14:paraId="17A75EBA" w14:textId="77777777" w:rsidR="00DC02F5" w:rsidRDefault="00000000">
      <w:pPr>
        <w:pStyle w:val="PullQuote"/>
      </w:pPr>
      <w:r>
        <w:t>“The officers of the state, who are charged with the management of school lands, are trustees for the public schools.”</w:t>
      </w:r>
      <w:r>
        <w:rPr>
          <w:vertAlign w:val="superscript"/>
        </w:rPr>
        <w:t>1</w:t>
      </w:r>
    </w:p>
    <w:p w14:paraId="0AE9C843" w14:textId="77777777" w:rsidR="00DC02F5" w:rsidRDefault="00000000">
      <w:pPr>
        <w:pStyle w:val="PullQuote"/>
      </w:pPr>
      <w:r>
        <w:t xml:space="preserve">— </w:t>
      </w:r>
      <w:r>
        <w:rPr>
          <w:iCs/>
        </w:rPr>
        <w:t>State ex rel. Ebke v. Board of Educational Lands &amp; Funds</w:t>
      </w:r>
      <w:r>
        <w:t xml:space="preserve"> (Neb. 1951)</w:t>
      </w:r>
    </w:p>
    <w:p w14:paraId="45B458C7" w14:textId="77777777" w:rsidR="00DC02F5" w:rsidRDefault="00000000">
      <w:pPr>
        <w:pStyle w:val="BodyText"/>
      </w:pPr>
      <w:r>
        <w:t>A trust is not kept by law alone. It is kept by someone willing to enforce the law.</w:t>
      </w:r>
    </w:p>
    <w:p w14:paraId="32BEAB1A" w14:textId="77777777" w:rsidR="00DC02F5" w:rsidRDefault="00000000">
      <w:pPr>
        <w:pStyle w:val="BodyText"/>
      </w:pPr>
      <w:r>
        <w:t>The school-land record is full of people who were, for a season, that someone: lawyers who read old grants carefully; ranchers and environmental advocates who noticed lease terms; school-board members who asked why money had vanished; state officers who refused to keep old habits; citizens who camped, testified, filed, audited, or simply would not be quiet. Their work is not a side story. It is the mechanism by which a dormant fiduciary promise becomes real.</w:t>
      </w:r>
    </w:p>
    <w:p w14:paraId="57B6D1FF" w14:textId="77777777" w:rsidR="00DC02F5" w:rsidRDefault="00000000">
      <w:pPr>
        <w:pStyle w:val="Heading2"/>
      </w:pPr>
      <w:bookmarkStart w:id="53" w:name="principle-3"/>
      <w:bookmarkStart w:id="54" w:name="_Toc231774225"/>
      <w:r>
        <w:t>Principle</w:t>
      </w:r>
      <w:bookmarkEnd w:id="54"/>
    </w:p>
    <w:p w14:paraId="1BA2FD67" w14:textId="77777777" w:rsidR="00DC02F5" w:rsidRDefault="00000000">
      <w:r>
        <w:t>Supervision has two faces. First, the trustee must supervise agents, lessees, buyers, managers, and investment officers. Second, the public must have enough information and legal standing to supervise the trustee. A state cannot satisfy a perpetual trust by saying, in effect, “trust us.”</w:t>
      </w:r>
    </w:p>
    <w:p w14:paraId="56E0231F" w14:textId="77777777" w:rsidR="00DC02F5" w:rsidRDefault="00000000">
      <w:pPr>
        <w:pStyle w:val="BodyText"/>
      </w:pPr>
      <w:r>
        <w:t xml:space="preserve">The duty to enforce is especially important in school trusts because the beneficiary is diffuse. A private beneficiary can demand an accounting. The schools cannot walk into court as a single human person. Children age out. School boards turn over. Legislatures </w:t>
      </w:r>
      <w:r>
        <w:lastRenderedPageBreak/>
        <w:t>change. That is why the trust needs institutional memory and an outside constituency.</w:t>
      </w:r>
    </w:p>
    <w:p w14:paraId="6FB039C5" w14:textId="77777777" w:rsidR="00DC02F5" w:rsidRDefault="00000000">
      <w:pPr>
        <w:pStyle w:val="Heading2"/>
      </w:pPr>
      <w:bookmarkStart w:id="55" w:name="abuse-3"/>
      <w:bookmarkStart w:id="56" w:name="_Toc231774226"/>
      <w:bookmarkEnd w:id="53"/>
      <w:r>
        <w:t>Abuse</w:t>
      </w:r>
      <w:bookmarkEnd w:id="56"/>
    </w:p>
    <w:p w14:paraId="56A52EC7" w14:textId="77777777" w:rsidR="00DC02F5" w:rsidRDefault="00000000">
      <w:r>
        <w:t>Mississippi is the textbook, because it kept the land and gave away its use. The state never sold its sixteenth sections; it leased them — and for generations leased them to the well-connected at rents measured in pennies. In the town of Forest, Mississippi, a piece of land owned by the public schools was leased for ninety-nine years for a single payment of seven dollars and fifty cents</w:t>
      </w:r>
      <w:r>
        <w:rPr>
          <w:vertAlign w:val="superscript"/>
        </w:rPr>
        <w:t>2</w:t>
      </w:r>
      <w:r>
        <w:t>. Seven-fifty for a century of use. It was not unusual; it was the system. The corpus survived on paper while the income was looted in plain sight.</w:t>
      </w:r>
    </w:p>
    <w:p w14:paraId="1A007E02" w14:textId="77777777" w:rsidR="00DC02F5" w:rsidRDefault="00000000">
      <w:pPr>
        <w:pStyle w:val="BodyText"/>
      </w:pPr>
      <w:r>
        <w:t xml:space="preserve">The sweetheart lease shades easily into self-dealing — the trustee quietly sitting on both sides of the table. In Rankin County, the county superintendent of education, the very official sworn to squeeze every honest dollar out of the trust lands, leased one hundred fifty acres of them to </w:t>
      </w:r>
      <w:r>
        <w:rPr>
          <w:i/>
          <w:iCs/>
        </w:rPr>
        <w:t>himself</w:t>
      </w:r>
      <w:r>
        <w:rPr>
          <w:vertAlign w:val="superscript"/>
        </w:rPr>
        <w:t>3</w:t>
      </w:r>
      <w:r>
        <w:t>, for twenty-five years, at thirty-seven dollars and fifty cents a year. Citizens sued, and in 1975 the Mississippi Supreme Court threw the lease out: a man who holds a trust cannot deal that trust to himself for “grossly inadequate consideration.” The trustee on both sides can never be trusted to set a fair price.</w:t>
      </w:r>
    </w:p>
    <w:p w14:paraId="1FEED3EB" w14:textId="77777777" w:rsidR="00DC02F5" w:rsidRDefault="00000000">
      <w:pPr>
        <w:pStyle w:val="BodyText"/>
      </w:pPr>
      <w:r>
        <w:t xml:space="preserve">Arizona shows the same mechanism in modern, industrial form. For decades it leased grazing land at roughly half of market value, a standing subsidy to the ranchers running cattle on the children’s grass; when an outsider tried to bid more, the state moved to stop him. And in our own decade Arizona leased thousands of acres to Fondomonte, a Saudi-owned company that pumped essentially unpriced groundwater to grow alfalfa and shipped it overseas to feed cattle in Saudi Arabia — the children of Arizona subsidizing the export of their own desert’s water. A 2024 state review found the lease rents had gone roughly seventeen years without adjustment. When trust land was </w:t>
      </w:r>
      <w:r>
        <w:lastRenderedPageBreak/>
        <w:t>instead taken for public highways, the Supreme Court did not hold that highways were bad; it held that the trust had to be compensated. Public purpose does not erase the beneficiary’s claim.</w:t>
      </w:r>
    </w:p>
    <w:p w14:paraId="284492E6" w14:textId="77777777" w:rsidR="00DC02F5" w:rsidRDefault="00000000">
      <w:pPr>
        <w:pStyle w:val="BodyText"/>
      </w:pPr>
      <w:r>
        <w:t>In the contemporary West the abuse can be hydraulic: groundwater, grazing, mineral leasing, conservation closure, transmission corridors, and energy siting all press on the same trust estate. The trustee must make real decisions — but real decisions require real supervision. Without it, “multiple use” becomes a polite name for nobody paying the schools what they are owed.</w:t>
      </w:r>
    </w:p>
    <w:p w14:paraId="69C441B1" w14:textId="77777777" w:rsidR="00DC02F5" w:rsidRDefault="00000000">
      <w:pPr>
        <w:pStyle w:val="Heading2"/>
      </w:pPr>
      <w:bookmarkStart w:id="57" w:name="honorable-counterexample-3"/>
      <w:bookmarkStart w:id="58" w:name="_Toc231774227"/>
      <w:bookmarkEnd w:id="55"/>
      <w:r>
        <w:t>Honorable Counterexample</w:t>
      </w:r>
      <w:bookmarkEnd w:id="58"/>
    </w:p>
    <w:p w14:paraId="29190FB9" w14:textId="77777777" w:rsidR="00DC02F5" w:rsidRDefault="00000000">
      <w:r>
        <w:t xml:space="preserve">Start with the cleanest case, the one the founders of every future trust should tape to the wall. When New Mexico came into the Union in 1912 it carried one of the largest school-land grants ever made — and something rarer: words that meant exactly what they said. Having watched a century of loose language fail, Congress wrote the 1910 Enabling Act tight. The lands were “held in trust”; spending the proceeds on anything outside the permitted purposes “shall be deemed a breach of trust”; and — the part that changed everything — it was made the </w:t>
      </w:r>
      <w:r>
        <w:rPr>
          <w:i/>
          <w:iCs/>
        </w:rPr>
        <w:t>duty of the Attorney General of the United States</w:t>
      </w:r>
      <w:r>
        <w:t xml:space="preserve"> to go to court and stop any breach. The text named the trustee, defined the betrayal, and named, by office, the person whose job it was to sue. That is not a wish. It is a machine for keeping a promise.</w:t>
      </w:r>
    </w:p>
    <w:p w14:paraId="417CFFAD" w14:textId="77777777" w:rsidR="00DC02F5" w:rsidRDefault="00000000">
      <w:pPr>
        <w:pStyle w:val="BodyText"/>
      </w:pPr>
      <w:r>
        <w:t xml:space="preserve">The machine ran almost at once. When New Mexico’s land commissioner began diverting trust income to advertise the state’s “resources and advantages,” the United States sued, and in </w:t>
      </w:r>
      <w:r>
        <w:rPr>
          <w:i/>
          <w:iCs/>
        </w:rPr>
        <w:t>Ervien v. United States</w:t>
      </w:r>
      <w:r>
        <w:t xml:space="preserve"> (1919) the Supreme Court shut the program down, reading the trust’s purposes as “special and exact.”</w:t>
      </w:r>
      <w:r>
        <w:rPr>
          <w:vertAlign w:val="superscript"/>
        </w:rPr>
        <w:t>4</w:t>
      </w:r>
      <w:r>
        <w:t xml:space="preserve"> Half a century later it ran again: in </w:t>
      </w:r>
      <w:r>
        <w:rPr>
          <w:i/>
          <w:iCs/>
        </w:rPr>
        <w:t>Lassen v. Arizona</w:t>
      </w:r>
      <w:r>
        <w:t xml:space="preserve"> (1967), under the same Act, the Court held that the trust must receive the </w:t>
      </w:r>
      <w:r>
        <w:rPr>
          <w:i/>
          <w:iCs/>
        </w:rPr>
        <w:t>full appraised cash value</w:t>
      </w:r>
      <w:r>
        <w:rPr>
          <w:vertAlign w:val="superscript"/>
        </w:rPr>
        <w:t>5</w:t>
      </w:r>
      <w:r>
        <w:t xml:space="preserve"> of any land taken for a state highway — no family discount when one </w:t>
      </w:r>
      <w:r>
        <w:lastRenderedPageBreak/>
        <w:t xml:space="preserve">arm of government wants what the trust holds. New Mexico’s Land Grant Permanent Fund reached roughly </w:t>
      </w:r>
      <w:r>
        <w:rPr>
          <w:b/>
          <w:bCs/>
        </w:rPr>
        <w:t>$32.97 billion</w:t>
      </w:r>
      <w:r>
        <w:t xml:space="preserve"> [as of Dec. 31, 2024] not because New Mexicans were more virtuous than their neighbors, but because the promise they inherited was written so that someone could be forced to keep it.</w:t>
      </w:r>
    </w:p>
    <w:p w14:paraId="73697705" w14:textId="77777777" w:rsidR="00DC02F5" w:rsidRDefault="00000000">
      <w:pPr>
        <w:pStyle w:val="BodyText"/>
      </w:pPr>
      <w:r>
        <w:t xml:space="preserve">But </w:t>
      </w:r>
      <w:r>
        <w:rPr>
          <w:i/>
          <w:iCs/>
        </w:rPr>
        <w:t>Lassen</w:t>
      </w:r>
      <w:r>
        <w:t xml:space="preserve"> carries a warning folded inside the victory. Arizona’s schools won the case — and then, for decades, did not press their advantage and collect what they were owed. When advocates finally went back to court, they lost, not on the merits but because the statute of limitations had run</w:t>
      </w:r>
      <w:r>
        <w:rPr>
          <w:vertAlign w:val="superscript"/>
        </w:rPr>
        <w:t>6</w:t>
      </w:r>
      <w:r>
        <w:t>. The words had teeth; the beneficiaries fell asleep, and the teeth went dull. That is the whole reason supervision is a duty and not a decoration: a lever no one pulls in time is no lever at all.</w:t>
      </w:r>
    </w:p>
    <w:p w14:paraId="3007FF97" w14:textId="77777777" w:rsidR="00DC02F5" w:rsidRDefault="00000000">
      <w:pPr>
        <w:pStyle w:val="BodyText"/>
      </w:pPr>
      <w:r>
        <w:t>Montana shows how thin the margin can be. When the state moved to divert revenue that should have built the permanent fund toward immediate spending, the people who fought back were not a vast movement — they were a small advocacy organization, MonTRUST, carried through litigation after litigation by a single Missoula attorney, Roy Andes</w:t>
      </w:r>
      <w:r>
        <w:rPr>
          <w:vertAlign w:val="superscript"/>
        </w:rPr>
        <w:t>7</w:t>
      </w:r>
      <w:r>
        <w:t>, the same organizing energy that flows into the national Advocates for School Trust Lands family to which this book’s authors belong. The moral of the Montana story is blunt: one good attorney in the right place can make a difference. Where the law does not name an enforcer by office, a trust survives only if some actual person — a Beadle, a Bird, a Roy Andes — decides the children’s claim is worth a career’s worth of fighting. The constituency, in the end, is not an abstraction. Sometimes it is one person who will not let go.</w:t>
      </w:r>
    </w:p>
    <w:p w14:paraId="3DE5189A" w14:textId="77777777" w:rsidR="00DC02F5" w:rsidRDefault="00000000">
      <w:pPr>
        <w:pStyle w:val="BodyText"/>
      </w:pPr>
      <w:r>
        <w:t>Utah is the fullest modern proof of what a constituency is and how one gets built — and Margaret Bird lived it. In the early 1980s Utah advanced a sweeping land reorganization called Project BOLD</w:t>
      </w:r>
      <w:r>
        <w:rPr>
          <w:vertAlign w:val="superscript"/>
        </w:rPr>
        <w:t>8</w:t>
      </w:r>
      <w:r>
        <w:t xml:space="preserve">; buried more than a hundred pages in was a change, hidden even from members of the State School Board until Bird flagged it, that would </w:t>
      </w:r>
      <w:r>
        <w:lastRenderedPageBreak/>
        <w:t xml:space="preserve">have quietly reworked the Enabling Act so the lands served </w:t>
      </w:r>
      <w:r>
        <w:rPr>
          <w:i/>
          <w:iCs/>
        </w:rPr>
        <w:t>the state</w:t>
      </w:r>
      <w:r>
        <w:t xml:space="preserve"> rather than the schools. That is the moment a constituency is born: not when people are handed a benefit, but when someone reads the hundred-and-fourth page and rings the bell. The reform took roughly fifteen years and a coalition — school boards, the state superintendent, the Utah Education Association, and parent organizations — led by the education community and carried in no small part by Bird herself, with the courage to stand against the counties, the oil and gas industry, the coal industry, and the ranchers, many of whom sat on the very boards doing the reforming.</w:t>
      </w:r>
    </w:p>
    <w:p w14:paraId="18ED9022" w14:textId="77777777" w:rsidR="00DC02F5" w:rsidRDefault="00000000">
      <w:pPr>
        <w:pStyle w:val="BoxedHeaderSimple"/>
      </w:pPr>
      <w:r>
        <w:t>The land they bought for two dollars and a quarter** *(Utah: the coal-land swindle)</w:t>
      </w:r>
    </w:p>
    <w:p w14:paraId="6CBF2710" w14:textId="77777777" w:rsidR="00DC02F5" w:rsidRDefault="00000000">
      <w:pPr>
        <w:pStyle w:val="BoxBody"/>
      </w:pPr>
      <w:r>
        <w:t>Before the reform, coal-bearing trust parcels in Utah were sold at nominal prices to front buyers while the federal value information that would have exposed the giveaway sat elsewhere in the records. A later effort to audit the loss collapsed after records were destroyed. The unrecovered loss to the schools ran, by accounts from the period, into the hundreds of millions of dollars.</w:t>
      </w:r>
    </w:p>
    <w:p w14:paraId="7C4A9249" w14:textId="77777777" w:rsidR="00DC02F5" w:rsidRDefault="00000000">
      <w:pPr>
        <w:pStyle w:val="PullQuote"/>
      </w:pPr>
      <w:r>
        <w:rPr>
          <w:b/>
          <w:bCs/>
        </w:rPr>
        <w:t>The vote that sent a husband to the sofa</w:t>
      </w:r>
    </w:p>
    <w:p w14:paraId="53DAF5ED" w14:textId="77777777" w:rsidR="00DC02F5" w:rsidRDefault="00000000">
      <w:pPr>
        <w:pStyle w:val="PullQuote"/>
      </w:pPr>
      <w:r>
        <w:t>When the reform bill passed nearly clean, the one dissenting Republican went home and told his wife, proudly, that he had voted against it just as she wanted. He had gotten confused. His wife was a PTA president, and family memory sends him to the sofa. The real constituency for a children’s trust does not live in the legislative caucus. It lives at the kitchen table.</w:t>
      </w:r>
    </w:p>
    <w:p w14:paraId="1219653C" w14:textId="77777777" w:rsidR="00DC02F5" w:rsidRDefault="00000000">
      <w:pPr>
        <w:pStyle w:val="BodyText"/>
      </w:pPr>
      <w:r>
        <w:t xml:space="preserve">Two things made the Utah recovery hold. First, the constituency was made permanent by making the trust </w:t>
      </w:r>
      <w:r>
        <w:rPr>
          <w:i/>
          <w:iCs/>
        </w:rPr>
        <w:t>visible</w:t>
      </w:r>
      <w:r>
        <w:t xml:space="preserve">: revenue was pushed down to roughly nine thousand citizens on local school community councils, where parents and teachers decide together how to spend it – and a trust that touches people’s own children at their own school is a trust they will defend. Second, the win was written into structure: in 1994 Utah created the School and Institutional Trust Lands Administration (SITLA), an independent professional fiduciary </w:t>
      </w:r>
      <w:r>
        <w:lastRenderedPageBreak/>
        <w:t>agency</w:t>
      </w:r>
      <w:r>
        <w:rPr>
          <w:vertAlign w:val="superscript"/>
        </w:rPr>
        <w:t>9</w:t>
      </w:r>
      <w:r>
        <w:t xml:space="preserve"> walled off from the politics that had nearly drained the fund. In Margaret Bird’s summary, Utah’s school-land revenue grew roughly thirty-fold. A fund once treated as the state’s piggy bank is now a genuine endowment, because a constituency refused to lose it and then built the machinery to keep winning. Constituency, then text. Both layers. Every time.</w:t>
      </w:r>
    </w:p>
    <w:p w14:paraId="734D63FE" w14:textId="77777777" w:rsidR="00DC02F5" w:rsidRDefault="00000000">
      <w:pPr>
        <w:pStyle w:val="PullQuote"/>
      </w:pPr>
      <w:r>
        <w:rPr>
          <w:b/>
          <w:bCs/>
        </w:rPr>
        <w:t>The campout that never had to happen</w:t>
      </w:r>
    </w:p>
    <w:p w14:paraId="7B020620" w14:textId="77777777" w:rsidR="00DC02F5" w:rsidRDefault="00000000">
      <w:pPr>
        <w:pStyle w:val="PullQuote"/>
      </w:pPr>
      <w:r>
        <w:t>Federal park officials at first had little incentive to exchange school sections already trapped inside Arches National Park. So the parents found their leverage. A school section sat astride the only road into one of the country’s most popular parks. The plan was a great Utah camp-out: children, dogs, horses, tents, on the schools’ own land across the road, stopping all traffic until the national media arrived. They never had to carry it out — word reached Washington, and the unmovable officials suddenly wanted to talk.</w:t>
      </w:r>
    </w:p>
    <w:p w14:paraId="17B1E766" w14:textId="77777777" w:rsidR="00DC02F5" w:rsidRDefault="00000000">
      <w:pPr>
        <w:pStyle w:val="BodyText"/>
      </w:pPr>
      <w:r>
        <w:t xml:space="preserve">The land exchange that followed — ratified by Congress as the Utah Schools and Lands Exchange Act of 1998, swapping some 360,000 acres trapped inside Grand Staircase–Escalante and other units for federal land elsewhere plus a </w:t>
      </w:r>
      <w:r>
        <w:rPr>
          <w:b/>
          <w:bCs/>
        </w:rPr>
        <w:t>$50 million</w:t>
      </w:r>
      <w:r>
        <w:t xml:space="preserve"> cash payment — ranks among the largest in American history. Mississippi’s later reform is the cleanest proof that an enforcer changes everything. For generations the state had leased its sixteenth sections to the well-connected for pennies. Then Secretary of State Dick Molpus forced the leases up to market value and defended the new rents in court, winning roughly a hundred lawsuits brought by lessees who had grown comfortable paying almost nothing.</w:t>
      </w:r>
      <w:r>
        <w:rPr>
          <w:vertAlign w:val="superscript"/>
        </w:rPr>
        <w:t>10</w:t>
      </w:r>
      <w:r>
        <w:t xml:space="preserve"> One official in the right place, willing to fight, turned a century of sweetheart leasing into a revenue the schools could finally see. Idaho’s outside-watchdog litigation and Nebraska’s </w:t>
      </w:r>
      <w:r>
        <w:rPr>
          <w:i/>
          <w:iCs/>
        </w:rPr>
        <w:t>Ebke</w:t>
      </w:r>
      <w:r>
        <w:t xml:space="preserve"> decision — which insisted that state officers are trustees, not mere land brokers — make the same point from other angles: enforcement can recover dignity even after long neglect, but only when someone makes the trust visible enough to defend.</w:t>
      </w:r>
    </w:p>
    <w:p w14:paraId="1F06EB94" w14:textId="77777777" w:rsidR="00DC02F5" w:rsidRDefault="00000000">
      <w:pPr>
        <w:pStyle w:val="BodyText"/>
      </w:pPr>
      <w:r>
        <w:lastRenderedPageBreak/>
        <w:t>The duty of supervision gives this whole book its civic purpose. A trust that no one knows about cannot be honored for long. The point is not to shame every past official — many inherited broken systems, and some repaired them. The point is to make the pattern visible enough that the next official, the next legislator, the next judge, and the next reader can recognize the breach before it becomes another century of loss.</w:t>
      </w:r>
    </w:p>
    <w:p w14:paraId="67885718" w14:textId="77777777" w:rsidR="00DC02F5" w:rsidRDefault="00000000">
      <w:r>
        <w:br w:type="page"/>
      </w:r>
    </w:p>
    <w:p w14:paraId="748214BF" w14:textId="77777777" w:rsidR="00DC02F5" w:rsidRDefault="00000000">
      <w:pPr>
        <w:pStyle w:val="Heading1"/>
      </w:pPr>
      <w:bookmarkStart w:id="59" w:name="chapter-8---the-money-must-be-seen"/>
      <w:bookmarkStart w:id="60" w:name="_Toc231774228"/>
      <w:bookmarkStart w:id="61" w:name="_Toc231774288"/>
      <w:bookmarkEnd w:id="50"/>
      <w:bookmarkEnd w:id="57"/>
      <w:r>
        <w:lastRenderedPageBreak/>
        <w:t>Chapter 8 - The Money Must Be Seen</w:t>
      </w:r>
      <w:bookmarkEnd w:id="60"/>
      <w:bookmarkEnd w:id="61"/>
    </w:p>
    <w:p w14:paraId="3D62EC35" w14:textId="77777777" w:rsidR="00DC02F5" w:rsidRDefault="00000000">
      <w:r>
        <w:t>A trust can be perfectly real and still disappear from civic life. That is one of the hard lessons of this record.</w:t>
      </w:r>
    </w:p>
    <w:p w14:paraId="170C7ACF" w14:textId="77777777" w:rsidR="00DC02F5" w:rsidRDefault="00000000">
      <w:pPr>
        <w:pStyle w:val="BodyText"/>
      </w:pPr>
      <w:r>
        <w:t>The law can say the land belongs to the schools. The constitution can say the principal is irreducible. A court can say the trustee owes loyalty and prudence. But if the money never visibly reaches a school, no parent feels the loss when it is diverted. When trust revenue is simply swept into the general fund to replace tax dollars the legislature would otherwise have appropriated, it becomes the first brick dropped in the toilet — it vanishes into the whole and no one can say the schools gained a thing. If the corpus is buried in a state balance sheet, the schools may be rich on paper and powerless in fact.</w:t>
      </w:r>
    </w:p>
    <w:p w14:paraId="54D00A99" w14:textId="77777777" w:rsidR="00DC02F5" w:rsidRDefault="00000000">
      <w:pPr>
        <w:pStyle w:val="BodyText"/>
      </w:pPr>
      <w:r>
        <w:t>Utah proves the opposite. Its School LAND Trust Program made trust income visible.</w:t>
      </w:r>
      <w:r>
        <w:rPr>
          <w:vertAlign w:val="superscript"/>
        </w:rPr>
        <w:t>1</w:t>
      </w:r>
      <w:r>
        <w:t xml:space="preserve"> It sent dollars to every school, where parent-majority councils could decide how to use them. Suddenly the trust was not an abstraction in Salt Lake City. It was a reading aide, a science kit, an art program, a field trip, a classroom technology grant. A parent could point to something and say: the trust paid for that.</w:t>
      </w:r>
    </w:p>
    <w:p w14:paraId="4C3380A6" w14:textId="77777777" w:rsidR="00DC02F5" w:rsidRDefault="00000000">
      <w:pPr>
        <w:pStyle w:val="BodyText"/>
      </w:pPr>
      <w:r>
        <w:t>Visibility creates a constituency. A constituency creates enforcement.</w:t>
      </w:r>
    </w:p>
    <w:p w14:paraId="6EDB3DD0" w14:textId="77777777" w:rsidR="00DC02F5" w:rsidRDefault="00000000">
      <w:pPr>
        <w:pStyle w:val="BodyText"/>
      </w:pPr>
      <w:r>
        <w:t>The states that lost their school trusts often lost them long before there was an organized beneficiary public. Ohio sold quickly. Alabama put proceeds into a bank. California let selection and sale drift into private hands. Arkansas dissolved the corpus into local ledgers. In each case the money moved away from the children before anyone had built a durable habit of watching it.</w:t>
      </w:r>
    </w:p>
    <w:p w14:paraId="6BDF48C6" w14:textId="77777777" w:rsidR="00DC02F5" w:rsidRDefault="00000000">
      <w:pPr>
        <w:pStyle w:val="BodyText"/>
      </w:pPr>
      <w:r>
        <w:t>The states that recovered did something different. Mississippi’s reformers made unfair sixteenth-section leases visible.</w:t>
      </w:r>
      <w:r>
        <w:rPr>
          <w:vertAlign w:val="superscript"/>
        </w:rPr>
        <w:t>2</w:t>
      </w:r>
      <w:r>
        <w:t xml:space="preserve"> New Mexico’s express enforcement clause let the United States stop a land </w:t>
      </w:r>
      <w:r>
        <w:lastRenderedPageBreak/>
        <w:t>commissioner from spending trust income on advertising. Montana’s MonTRUST litigation turned under-market leasing into a constitutional question. Utah’s education coalition made parents and school councils part of the trust’s defense. Oregon’s current fight exists because advocates refused to let the Elliott State Forest vanish into a transaction label.</w:t>
      </w:r>
    </w:p>
    <w:p w14:paraId="6FF7C9A4" w14:textId="77777777" w:rsidR="00DC02F5" w:rsidRDefault="00000000">
      <w:pPr>
        <w:pStyle w:val="BodyText"/>
      </w:pPr>
      <w:r>
        <w:t>So the flow of money is not a bookkeeping detail. It is part of how fidelity is kept.</w:t>
      </w:r>
    </w:p>
    <w:p w14:paraId="0FFF8035" w14:textId="77777777" w:rsidR="00DC02F5" w:rsidRDefault="00000000">
      <w:pPr>
        <w:pStyle w:val="BodyText"/>
      </w:pPr>
      <w:r>
        <w:t>A healthy school trust has a clear chain:</w:t>
      </w:r>
    </w:p>
    <w:p w14:paraId="57E62CD2" w14:textId="77777777" w:rsidR="00DC02F5" w:rsidRDefault="00000000">
      <w:pPr>
        <w:numPr>
          <w:ilvl w:val="0"/>
          <w:numId w:val="6"/>
        </w:numPr>
      </w:pPr>
      <w:r>
        <w:t>Land, minerals, timber, leases, sales, and exchanges produce value.</w:t>
      </w:r>
    </w:p>
    <w:p w14:paraId="34525DA4" w14:textId="77777777" w:rsidR="00DC02F5" w:rsidRDefault="00000000">
      <w:pPr>
        <w:numPr>
          <w:ilvl w:val="0"/>
          <w:numId w:val="6"/>
        </w:numPr>
      </w:pPr>
      <w:r>
        <w:t>Corpus value stays corpus - land remains land, or sale proceeds enter the permanent fund.</w:t>
      </w:r>
    </w:p>
    <w:p w14:paraId="56DF1EE3" w14:textId="77777777" w:rsidR="00DC02F5" w:rsidRDefault="00000000">
      <w:pPr>
        <w:numPr>
          <w:ilvl w:val="0"/>
          <w:numId w:val="6"/>
        </w:numPr>
      </w:pPr>
      <w:r>
        <w:t>Income is distributed under law to the schools or other named beneficiary.</w:t>
      </w:r>
    </w:p>
    <w:p w14:paraId="48B0E127" w14:textId="77777777" w:rsidR="00DC02F5" w:rsidRDefault="00000000">
      <w:pPr>
        <w:numPr>
          <w:ilvl w:val="0"/>
          <w:numId w:val="6"/>
        </w:numPr>
      </w:pPr>
      <w:r>
        <w:t>Beneficiaries can see what arrived and ask what did not.</w:t>
      </w:r>
    </w:p>
    <w:p w14:paraId="44BA6438" w14:textId="77777777" w:rsidR="00DC02F5" w:rsidRDefault="00000000">
      <w:pPr>
        <w:numPr>
          <w:ilvl w:val="0"/>
          <w:numId w:val="6"/>
        </w:numPr>
      </w:pPr>
      <w:r>
        <w:t>Someone with standing can sue when the chain breaks.</w:t>
      </w:r>
    </w:p>
    <w:p w14:paraId="3DA38406" w14:textId="77777777" w:rsidR="00DC02F5" w:rsidRDefault="00000000">
      <w:r>
        <w:t>Break any link and the trust becomes easier to raid. Let corpus be called income and the seed corn is eaten. Let trust income substitute invisibly for general tax support and the schools will not know whether they gained anything. Let elected officials manage the trust while also needing money for every other state priority and loyalty begins to blur. Let no plaintiff have standing and all the beautiful words become a locked door with no key.</w:t>
      </w:r>
    </w:p>
    <w:p w14:paraId="450C9F30" w14:textId="77777777" w:rsidR="00DC02F5" w:rsidRDefault="00000000">
      <w:pPr>
        <w:pStyle w:val="BodyText"/>
      </w:pPr>
      <w:r>
        <w:t xml:space="preserve">This is why the oldest state-created school funds matter too. The original thirteen, plus Vermont, Kentucky, Tennessee, Maine, and West Virginia, did not receive the same federal section grant. Many created school funds or education clauses from state sources. Some </w:t>
      </w:r>
      <w:r>
        <w:lastRenderedPageBreak/>
        <w:t>were serious. Some were later amended away or emptied because the same political system that created them could redirect them. Their lesson is not that state-created funds are worthless. Texas proves the opposite. The lesson is that a school fund survives only where an educated, watchful public can see it, name it, and stand ready to defend it — and where, when the breach comes, the right attorney is in the right place to stop it.</w:t>
      </w:r>
    </w:p>
    <w:p w14:paraId="1043D972" w14:textId="77777777" w:rsidR="00DC02F5" w:rsidRDefault="00000000">
      <w:pPr>
        <w:pStyle w:val="BodyText"/>
      </w:pPr>
      <w:r>
        <w:t>If this book has a practical claim, it is this: about twenty states still hold the gift, and every one of them can still make the trust more visible and harder to raid. The reform may be constitutional, statutory, administrative, or simply civic. Publish the annual flow. Put the distribution on every school’s agenda. Name the trustee. Name the beneficiary. Name the corpus. Name the forum. If money is being used to replace tax support, say so. If land is being sold to another state agency, demand full market value and an open record. If the trust is generating nothing, ask why.</w:t>
      </w:r>
    </w:p>
    <w:p w14:paraId="15F99833" w14:textId="77777777" w:rsidR="00DC02F5" w:rsidRDefault="00000000">
      <w:pPr>
        <w:pStyle w:val="BodyText"/>
      </w:pPr>
      <w:r>
        <w:t>A trust hidden from its beneficiaries is a trust waiting to be used by someone else.</w:t>
      </w:r>
    </w:p>
    <w:p w14:paraId="23508F55" w14:textId="77777777" w:rsidR="00DC02F5" w:rsidRDefault="00000000">
      <w:r>
        <w:br w:type="page"/>
      </w:r>
    </w:p>
    <w:p w14:paraId="64976932" w14:textId="77777777" w:rsidR="00DC02F5" w:rsidRDefault="00000000">
      <w:pPr>
        <w:pStyle w:val="Heading1"/>
      </w:pPr>
      <w:bookmarkStart w:id="62" w:name="chapter-9---what-citizens-can-do-now"/>
      <w:bookmarkStart w:id="63" w:name="_Toc231774229"/>
      <w:bookmarkStart w:id="64" w:name="_Toc231774289"/>
      <w:bookmarkEnd w:id="59"/>
      <w:r>
        <w:lastRenderedPageBreak/>
        <w:t>Chapter 9 - What Citizens Can Do Now</w:t>
      </w:r>
      <w:bookmarkEnd w:id="63"/>
      <w:bookmarkEnd w:id="64"/>
    </w:p>
    <w:p w14:paraId="1FABA1A5" w14:textId="77777777" w:rsidR="00DC02F5" w:rsidRDefault="00000000">
      <w:r>
        <w:t>This book is not written to make the reader mourn a lost inheritance. It is written because the inheritance is still partly here.</w:t>
      </w:r>
    </w:p>
    <w:p w14:paraId="166501CC" w14:textId="77777777" w:rsidR="00DC02F5" w:rsidRDefault="00000000">
      <w:pPr>
        <w:pStyle w:val="BodyText"/>
      </w:pPr>
      <w:r>
        <w:t>If you live in one of the states that still holds school trust lands, your public schools may own land, mineral rights, timber, grazing leases, commercial parcels, or a permanent fund built from those assets. The first act of citizenship is simply to find out. The second is to ask whether the trust is being managed only for the beneficiary. The third is to keep asking after the first answer arrives.</w:t>
      </w:r>
    </w:p>
    <w:p w14:paraId="3C02B432" w14:textId="77777777" w:rsidR="00DC02F5" w:rsidRDefault="00000000">
      <w:pPr>
        <w:pStyle w:val="BodyText"/>
      </w:pPr>
      <w:r>
        <w:t>The questions are plain:</w:t>
      </w:r>
    </w:p>
    <w:p w14:paraId="4EC7A7C6" w14:textId="77777777" w:rsidR="00DC02F5" w:rsidRDefault="00000000">
      <w:pPr>
        <w:pStyle w:val="BodyText"/>
      </w:pPr>
      <w:r>
        <w:rPr>
          <w:b/>
          <w:bCs/>
        </w:rPr>
        <w:t>What does the trust own?</w:t>
      </w:r>
      <w:r>
        <w:t xml:space="preserve"> How many acres? What minerals? What timber? What water rights? What permanent fund? What other endowment assets?</w:t>
      </w:r>
    </w:p>
    <w:p w14:paraId="5C7C26F4" w14:textId="77777777" w:rsidR="00DC02F5" w:rsidRDefault="00000000">
      <w:pPr>
        <w:pStyle w:val="BodyText"/>
      </w:pPr>
      <w:r>
        <w:rPr>
          <w:b/>
          <w:bCs/>
        </w:rPr>
        <w:t>Who is the trustee?</w:t>
      </w:r>
      <w:r>
        <w:t xml:space="preserve"> Is it a land board, a commissioner, the governor, a treasurer, a statutory agency, a county board, or some scattered combination no ordinary citizen can follow?</w:t>
      </w:r>
    </w:p>
    <w:p w14:paraId="21EF382F" w14:textId="77777777" w:rsidR="00DC02F5" w:rsidRDefault="00000000">
      <w:pPr>
        <w:pStyle w:val="BodyText"/>
      </w:pPr>
      <w:r>
        <w:rPr>
          <w:b/>
          <w:bCs/>
        </w:rPr>
        <w:t>Who is the beneficiary?</w:t>
      </w:r>
      <w:r>
        <w:t xml:space="preserve"> Common schools? Universities? County schools? Named institutions? The general public? If the answer is vague, the trust is vulnerable.</w:t>
      </w:r>
    </w:p>
    <w:p w14:paraId="714B18DF" w14:textId="77777777" w:rsidR="00DC02F5" w:rsidRDefault="00000000">
      <w:pPr>
        <w:pStyle w:val="BodyText"/>
      </w:pPr>
      <w:r>
        <w:rPr>
          <w:b/>
          <w:bCs/>
        </w:rPr>
        <w:t>Where does the money go?</w:t>
      </w:r>
      <w:r>
        <w:t xml:space="preserve"> Does income reach schools visibly, or does it disappear into a statewide formula where it merely reduces what the legislature would otherwise appropriate?</w:t>
      </w:r>
    </w:p>
    <w:p w14:paraId="69060CE2" w14:textId="77777777" w:rsidR="00DC02F5" w:rsidRDefault="00000000">
      <w:pPr>
        <w:pStyle w:val="BodyText"/>
      </w:pPr>
      <w:r>
        <w:rPr>
          <w:b/>
          <w:bCs/>
        </w:rPr>
        <w:t>Is the corpus growing?</w:t>
      </w:r>
      <w:r>
        <w:t xml:space="preserve"> A permanent fund that is not growing across generations is not being preserved in any serious sense. A land estate that produces nothing and is never exchanged for productive value is not being prudently managed.</w:t>
      </w:r>
    </w:p>
    <w:p w14:paraId="28292D45" w14:textId="77777777" w:rsidR="00DC02F5" w:rsidRDefault="00000000">
      <w:pPr>
        <w:pStyle w:val="BodyText"/>
      </w:pPr>
      <w:r>
        <w:rPr>
          <w:b/>
          <w:bCs/>
        </w:rPr>
        <w:lastRenderedPageBreak/>
        <w:t>Who can sue?</w:t>
      </w:r>
      <w:r>
        <w:t xml:space="preserve"> If the trustee breaches its duty, can a beneficiary, parent, school district, attorney general, trust protector, or citizen organization get into court? Or will the whole fight be spent at the courthouse door?</w:t>
      </w:r>
    </w:p>
    <w:p w14:paraId="4EBA6A83" w14:textId="77777777" w:rsidR="00DC02F5" w:rsidRDefault="00000000">
      <w:pPr>
        <w:pStyle w:val="BodyText"/>
      </w:pPr>
      <w:r>
        <w:t>Those questions do not require a law degree. They require beneficiaries who know they are beneficiaries.</w:t>
      </w:r>
    </w:p>
    <w:p w14:paraId="6094F124" w14:textId="77777777" w:rsidR="00DC02F5" w:rsidRDefault="00000000">
      <w:pPr>
        <w:pStyle w:val="BodyText"/>
      </w:pPr>
      <w:r>
        <w:t>And the answers differ by state, which is the point. A reader in New Mexico starts from a multibillion-dollar fund and an enforcement clause already written into law; the work there is to keep the trustee honest and the public awake. A reader in Nevada starts from a residue of a few thousand acres and must decide whether even that is worth defending — it is. A reader in Oregon is in the middle of a live fight over the Elliott. Find which state you are in before you decide what to do, because the first useful act in a billion-dollar trust is not the same as the first useful act in one that was nearly emptied.</w:t>
      </w:r>
    </w:p>
    <w:p w14:paraId="4CF3CBD7" w14:textId="77777777" w:rsidR="00DC02F5" w:rsidRDefault="00000000">
      <w:pPr>
        <w:pStyle w:val="BodyText"/>
      </w:pPr>
      <w:r>
        <w:t>The history also suggests several reforms citizens can ask for without waiting for a crisis:</w:t>
      </w:r>
    </w:p>
    <w:p w14:paraId="3FDFE82C" w14:textId="77777777" w:rsidR="00DC02F5" w:rsidRDefault="00000000">
      <w:pPr>
        <w:numPr>
          <w:ilvl w:val="0"/>
          <w:numId w:val="7"/>
        </w:numPr>
      </w:pPr>
      <w:r>
        <w:t>Annual public reports written for schools and parents, not only bond lawyers — and posted where any citizen can find them.</w:t>
      </w:r>
    </w:p>
    <w:p w14:paraId="0BDABD80" w14:textId="77777777" w:rsidR="00DC02F5" w:rsidRDefault="00000000">
      <w:pPr>
        <w:numPr>
          <w:ilvl w:val="0"/>
          <w:numId w:val="7"/>
        </w:numPr>
      </w:pPr>
      <w:r>
        <w:t>Direct, visible distributions to schools where the amount and source are named, so a classroom can point to what the trust paid for.</w:t>
      </w:r>
    </w:p>
    <w:p w14:paraId="61A47EFC" w14:textId="77777777" w:rsidR="00DC02F5" w:rsidRDefault="00000000">
      <w:pPr>
        <w:numPr>
          <w:ilvl w:val="0"/>
          <w:numId w:val="7"/>
        </w:numPr>
      </w:pPr>
      <w:r>
        <w:t>Parent or beneficiary advisory bodies with access to trust accounts.</w:t>
      </w:r>
    </w:p>
    <w:p w14:paraId="7EA87F2E" w14:textId="77777777" w:rsidR="00DC02F5" w:rsidRDefault="00000000">
      <w:pPr>
        <w:numPr>
          <w:ilvl w:val="0"/>
          <w:numId w:val="7"/>
        </w:numPr>
      </w:pPr>
      <w:r>
        <w:t>Independent fiduciary agencies whose mission is only the trust.</w:t>
      </w:r>
    </w:p>
    <w:p w14:paraId="21240EA9" w14:textId="77777777" w:rsidR="00DC02F5" w:rsidRDefault="00000000">
      <w:pPr>
        <w:numPr>
          <w:ilvl w:val="0"/>
          <w:numId w:val="7"/>
        </w:numPr>
      </w:pPr>
      <w:r>
        <w:t>Full-market-value rules for every sale, exchange, easement, lease, or inter-agency transfer.</w:t>
      </w:r>
    </w:p>
    <w:p w14:paraId="7F53221D" w14:textId="77777777" w:rsidR="00DC02F5" w:rsidRDefault="00000000">
      <w:pPr>
        <w:numPr>
          <w:ilvl w:val="0"/>
          <w:numId w:val="7"/>
        </w:numPr>
      </w:pPr>
      <w:r>
        <w:t>Permanent-fund protections that distinguish corpus from income and forbid principal raids.</w:t>
      </w:r>
    </w:p>
    <w:p w14:paraId="33509FA2" w14:textId="77777777" w:rsidR="00DC02F5" w:rsidRDefault="00000000">
      <w:pPr>
        <w:numPr>
          <w:ilvl w:val="0"/>
          <w:numId w:val="7"/>
        </w:numPr>
      </w:pPr>
      <w:r>
        <w:lastRenderedPageBreak/>
        <w:t>Standing provisions that name who may enforce the trust — by office where possible — so the right person can go to court without waiting for permission.</w:t>
      </w:r>
    </w:p>
    <w:p w14:paraId="3708CF50" w14:textId="77777777" w:rsidR="00DC02F5" w:rsidRDefault="00000000">
      <w:pPr>
        <w:numPr>
          <w:ilvl w:val="0"/>
          <w:numId w:val="7"/>
        </w:numPr>
      </w:pPr>
      <w:r>
        <w:t>Public notice before any transaction with another state agency or politically favored buyer.</w:t>
      </w:r>
    </w:p>
    <w:p w14:paraId="6805F226" w14:textId="77777777" w:rsidR="00DC02F5" w:rsidRDefault="00000000">
      <w:r>
        <w:t>This is not theoretical. Utah rebuilt because citizens and education organizations organized. Mississippi changed because unfair leases were challenged. New Mexico’s strict text mattered because someone could enforce it. Montana’s MonTRUST case mattered because citizens turned under-market management into a constitutional issue. Oregon’s Elliott fight matters because the beneficiaries refused to accept a transaction label in place of an accounting.</w:t>
      </w:r>
    </w:p>
    <w:p w14:paraId="47277D96" w14:textId="77777777" w:rsidR="00DC02F5" w:rsidRDefault="00000000">
      <w:pPr>
        <w:pStyle w:val="BodyText"/>
      </w:pPr>
      <w:r>
        <w:t>The work is records, meetings, questions, lawsuits when necessary, and memory. That is how forever promises are kept: not by assuming the words will defend themselves, but by making sure someone is always close enough to notice when they are being broken.</w:t>
      </w:r>
    </w:p>
    <w:p w14:paraId="5109BEE7" w14:textId="77777777" w:rsidR="00DC02F5" w:rsidRDefault="00000000">
      <w:pPr>
        <w:pStyle w:val="BodyText"/>
      </w:pPr>
      <w:r>
        <w:t>So the book ends where the duty begins: with the beneficiary. If your state still holds school trust lands, the inheritance is not an old story. It is present property. It was set aside for schools that could not yet speak. It will survive only if the people who can speak now learn to do it for them.</w:t>
      </w:r>
    </w:p>
    <w:p w14:paraId="7DED94D5" w14:textId="77777777" w:rsidR="00DC02F5" w:rsidRDefault="00000000">
      <w:r>
        <w:br w:type="page"/>
      </w:r>
    </w:p>
    <w:p w14:paraId="1E73A552" w14:textId="77777777" w:rsidR="00DC02F5" w:rsidRDefault="00000000">
      <w:pPr>
        <w:pStyle w:val="Heading1"/>
      </w:pPr>
      <w:bookmarkStart w:id="65" w:name="part-two-the-granted-states-a-to-z"/>
      <w:bookmarkStart w:id="66" w:name="_Toc231774230"/>
      <w:bookmarkStart w:id="67" w:name="_Toc231774290"/>
      <w:bookmarkEnd w:id="62"/>
      <w:r>
        <w:lastRenderedPageBreak/>
        <w:t>PART TWO — The Granted States, A to Z</w:t>
      </w:r>
      <w:bookmarkEnd w:id="66"/>
      <w:bookmarkEnd w:id="67"/>
    </w:p>
    <w:p w14:paraId="5599EAAB" w14:textId="77777777" w:rsidR="00DC02F5" w:rsidRDefault="00000000">
      <w:r>
        <w:t>Part Two is the record. If Part One is the argument, this is the proof — the same story told once for each of the thirty-three states that received the federal school-land grant, arranged simply from A to Z. The pattern you read about in the first half of the book is not a thesis to be debated here; it is a record, repeated thirty-three times, in thirty-three different hands. Some states kept the gift and grew it into an endowment worth billions. Some sold it for a few dollars an acre and have nothing left to show. Most fall somewhere between — and the difference is almost never the land. It is whether anyone was watching.</w:t>
      </w:r>
    </w:p>
    <w:p w14:paraId="0CCC7E96" w14:textId="77777777" w:rsidR="00DC02F5" w:rsidRDefault="00000000">
      <w:pPr>
        <w:pStyle w:val="BodyText"/>
      </w:pPr>
      <w:r>
        <w:rPr>
          <w:i/>
          <w:iCs/>
        </w:rPr>
        <w:t>Each entry that follows is a short portrait, not the whole file. Scan the code at its foot — or visit schooltrusts.net/reading — for that state’s living page: the full data, the source documents, recent rulings, and our latest corrections.</w:t>
      </w:r>
    </w:p>
    <w:p w14:paraId="1C20F984" w14:textId="77777777" w:rsidR="00DC02F5" w:rsidRDefault="00000000">
      <w:pPr>
        <w:pStyle w:val="PullQuote"/>
      </w:pPr>
      <w:r>
        <w:t>“It has been the cherished policy of the government of the United States to promote the establishment and progress of common schools, and to reserve for their endowment the sixteenth section in each township of the public lands.”</w:t>
      </w:r>
      <w:r>
        <w:rPr>
          <w:vertAlign w:val="superscript"/>
        </w:rPr>
        <w:t>1</w:t>
      </w:r>
      <w:r>
        <w:t xml:space="preserve"> — </w:t>
      </w:r>
      <w:r>
        <w:rPr>
          <w:iCs/>
        </w:rPr>
        <w:t>Cooper v. Roberts</w:t>
      </w:r>
      <w:r>
        <w:t>, 59 U.S. (18 How.) 173, 178 (1855)</w:t>
      </w:r>
    </w:p>
    <w:p w14:paraId="3810F932" w14:textId="77777777" w:rsidR="00DC02F5" w:rsidRDefault="00000000">
      <w:pPr>
        <w:pStyle w:val="BodyText"/>
      </w:pPr>
      <w:r>
        <w:rPr>
          <w:i/>
          <w:iCs/>
        </w:rPr>
        <w:t>Each of the thirty-three states that received the federal school-land grant, in the same six-part form: the ledger line, a telling fact, the story, and the lesson it leaves. The verdict is in the title; the arc is in the entry.</w:t>
      </w:r>
    </w:p>
    <w:p w14:paraId="7E34CE80" w14:textId="77777777" w:rsidR="00DC02F5" w:rsidRDefault="00000000">
      <w:r>
        <w:br w:type="page"/>
      </w:r>
    </w:p>
    <w:p w14:paraId="4AE2EE73" w14:textId="77777777" w:rsidR="00DC02F5" w:rsidRDefault="00000000">
      <w:pPr>
        <w:pStyle w:val="Heading2"/>
      </w:pPr>
      <w:bookmarkStart w:id="68" w:name="Xa1c318bd02259a6136fc008c875aa0f330e7d30"/>
      <w:bookmarkStart w:id="69" w:name="_Toc231774231"/>
      <w:r>
        <w:lastRenderedPageBreak/>
        <w:t>Alabama - The Bank That Ate the Schoolhouse</w:t>
      </w:r>
      <w:bookmarkEnd w:id="69"/>
    </w:p>
    <w:p w14:paraId="7EE2859E" w14:textId="77777777" w:rsidR="00DC02F5" w:rsidRDefault="00000000">
      <w:r>
        <w:rPr>
          <w:noProof/>
        </w:rPr>
        <w:drawing>
          <wp:inline distT="0" distB="0" distL="0" distR="0" wp14:anchorId="1A25EDB8" wp14:editId="3C1D664A">
            <wp:extent cx="731520" cy="853135"/>
            <wp:effectExtent l="0" t="0" r="0" b="0"/>
            <wp:docPr id="59" name="Picture" descr="QRFLOAT"/>
            <wp:cNvGraphicFramePr/>
            <a:graphic xmlns:a="http://schemas.openxmlformats.org/drawingml/2006/main">
              <a:graphicData uri="http://schemas.openxmlformats.org/drawingml/2006/picture">
                <pic:pic xmlns:pic="http://schemas.openxmlformats.org/drawingml/2006/picture">
                  <pic:nvPicPr>
                    <pic:cNvPr id="60" name="Picture" descr="C:/Users/drdav/My%20Drive/Claude%20Cowork/_tools/_web_cache/qr_us-al_bad729d0bd1b_1200x_q90.jpg"/>
                    <pic:cNvPicPr>
                      <a:picLocks noChangeAspect="1" noChangeArrowheads="1"/>
                    </pic:cNvPicPr>
                  </pic:nvPicPr>
                  <pic:blipFill>
                    <a:blip r:embed="rId11"/>
                    <a:stretch>
                      <a:fillRect/>
                    </a:stretch>
                  </pic:blipFill>
                  <pic:spPr bwMode="auto">
                    <a:xfrm>
                      <a:off x="0" y="0"/>
                      <a:ext cx="731520" cy="853135"/>
                    </a:xfrm>
                    <a:prstGeom prst="rect">
                      <a:avLst/>
                    </a:prstGeom>
                    <a:noFill/>
                    <a:ln w="9525">
                      <a:noFill/>
                      <a:headEnd/>
                      <a:tailEnd/>
                    </a:ln>
                  </pic:spPr>
                </pic:pic>
              </a:graphicData>
            </a:graphic>
          </wp:inline>
        </w:drawing>
      </w:r>
      <w:r>
        <w:t xml:space="preserve"> </w:t>
      </w:r>
      <w:r>
        <w:rPr>
          <w:i/>
          <w:iCs/>
        </w:rPr>
        <w:t>Admitted Dec. 14, 1819 - Grant: 1 section (Section 16) - Sixteenth-section trust fund today: residual; no dated corpus figure stated here - Trustee: distributed - State Lands Division (DCNR), Dept. of Education, State Treasurer, and county/township boards - Verdict: Broke the trust.</w:t>
      </w:r>
    </w:p>
    <w:p w14:paraId="532D086A" w14:textId="77777777" w:rsidR="00DC02F5" w:rsidRDefault="00000000">
      <w:pPr>
        <w:pStyle w:val="BodyText"/>
      </w:pPr>
      <w:r>
        <w:rPr>
          <w:b/>
          <w:bCs/>
        </w:rPr>
        <w:t>Telling fact:</w:t>
      </w:r>
      <w:r>
        <w:t xml:space="preserve"> When State Auditor R. M. Reynolds went looking in 1869 for the roughly $2.1 million the schools had been owed, he could find no valuable trace of it anywhere - not in bonds, not in buildings, not in receivables - and concluded the children were now being taxed to pay for the endowment that should have been theirs.</w:t>
      </w:r>
    </w:p>
    <w:p w14:paraId="01A8BAD4" w14:textId="77777777" w:rsidR="00DC02F5" w:rsidRDefault="00000000">
      <w:pPr>
        <w:pStyle w:val="BodyText"/>
      </w:pPr>
      <w:r>
        <w:rPr>
          <w:b/>
          <w:bCs/>
        </w:rPr>
        <w:t>The Story.</w:t>
      </w:r>
      <w:r>
        <w:t xml:space="preserve"> Alabama’s grant was a trust from the start: land set apart for the use of schools, held by the state for that purpose. The trouble was not that the trust failed to exist. The trouble was that no one built the machinery to keep the state from treating the children’s money as ordinary public capital.</w:t>
      </w:r>
    </w:p>
    <w:p w14:paraId="41141535" w14:textId="77777777" w:rsidR="00DC02F5" w:rsidRDefault="00000000">
      <w:pPr>
        <w:pStyle w:val="BodyText"/>
      </w:pPr>
      <w:r>
        <w:t xml:space="preserve">In 1827 Congress allowed Alabama to sell its school sections. The state then poured the proceeds into the State Bank of Alabama, using school money as part of the state’s own banking experiment. That was a prudence failure of the simplest kind: too much of the trust’s future placed in one state-controlled institution. The bank failed in 1843. Later federal findings put the loss at $1.3 million in school-land proceeds plus more than $300,000 in university money. The federal Surplus Distribution Act of 1836 had deposited $669,086.78 with Alabama, and that money also passed through the same failed bank. The state papered over the hole with certificates and interest promises, but Auditor Reynolds could not find an asset that made the schools </w:t>
      </w:r>
      <w:r>
        <w:lastRenderedPageBreak/>
        <w:t>whole. Judge Benjamin Porter’s effort to rebuild a permanent fund died in the legislature.</w:t>
      </w:r>
    </w:p>
    <w:p w14:paraId="3A7E62F4" w14:textId="77777777" w:rsidR="00DC02F5" w:rsidRDefault="00000000">
      <w:pPr>
        <w:pStyle w:val="BodyText"/>
      </w:pPr>
      <w:r>
        <w:t xml:space="preserve">Then enforcement failed too. In </w:t>
      </w:r>
      <w:r>
        <w:rPr>
          <w:i/>
          <w:iCs/>
        </w:rPr>
        <w:t>Alabama v. Schmidt</w:t>
      </w:r>
      <w:r>
        <w:t xml:space="preserve"> (1914), Justice Holmes treated the school-use promise as an honorary obligation for federal purposes and allowed ordinary adverse-possession rules to run against school land. That did not mean Alabama had never held a trust. It meant the federal courts would not act as the trust’s policeman. The distinction matters: the duty existed; the remedy was missing.</w:t>
      </w:r>
    </w:p>
    <w:p w14:paraId="1DA701A3" w14:textId="77777777" w:rsidR="00DC02F5" w:rsidRDefault="00000000">
      <w:pPr>
        <w:pStyle w:val="BodyText"/>
      </w:pPr>
      <w:r>
        <w:rPr>
          <w:b/>
          <w:bCs/>
        </w:rPr>
        <w:t>Then-&gt;now:</w:t>
      </w:r>
      <w:r>
        <w:t xml:space="preserve"> A grant of roughly 903,000 acres -&gt; a residual sixteenth-section fund that is a rounding error against a billions-dollar K-12 budget.</w:t>
      </w:r>
    </w:p>
    <w:p w14:paraId="2AF67945" w14:textId="77777777" w:rsidR="00DC02F5" w:rsidRDefault="00000000">
      <w:pPr>
        <w:pStyle w:val="BodyText"/>
      </w:pPr>
      <w:r>
        <w:rPr>
          <w:b/>
          <w:bCs/>
        </w:rPr>
        <w:t>Lesson:</w:t>
      </w:r>
      <w:r>
        <w:t xml:space="preserve"> A trust can be real and still be ruined by imprudence. Alabama did not need weaker words to lose the gift; it only needed a trustee willing to stake the children’s future on the state’s bank. (See Ch. 5.)</w:t>
      </w:r>
    </w:p>
    <w:p w14:paraId="4C97289A" w14:textId="77777777" w:rsidR="00DC02F5" w:rsidRDefault="00000000">
      <w:pPr>
        <w:pStyle w:val="BodyText"/>
      </w:pPr>
      <w:r>
        <w:rPr>
          <w:i/>
          <w:iCs/>
        </w:rPr>
        <w:t>Sources/notes:</w:t>
      </w:r>
      <w:r>
        <w:t xml:space="preserve"> 1819 Enabling Act sec. 6, 3 Stat. 489; </w:t>
      </w:r>
      <w:r>
        <w:rPr>
          <w:i/>
          <w:iCs/>
        </w:rPr>
        <w:t>Alabama v. Schmidt</w:t>
      </w:r>
      <w:r>
        <w:t xml:space="preserve">, 232 U.S. 168 (1914); Weeks, </w:t>
      </w:r>
      <w:r>
        <w:rPr>
          <w:i/>
          <w:iCs/>
        </w:rPr>
        <w:t>History of Public School Education in Alabama</w:t>
      </w:r>
      <w:r>
        <w:t xml:space="preserve"> (1915), on the bank collapse and the 1869 Reynolds audit; </w:t>
      </w:r>
      <w:r>
        <w:rPr>
          <w:i/>
          <w:iCs/>
        </w:rPr>
        <w:t>Knight v. Alabama</w:t>
      </w:r>
      <w:r>
        <w:t xml:space="preserve">, 458 F. Supp. 2d 1273 (N.D. Ala. 2004) (loss figures). The $669,086.78 federal surplus deposit (Deposit Act of June 23, 1836, 5 Stat. 52) passed through the same failed bank; on the collapse and the loss figures see Weeks (1915) and </w:t>
      </w:r>
      <w:r>
        <w:rPr>
          <w:i/>
          <w:iCs/>
        </w:rPr>
        <w:t>Knight v. Alabama</w:t>
      </w:r>
      <w:r>
        <w:t>, above. Residual corpus remains to be pinned against State Lands Division / Dept. of Education records.</w:t>
      </w:r>
    </w:p>
    <w:p w14:paraId="5DFD824C" w14:textId="77777777" w:rsidR="00DC02F5" w:rsidRDefault="00000000">
      <w:r>
        <w:pict w14:anchorId="4EE9F26F">
          <v:rect id="_x0000_i1025" style="width:0;height:1.5pt" o:hralign="center" o:hrstd="t" o:hr="t"/>
        </w:pict>
      </w:r>
    </w:p>
    <w:p w14:paraId="617C7C18" w14:textId="77777777" w:rsidR="00DC02F5" w:rsidRDefault="00000000">
      <w:r>
        <w:br w:type="page"/>
      </w:r>
    </w:p>
    <w:p w14:paraId="7FB1806D" w14:textId="77777777" w:rsidR="00DC02F5" w:rsidRDefault="00000000">
      <w:pPr>
        <w:pStyle w:val="Heading2"/>
      </w:pPr>
      <w:bookmarkStart w:id="70" w:name="Xb604f1a3109c892ce417a0c64c450a01c12e687"/>
      <w:bookmarkStart w:id="71" w:name="_Toc231774232"/>
      <w:bookmarkEnd w:id="68"/>
      <w:r>
        <w:lastRenderedPageBreak/>
        <w:t>Alaska - The State That Chose a Different Trust</w:t>
      </w:r>
      <w:bookmarkEnd w:id="71"/>
    </w:p>
    <w:p w14:paraId="5798E263" w14:textId="77777777" w:rsidR="00DC02F5" w:rsidRDefault="00000000">
      <w:r>
        <w:rPr>
          <w:noProof/>
        </w:rPr>
        <w:drawing>
          <wp:inline distT="0" distB="0" distL="0" distR="0" wp14:anchorId="00066618" wp14:editId="10874B10">
            <wp:extent cx="731520" cy="853135"/>
            <wp:effectExtent l="0" t="0" r="0" b="0"/>
            <wp:docPr id="63" name="Picture" descr="QRFLOAT"/>
            <wp:cNvGraphicFramePr/>
            <a:graphic xmlns:a="http://schemas.openxmlformats.org/drawingml/2006/main">
              <a:graphicData uri="http://schemas.openxmlformats.org/drawingml/2006/picture">
                <pic:pic xmlns:pic="http://schemas.openxmlformats.org/drawingml/2006/picture">
                  <pic:nvPicPr>
                    <pic:cNvPr id="64" name="Picture" descr="C:/Users/drdav/My%20Drive/Claude%20Cowork/_tools/_web_cache/qr_us-ak_6a179a6215da_1200x_q90.jpg"/>
                    <pic:cNvPicPr>
                      <a:picLocks noChangeAspect="1" noChangeArrowheads="1"/>
                    </pic:cNvPicPr>
                  </pic:nvPicPr>
                  <pic:blipFill>
                    <a:blip r:embed="rId12"/>
                    <a:stretch>
                      <a:fillRect/>
                    </a:stretch>
                  </pic:blipFill>
                  <pic:spPr bwMode="auto">
                    <a:xfrm>
                      <a:off x="0" y="0"/>
                      <a:ext cx="731520" cy="853135"/>
                    </a:xfrm>
                    <a:prstGeom prst="rect">
                      <a:avLst/>
                    </a:prstGeom>
                    <a:noFill/>
                    <a:ln w="9525">
                      <a:noFill/>
                      <a:headEnd/>
                      <a:tailEnd/>
                    </a:ln>
                  </pic:spPr>
                </pic:pic>
              </a:graphicData>
            </a:graphic>
          </wp:inline>
        </w:drawing>
      </w:r>
      <w:r>
        <w:t xml:space="preserve"> </w:t>
      </w:r>
      <w:r>
        <w:rPr>
          <w:i/>
          <w:iCs/>
        </w:rPr>
        <w:t>Admitted Jan. 3, 1959 - Grant: no common-school section grant; a 102.55-million-acre general-purposes selection right, plus the small 1915 territorial school reservation - Public School Trust Fund today: $945.6 million [as of Nov. 30, 2025] - Trustee: Dept. of Revenue Treasury Division (school fund); separately, the Permanent Fund Corporation runs the much larger citizens’ fund - Verdict: Built school support mostly outside the section-trust model.</w:t>
      </w:r>
    </w:p>
    <w:p w14:paraId="1F31D57F" w14:textId="77777777" w:rsidR="00DC02F5" w:rsidRDefault="00000000">
      <w:pPr>
        <w:pStyle w:val="BodyText"/>
      </w:pPr>
      <w:r>
        <w:rPr>
          <w:b/>
          <w:bCs/>
        </w:rPr>
        <w:t>Telling fact:</w:t>
      </w:r>
      <w:r>
        <w:t xml:space="preserve"> In the same Statehood Act in which Congress declined to create a common-school land trust for Alaska’s general grant, it did create a strong Mental Health Trust. The omission was not ignorance. It was choice.</w:t>
      </w:r>
    </w:p>
    <w:p w14:paraId="55D82155" w14:textId="77777777" w:rsidR="00DC02F5" w:rsidRDefault="00000000">
      <w:pPr>
        <w:pStyle w:val="BodyText"/>
      </w:pPr>
      <w:r>
        <w:rPr>
          <w:b/>
          <w:bCs/>
        </w:rPr>
        <w:t>The Story.</w:t>
      </w:r>
      <w:r>
        <w:t xml:space="preserve"> Alaska does not fit the section-sixteen story. Congress gave the new state the largest single land grant in American history - more than 102 million acres - but not as a dedicated common-school trust. The school-trust acreage Alaska does hold traces mainly to a modest 1915 territorial reservation of Sections 16 and 36 in surveyed townships. The great 1958 grant was general-purpose state land, not the public-land-school template that shaped Ohio, Oregon, Utah, or New Mexico.</w:t>
      </w:r>
    </w:p>
    <w:p w14:paraId="5F839C8F" w14:textId="77777777" w:rsidR="00DC02F5" w:rsidRDefault="00000000">
      <w:pPr>
        <w:pStyle w:val="BodyText"/>
      </w:pPr>
      <w:r>
        <w:t>That does not mean Alaska rejected every trust. The same Statehood Act created the Alaska Mental Health Trust, and later litigation forced the state to respect and reconstitute it. Alaska’s record therefore teaches a narrower lesson: Congress and Alaska knew how to build a trust when they chose to. They simply did not make the 102-million-acre school-and-development grant into a trust dedicated to the schools.</w:t>
      </w:r>
    </w:p>
    <w:p w14:paraId="5719FC41" w14:textId="77777777" w:rsidR="00DC02F5" w:rsidRDefault="00000000">
      <w:pPr>
        <w:pStyle w:val="BodyText"/>
      </w:pPr>
      <w:r>
        <w:lastRenderedPageBreak/>
        <w:t xml:space="preserve">The Alaska Constitution reinforced that choice with a strong Dedicated Funds Clause, forbidding revenue dedication except by constitutional exception. Voters later carved out the Alaska Permanent Fund for citizens, not schools, and a Budget Reserve. The courts have enforced the no-dedication rule even against legislative efforts to protect school funding. The small school trust has its own scar: in </w:t>
      </w:r>
      <w:r>
        <w:rPr>
          <w:i/>
          <w:iCs/>
        </w:rPr>
        <w:t>Kasayulie</w:t>
      </w:r>
      <w:r>
        <w:t xml:space="preserve"> (1999), a superior court found a breach in the state’s 1978 conversion of school lands to a cash trust without valuation.</w:t>
      </w:r>
    </w:p>
    <w:p w14:paraId="1AEF2F72" w14:textId="77777777" w:rsidR="00DC02F5" w:rsidRDefault="00000000">
      <w:pPr>
        <w:pStyle w:val="BodyText"/>
      </w:pPr>
      <w:r>
        <w:rPr>
          <w:b/>
          <w:bCs/>
        </w:rPr>
        <w:t>Lesson:</w:t>
      </w:r>
      <w:r>
        <w:t xml:space="preserve"> Alaska proves that a trust is a choice. A state can receive immense public land and still leave schoolchildren dependent on ordinary appropriations if the founding deal does not dedicate corpus to them. (See Ch. 8.)</w:t>
      </w:r>
    </w:p>
    <w:p w14:paraId="64FBD61E" w14:textId="77777777" w:rsidR="00DC02F5" w:rsidRDefault="00000000">
      <w:pPr>
        <w:pStyle w:val="BodyText"/>
      </w:pPr>
      <w:r>
        <w:rPr>
          <w:i/>
          <w:iCs/>
        </w:rPr>
        <w:t>Sources/notes:</w:t>
      </w:r>
      <w:r>
        <w:t xml:space="preserve"> Alaska Statehood Act sec. 6, 72 Stat. 339; Act of Mar. 4, 1915, 38 Stat. 1214; Alaska Const. art. VII sec. 1, art. VIII, art. IX secs. 7, 15, 17; </w:t>
      </w:r>
      <w:r>
        <w:rPr>
          <w:i/>
          <w:iCs/>
        </w:rPr>
        <w:t>Wielechowski v. State</w:t>
      </w:r>
      <w:r>
        <w:t xml:space="preserve">, 403 P.3d 1141 (2017); </w:t>
      </w:r>
      <w:r>
        <w:rPr>
          <w:i/>
          <w:iCs/>
        </w:rPr>
        <w:t>Dunleavy v. Alaska Legislative Council</w:t>
      </w:r>
      <w:r>
        <w:t xml:space="preserve">, 515 P.3d 117 (2022); </w:t>
      </w:r>
      <w:r>
        <w:rPr>
          <w:i/>
          <w:iCs/>
        </w:rPr>
        <w:t>Kasayulie v. State</w:t>
      </w:r>
      <w:r>
        <w:t xml:space="preserve"> (Alaska Super. Ct. 1999). School fund value $945.6M is [as of Nov. 30, 2025] per Dept. of Revenue; the separate citizens’ Permanent Fund is not used here as a school-trust corpus figure.</w:t>
      </w:r>
    </w:p>
    <w:p w14:paraId="2C523576" w14:textId="77777777" w:rsidR="00DC02F5" w:rsidRDefault="00000000">
      <w:r>
        <w:pict w14:anchorId="31575BF6">
          <v:rect id="_x0000_i1026" style="width:0;height:1.5pt" o:hralign="center" o:hrstd="t" o:hr="t"/>
        </w:pict>
      </w:r>
    </w:p>
    <w:p w14:paraId="68D9AD4E" w14:textId="77777777" w:rsidR="00DC02F5" w:rsidRDefault="00000000">
      <w:r>
        <w:br w:type="page"/>
      </w:r>
    </w:p>
    <w:p w14:paraId="01DA8772" w14:textId="77777777" w:rsidR="00DC02F5" w:rsidRDefault="00000000">
      <w:pPr>
        <w:pStyle w:val="Heading2"/>
      </w:pPr>
      <w:bookmarkStart w:id="72" w:name="arizona---strong-text-hard-lessons"/>
      <w:bookmarkStart w:id="73" w:name="_Toc231774233"/>
      <w:bookmarkEnd w:id="70"/>
      <w:r>
        <w:lastRenderedPageBreak/>
        <w:t>Arizona - Strong Text, Hard Lessons</w:t>
      </w:r>
      <w:bookmarkEnd w:id="73"/>
    </w:p>
    <w:p w14:paraId="378AC86D" w14:textId="77777777" w:rsidR="00DC02F5" w:rsidRDefault="00000000">
      <w:r>
        <w:rPr>
          <w:noProof/>
        </w:rPr>
        <w:drawing>
          <wp:inline distT="0" distB="0" distL="0" distR="0" wp14:anchorId="7F6FC7DF" wp14:editId="7E53A607">
            <wp:extent cx="731520" cy="853135"/>
            <wp:effectExtent l="0" t="0" r="0" b="0"/>
            <wp:docPr id="67" name="Picture" descr="QRFLOAT"/>
            <wp:cNvGraphicFramePr/>
            <a:graphic xmlns:a="http://schemas.openxmlformats.org/drawingml/2006/main">
              <a:graphicData uri="http://schemas.openxmlformats.org/drawingml/2006/picture">
                <pic:pic xmlns:pic="http://schemas.openxmlformats.org/drawingml/2006/picture">
                  <pic:nvPicPr>
                    <pic:cNvPr id="68" name="Picture" descr="C:/Users/drdav/My%20Drive/Claude%20Cowork/_tools/_web_cache/qr_us-az_20d70c38ad0a_1200x_q90.jpg"/>
                    <pic:cNvPicPr>
                      <a:picLocks noChangeAspect="1" noChangeArrowheads="1"/>
                    </pic:cNvPicPr>
                  </pic:nvPicPr>
                  <pic:blipFill>
                    <a:blip r:embed="rId13"/>
                    <a:stretch>
                      <a:fillRect/>
                    </a:stretch>
                  </pic:blipFill>
                  <pic:spPr bwMode="auto">
                    <a:xfrm>
                      <a:off x="0" y="0"/>
                      <a:ext cx="731520" cy="853135"/>
                    </a:xfrm>
                    <a:prstGeom prst="rect">
                      <a:avLst/>
                    </a:prstGeom>
                    <a:noFill/>
                    <a:ln w="9525">
                      <a:noFill/>
                      <a:headEnd/>
                      <a:tailEnd/>
                    </a:ln>
                  </pic:spPr>
                </pic:pic>
              </a:graphicData>
            </a:graphic>
          </wp:inline>
        </w:drawing>
      </w:r>
      <w:r>
        <w:t xml:space="preserve"> </w:t>
      </w:r>
      <w:r>
        <w:rPr>
          <w:i/>
          <w:iCs/>
        </w:rPr>
        <w:t>Admitted Feb. 14, 1912 - Grant: 4 sections (2, 16, 32, 36) under the 1910 Enabling Act - the federal high-water mark - Permanent Land Endowment Trust Fund: roughly $8.8 billion [as of June 2024] - Trustee: appointed State Land Commissioner (Arizona State Land Dept.) - Verdict: Kept faith in law, left money on the table in practice.</w:t>
      </w:r>
    </w:p>
    <w:p w14:paraId="6237D74A" w14:textId="77777777" w:rsidR="00DC02F5" w:rsidRDefault="00000000">
      <w:pPr>
        <w:pStyle w:val="BodyText"/>
      </w:pPr>
      <w:r>
        <w:rPr>
          <w:b/>
          <w:bCs/>
        </w:rPr>
        <w:t>Telling fact:</w:t>
      </w:r>
      <w:r>
        <w:t xml:space="preserve"> Arizona and New Mexico received parallel 1910 trust language, but New Mexico’s much larger fund is not proof that words alone explain outcomes. Geology matters. New Mexico sits on extraordinary oil and gas wealth; Arizona does not.</w:t>
      </w:r>
    </w:p>
    <w:p w14:paraId="134B0CA0" w14:textId="77777777" w:rsidR="00DC02F5" w:rsidRDefault="00000000">
      <w:pPr>
        <w:pStyle w:val="BodyText"/>
      </w:pPr>
      <w:r>
        <w:rPr>
          <w:b/>
          <w:bCs/>
        </w:rPr>
        <w:t>The Story.</w:t>
      </w:r>
      <w:r>
        <w:t xml:space="preserve"> Nowhere in America is the granting language harder than Arizona’s. The 1910 Enabling Act calls the lands “in trust,” brands any wrong disposition a “breach of trust,” voids non-conforming sales, and gives the United States Attorney General an enforcement role. Arizona’s own constitution mirrors the federal terms. When the text is invoked, it bites. In </w:t>
      </w:r>
      <w:r>
        <w:rPr>
          <w:i/>
          <w:iCs/>
        </w:rPr>
        <w:t>Lassen</w:t>
      </w:r>
      <w:r>
        <w:t xml:space="preserve"> (1967), the U.S. Supreme Court made Arizona pay the trust in money for highway easements the state had taken without compensation. In </w:t>
      </w:r>
      <w:r>
        <w:rPr>
          <w:i/>
          <w:iCs/>
        </w:rPr>
        <w:t>Kadish</w:t>
      </w:r>
      <w:r>
        <w:t xml:space="preserve"> (1988), the courts treated the state as a trustee, not merely as a public land manager.</w:t>
      </w:r>
    </w:p>
    <w:p w14:paraId="41300854" w14:textId="77777777" w:rsidR="00DC02F5" w:rsidRDefault="00000000">
      <w:pPr>
        <w:pStyle w:val="BodyText"/>
      </w:pPr>
      <w:r>
        <w:t xml:space="preserve">But strong text does not produce minerals that are not there, and it does not price every lease by itself. New Mexico’s fund dwarfs Arizona’s partly because New Mexico’s trust estate rides on richer oil and gas geology. Arizona’s failures are more practical: underpriced grazing, weak water pricing, slow rent adjustment, and political willingness to draw more heavily from the fund to settle school-finance pressure. A 1997 audit found grazing leases among the lowest in the West. A 2024 audit found the state had not adjusted some </w:t>
      </w:r>
      <w:r>
        <w:lastRenderedPageBreak/>
        <w:t>agricultural rents in seventeen years and had never charged the Saudi-owned firm Fondomonte for groundwater used to grow alfalfa for export, even though Arizona law treats groundwater under trust land as a product of the land. Proposition 123, adopted in 2016, increased distributions in a way critics treated as a principal draw.</w:t>
      </w:r>
    </w:p>
    <w:p w14:paraId="6ABC4CD0" w14:textId="77777777" w:rsidR="00DC02F5" w:rsidRDefault="00000000">
      <w:pPr>
        <w:pStyle w:val="BodyText"/>
      </w:pPr>
      <w:r>
        <w:rPr>
          <w:b/>
          <w:bCs/>
        </w:rPr>
        <w:t>Pull-quote:</w:t>
      </w:r>
      <w:r>
        <w:t xml:space="preserve"> </w:t>
      </w:r>
      <w:r>
        <w:rPr>
          <w:i/>
          <w:iCs/>
        </w:rPr>
        <w:t>“The state’s duties are those of a trustee, not those of a good business manager.” - the rule distilled from</w:t>
      </w:r>
      <w:r>
        <w:t xml:space="preserve"> Kadish v. Arizona State Land Department </w:t>
      </w:r>
      <w:r>
        <w:rPr>
          <w:i/>
          <w:iCs/>
        </w:rPr>
        <w:t>(1988)</w:t>
      </w:r>
    </w:p>
    <w:p w14:paraId="54DBC0A5" w14:textId="77777777" w:rsidR="00DC02F5" w:rsidRDefault="00000000">
      <w:pPr>
        <w:pStyle w:val="BodyText"/>
      </w:pPr>
      <w:r>
        <w:rPr>
          <w:b/>
          <w:bCs/>
        </w:rPr>
        <w:t>Lesson:</w:t>
      </w:r>
      <w:r>
        <w:t xml:space="preserve"> Strong words make enforcement possible. They do not replace geology, pricing, accounting, or beneficiary vigilance. (See Ch. 8.)</w:t>
      </w:r>
    </w:p>
    <w:p w14:paraId="0D7A682A" w14:textId="77777777" w:rsidR="00DC02F5" w:rsidRDefault="00000000">
      <w:pPr>
        <w:pStyle w:val="BodyText"/>
      </w:pPr>
      <w:r>
        <w:rPr>
          <w:i/>
          <w:iCs/>
        </w:rPr>
        <w:t>Sources/notes:</w:t>
      </w:r>
      <w:r>
        <w:t xml:space="preserve"> New Mexico-Arizona Enabling Act of June 20, 1910, sec. 28, 36 Stat. 574-75; </w:t>
      </w:r>
      <w:r>
        <w:rPr>
          <w:i/>
          <w:iCs/>
        </w:rPr>
        <w:t>Lassen v. Arizona</w:t>
      </w:r>
      <w:r>
        <w:t xml:space="preserve">, 385 U.S. 458 (1967); </w:t>
      </w:r>
      <w:r>
        <w:rPr>
          <w:i/>
          <w:iCs/>
        </w:rPr>
        <w:t>ASARCO Inc. v. Kadish</w:t>
      </w:r>
      <w:r>
        <w:t>, 490 U.S. 605 (1989); 2024 Auditor General Fondomonte audit; Prop 123 (2016, drew down principal). PLETF ~$8.8B is [as of June 2024] per State Treasurer; New Mexico comparator is about $32.97B [as of Dec. 31, 2024] per the New Mexico State Investment Council monthly performance reporting. Fondomonte groundwater is the live “natural products” breach question; Lassen is the doctrinal anchor.</w:t>
      </w:r>
    </w:p>
    <w:p w14:paraId="2BFACE27" w14:textId="77777777" w:rsidR="00DC02F5" w:rsidRDefault="00000000">
      <w:r>
        <w:pict w14:anchorId="6A1549A9">
          <v:rect id="_x0000_i1027" style="width:0;height:1.5pt" o:hralign="center" o:hrstd="t" o:hr="t"/>
        </w:pict>
      </w:r>
    </w:p>
    <w:p w14:paraId="4FC37F2A" w14:textId="77777777" w:rsidR="00DC02F5" w:rsidRDefault="00000000">
      <w:r>
        <w:br w:type="page"/>
      </w:r>
    </w:p>
    <w:p w14:paraId="19F255A9" w14:textId="77777777" w:rsidR="00DC02F5" w:rsidRDefault="00000000">
      <w:pPr>
        <w:pStyle w:val="Heading2"/>
      </w:pPr>
      <w:bookmarkStart w:id="74" w:name="Xe2503d51646a9308d17153e7e8bc20a6831ccf1"/>
      <w:bookmarkStart w:id="75" w:name="_Toc231774234"/>
      <w:bookmarkEnd w:id="72"/>
      <w:r>
        <w:lastRenderedPageBreak/>
        <w:t>Arkansas - The Endowment That Was Gone Before Anyone Looked</w:t>
      </w:r>
      <w:bookmarkEnd w:id="75"/>
    </w:p>
    <w:p w14:paraId="00CD015A" w14:textId="77777777" w:rsidR="00DC02F5" w:rsidRDefault="00000000">
      <w:r>
        <w:rPr>
          <w:noProof/>
        </w:rPr>
        <w:drawing>
          <wp:inline distT="0" distB="0" distL="0" distR="0" wp14:anchorId="4DB7C09F" wp14:editId="1D6560A4">
            <wp:extent cx="731520" cy="853135"/>
            <wp:effectExtent l="0" t="0" r="0" b="0"/>
            <wp:docPr id="71" name="Picture" descr="QRFLOAT"/>
            <wp:cNvGraphicFramePr/>
            <a:graphic xmlns:a="http://schemas.openxmlformats.org/drawingml/2006/main">
              <a:graphicData uri="http://schemas.openxmlformats.org/drawingml/2006/picture">
                <pic:pic xmlns:pic="http://schemas.openxmlformats.org/drawingml/2006/picture">
                  <pic:nvPicPr>
                    <pic:cNvPr id="72" name="Picture" descr="C:/Users/drdav/My%20Drive/Claude%20Cowork/_tools/_web_cache/qr_us-ar_9f458beeb522_1200x_q90.jpg"/>
                    <pic:cNvPicPr>
                      <a:picLocks noChangeAspect="1" noChangeArrowheads="1"/>
                    </pic:cNvPicPr>
                  </pic:nvPicPr>
                  <pic:blipFill>
                    <a:blip r:embed="rId14"/>
                    <a:stretch>
                      <a:fillRect/>
                    </a:stretch>
                  </pic:blipFill>
                  <pic:spPr bwMode="auto">
                    <a:xfrm>
                      <a:off x="0" y="0"/>
                      <a:ext cx="731520" cy="853135"/>
                    </a:xfrm>
                    <a:prstGeom prst="rect">
                      <a:avLst/>
                    </a:prstGeom>
                    <a:noFill/>
                    <a:ln w="9525">
                      <a:noFill/>
                      <a:headEnd/>
                      <a:tailEnd/>
                    </a:ln>
                  </pic:spPr>
                </pic:pic>
              </a:graphicData>
            </a:graphic>
          </wp:inline>
        </w:drawing>
      </w:r>
      <w:r>
        <w:t xml:space="preserve"> </w:t>
      </w:r>
      <w:r>
        <w:rPr>
          <w:i/>
          <w:iCs/>
        </w:rPr>
        <w:t>Admitted June 15, 1836 - Grant: 1 section (Section 16) - Common School Fund (federal-grant residual) today: small line item; no dated corpus figure stated here - Trustee: distributed - Commissioner of State Lands, Dept. of Education, State Treasurer - Verdict: Broke the trust by drift.</w:t>
      </w:r>
    </w:p>
    <w:p w14:paraId="53B97BB6" w14:textId="77777777" w:rsidR="00DC02F5" w:rsidRDefault="00000000">
      <w:pPr>
        <w:pStyle w:val="BodyText"/>
      </w:pPr>
      <w:r>
        <w:rPr>
          <w:b/>
          <w:bCs/>
        </w:rPr>
        <w:t>Telling fact:</w:t>
      </w:r>
      <w:r>
        <w:t xml:space="preserve"> Just seven years after Arkansas joined the Union, Congress let the state sell its school sections - and the corpus dissolved into township ledgers so quietly that the state’s own land commissioner now treats the file as archival rather than as a living trust.</w:t>
      </w:r>
    </w:p>
    <w:p w14:paraId="0DCBE0CB" w14:textId="77777777" w:rsidR="00DC02F5" w:rsidRDefault="00000000">
      <w:pPr>
        <w:pStyle w:val="BodyText"/>
      </w:pPr>
      <w:r>
        <w:rPr>
          <w:b/>
          <w:bCs/>
        </w:rPr>
        <w:t>The Story.</w:t>
      </w:r>
      <w:r>
        <w:t xml:space="preserve"> Arkansas is the leanest school-trust story in the country, and the loss here is not dramatic theft but slow disappearance. The 1836 grant was the single-section template: Section 16 for the use of schools. That was enough to create the duty. What Arkansas lacked was durable machinery - no permanent-fund discipline strong enough to hold the proceeds, no federal enforcer, no visible statewide beneficiary constituency, and no land board whose only job was to watch.</w:t>
      </w:r>
    </w:p>
    <w:p w14:paraId="617B8B5C" w14:textId="77777777" w:rsidR="00DC02F5" w:rsidRDefault="00000000">
      <w:pPr>
        <w:pStyle w:val="BodyText"/>
      </w:pPr>
      <w:r>
        <w:t xml:space="preserve">The 1843 federal sale authority converted land into sale proceeds and pushed the trust into hard-to-follow township administration. From there the corpus faded. Arkansas courts later read the state constitution’s anti-diversion rule functionally rather than strictly: under the </w:t>
      </w:r>
      <w:r>
        <w:rPr>
          <w:i/>
          <w:iCs/>
        </w:rPr>
        <w:t>Rainwater</w:t>
      </w:r>
      <w:r>
        <w:t xml:space="preserve"> benefit test, school money could be spent on anything that benefited schools. By the time Arkansas’s modern school-finance cases matured in </w:t>
      </w:r>
      <w:r>
        <w:rPr>
          <w:i/>
          <w:iCs/>
        </w:rPr>
        <w:t>DuPree</w:t>
      </w:r>
      <w:r>
        <w:t xml:space="preserve"> and </w:t>
      </w:r>
      <w:r>
        <w:rPr>
          <w:i/>
          <w:iCs/>
        </w:rPr>
        <w:t>Lake View</w:t>
      </w:r>
      <w:r>
        <w:t xml:space="preserve">, the fight was over adequate current funding, not the preservation of a land </w:t>
      </w:r>
      <w:r>
        <w:lastRenderedPageBreak/>
        <w:t>endowment. Those cases could force a legislature to fund schools; they could not rebuild a corpus that had disappeared a century earlier.</w:t>
      </w:r>
    </w:p>
    <w:p w14:paraId="5B9E2A6D" w14:textId="77777777" w:rsidR="00DC02F5" w:rsidRDefault="00000000">
      <w:pPr>
        <w:pStyle w:val="BodyText"/>
      </w:pPr>
      <w:r>
        <w:rPr>
          <w:b/>
          <w:bCs/>
        </w:rPr>
        <w:t>Lesson:</w:t>
      </w:r>
      <w:r>
        <w:t xml:space="preserve"> A trust can be lost before it has a constituency. Arkansas shows why visible money flow and permanent-fund discipline have to arrive early. (See Ch. 8.)</w:t>
      </w:r>
    </w:p>
    <w:p w14:paraId="5DCE87EA" w14:textId="77777777" w:rsidR="00DC02F5" w:rsidRDefault="00000000">
      <w:pPr>
        <w:pStyle w:val="BodyText"/>
      </w:pPr>
      <w:r>
        <w:rPr>
          <w:i/>
          <w:iCs/>
        </w:rPr>
        <w:t>Sources/notes:</w:t>
      </w:r>
      <w:r>
        <w:t xml:space="preserve"> Act of June 23, 1836, 5 Stat. 58 (school-land propositions); </w:t>
      </w:r>
      <w:r>
        <w:rPr>
          <w:i/>
          <w:iCs/>
        </w:rPr>
        <w:t>Cooper v. Roberts</w:t>
      </w:r>
      <w:r>
        <w:t xml:space="preserve">, 59 U.S. 173 (1855); Ark. Const. art. 14 secs. 1-2; </w:t>
      </w:r>
      <w:r>
        <w:rPr>
          <w:i/>
          <w:iCs/>
        </w:rPr>
        <w:t>Rainwater v. Haynes</w:t>
      </w:r>
      <w:r>
        <w:t xml:space="preserve"> (1968); </w:t>
      </w:r>
      <w:r>
        <w:rPr>
          <w:i/>
          <w:iCs/>
        </w:rPr>
        <w:t>DuPree</w:t>
      </w:r>
      <w:r>
        <w:t xml:space="preserve"> (1983); </w:t>
      </w:r>
      <w:r>
        <w:rPr>
          <w:i/>
          <w:iCs/>
        </w:rPr>
        <w:t>Lake View Sch. Dist. No. 25 v. Huckabee</w:t>
      </w:r>
      <w:r>
        <w:t xml:space="preserve"> (2002); LEARNS Act voucher suit (filed 2024). Residual corpus and acreage remain to be pinned against State Treasurer and Commissioner of State Lands records.</w:t>
      </w:r>
    </w:p>
    <w:p w14:paraId="5741008F" w14:textId="77777777" w:rsidR="00DC02F5" w:rsidRDefault="00000000">
      <w:r>
        <w:pict w14:anchorId="553934FD">
          <v:rect id="_x0000_i1028" style="width:0;height:1.5pt" o:hralign="center" o:hrstd="t" o:hr="t"/>
        </w:pict>
      </w:r>
    </w:p>
    <w:p w14:paraId="73BF6502" w14:textId="77777777" w:rsidR="00DC02F5" w:rsidRDefault="00000000">
      <w:r>
        <w:br w:type="page"/>
      </w:r>
    </w:p>
    <w:p w14:paraId="1092EF9F" w14:textId="77777777" w:rsidR="00DC02F5" w:rsidRDefault="00000000">
      <w:pPr>
        <w:pStyle w:val="Heading2"/>
      </w:pPr>
      <w:bookmarkStart w:id="76" w:name="X322dc6b570f5ce55a60ae642fea004099d55329"/>
      <w:bookmarkStart w:id="77" w:name="_Toc231774235"/>
      <w:bookmarkEnd w:id="74"/>
      <w:r>
        <w:lastRenderedPageBreak/>
        <w:t>California — The Trust California Failed to Build</w:t>
      </w:r>
      <w:bookmarkEnd w:id="77"/>
    </w:p>
    <w:p w14:paraId="6FFF5DD5" w14:textId="77777777" w:rsidR="00DC02F5" w:rsidRDefault="00000000">
      <w:r>
        <w:rPr>
          <w:noProof/>
        </w:rPr>
        <w:drawing>
          <wp:inline distT="0" distB="0" distL="0" distR="0" wp14:anchorId="0EB2BDB5" wp14:editId="7A247C87">
            <wp:extent cx="731520" cy="853135"/>
            <wp:effectExtent l="0" t="0" r="0" b="0"/>
            <wp:docPr id="75" name="Picture" descr="QRFLOAT"/>
            <wp:cNvGraphicFramePr/>
            <a:graphic xmlns:a="http://schemas.openxmlformats.org/drawingml/2006/main">
              <a:graphicData uri="http://schemas.openxmlformats.org/drawingml/2006/picture">
                <pic:pic xmlns:pic="http://schemas.openxmlformats.org/drawingml/2006/picture">
                  <pic:nvPicPr>
                    <pic:cNvPr id="76" name="Picture" descr="C:/Users/drdav/My%20Drive/Claude%20Cowork/_tools/_web_cache/qr_us-ca_87c83205390c_1200x_q90.jpg"/>
                    <pic:cNvPicPr>
                      <a:picLocks noChangeAspect="1" noChangeArrowheads="1"/>
                    </pic:cNvPicPr>
                  </pic:nvPicPr>
                  <pic:blipFill>
                    <a:blip r:embed="rId15"/>
                    <a:stretch>
                      <a:fillRect/>
                    </a:stretch>
                  </pic:blipFill>
                  <pic:spPr bwMode="auto">
                    <a:xfrm>
                      <a:off x="0" y="0"/>
                      <a:ext cx="731520" cy="853135"/>
                    </a:xfrm>
                    <a:prstGeom prst="rect">
                      <a:avLst/>
                    </a:prstGeom>
                    <a:noFill/>
                    <a:ln w="9525">
                      <a:noFill/>
                      <a:headEnd/>
                      <a:tailEnd/>
                    </a:ln>
                  </pic:spPr>
                </pic:pic>
              </a:graphicData>
            </a:graphic>
          </wp:inline>
        </w:drawing>
      </w:r>
      <w:r>
        <w:t xml:space="preserve"> </w:t>
      </w:r>
      <w:r>
        <w:rPr>
          <w:i/>
          <w:iCs/>
        </w:rPr>
        <w:t>Admitted Sept. 9, 1850 · Grant: 2 sections (16 and 36), conferred by the 1853 survey act · School Land Bank Fund balance: about $65.7 million [as of FY 2024-25] · Trustee: State Lands Commission (statutory, created 1938) · Verdict: Broke the trust (by failure to build it).</w:t>
      </w:r>
    </w:p>
    <w:p w14:paraId="32BFA1A0" w14:textId="77777777" w:rsidR="00DC02F5" w:rsidRDefault="00000000">
      <w:pPr>
        <w:pStyle w:val="BodyText"/>
      </w:pPr>
      <w:r>
        <w:rPr>
          <w:b/>
          <w:bCs/>
        </w:rPr>
        <w:t>Telling fact:</w:t>
      </w:r>
      <w:r>
        <w:t xml:space="preserve"> Most of what California’s school lands still earn comes from the steam under them — geothermal generation at the Geysers — and the money goes not to classrooms but to the teachers’ pension fund.</w:t>
      </w:r>
    </w:p>
    <w:p w14:paraId="7CA84AAB" w14:textId="77777777" w:rsidR="00DC02F5" w:rsidRDefault="00000000">
      <w:pPr>
        <w:pStyle w:val="BodyText"/>
      </w:pPr>
      <w:r>
        <w:rPr>
          <w:b/>
          <w:bCs/>
        </w:rPr>
        <w:t>The Story.</w:t>
      </w:r>
      <w:r>
        <w:t xml:space="preserve"> If Oregon is the case of a strong trust menaced, California is the case of one never faithfully built. The state got its doubled-section grant — conferred not by the 1850 Admission Act but by the 1853 survey act (§7 of which supplied the indemnity, or “lieu,” lands) — wrote a perpetual-fund clause into its 1849 constitution, and eventually built a land office. But it never produced a real, compounding corpus. Three habits did the damage, and they reinforced each other. First, prices were frozen by statute: the state sold school land at $1.25 an acre for decades while prime timber and coastal land rose tenfold. Second, selection was passive — the 1852 warrant system let private buyers, not the state, pick which acres to take, so speculators (including the state’s own first chief justice, Serranus Hastings) skimmed the best land and left the trust the desert. Third, federal title was unsettled at the worst moments, and when buyers’ titles wobbled, Congress simply confirmed the irregular sales in 1866 — saving the buyers, recovering nothing for the schools. The 1879 constitution quietly swapped the perpetual-fund language for attendance-based apportionment, because by then there was little left </w:t>
      </w:r>
      <w:r>
        <w:lastRenderedPageBreak/>
        <w:t>to protect. California tried to rebuild the trust in 1984 — 131 years late — with the School Land Bank Act. Today it holds about 459,000 fee acres of the original 5.5 million — and it has still never finished selecting tens of thousands of acres of indemnity land it is still owed, a piece of sloppy management a faithful trustee would have closed out long ago. The fund balance is around $65.7 million [as of FY 2024-25], and roughly $6.4 million a year in rents, royalties, geothermal income, and downtown real estate flows to CalSTRS — invisible inside a state K-12 system funded by Proposition 98 to the tune of roughly $80 billion [as of FY 2024-25].</w:t>
      </w:r>
    </w:p>
    <w:p w14:paraId="5F457044" w14:textId="77777777" w:rsidR="00DC02F5" w:rsidRDefault="00000000">
      <w:pPr>
        <w:pStyle w:val="BodyText"/>
      </w:pPr>
      <w:r>
        <w:rPr>
          <w:b/>
          <w:bCs/>
        </w:rPr>
        <w:t>Then→now:</w:t>
      </w:r>
      <w:r>
        <w:t xml:space="preserve"> A 5.5-million-acre grant in 1853 → roughly 459,000 fee acres and a fund too small to fight over.</w:t>
      </w:r>
    </w:p>
    <w:p w14:paraId="05F0BB25" w14:textId="77777777" w:rsidR="00DC02F5" w:rsidRDefault="00000000">
      <w:pPr>
        <w:pStyle w:val="BodyText"/>
      </w:pPr>
      <w:r>
        <w:rPr>
          <w:b/>
          <w:bCs/>
        </w:rPr>
        <w:t>Lesson:</w:t>
      </w:r>
      <w:r>
        <w:t xml:space="preserve"> A federal grant can create the duty, but only disciplined trusteeship turns that duty into a durable corpus. Skip the discipline, and the endowment disappears without a single dramatic theft. (See Ch. 4, “Failure by omission.”)</w:t>
      </w:r>
    </w:p>
    <w:p w14:paraId="7F483721" w14:textId="77777777" w:rsidR="00DC02F5" w:rsidRDefault="00000000">
      <w:pPr>
        <w:pStyle w:val="BodyText"/>
      </w:pPr>
      <w:r>
        <w:rPr>
          <w:i/>
          <w:iCs/>
        </w:rPr>
        <w:t>Sources/notes:</w:t>
      </w:r>
      <w:r>
        <w:t xml:space="preserve"> Act of Sept. 9, 1850, 9 Stat. 452 (admission, no grant); Act of Mar. 3, 1853, 10 Stat. 244, §§6–7 (the operative grant; §7 supplied the indemnity, or “lieu,” selections); 1852 warrant system; Act of July 23, 1866, 14 Stat. 218; Cal. Pub. Res. Code §§8701 et seq. (1984); State Lands Commission FY 2024-25 Annual Report. Fund balance $65.7M and CalSTRS transfer $6.4M are [as of FY 2024-25]; Prop 98 ~$80B is [as of FY 2024-25]. Geothermal (Geysers) and downtown real estate income: Margaret Bird, recorded account, 2026.</w:t>
      </w:r>
    </w:p>
    <w:p w14:paraId="1077F224" w14:textId="77777777" w:rsidR="00DC02F5" w:rsidRDefault="00000000">
      <w:r>
        <w:pict w14:anchorId="64CA3496">
          <v:rect id="_x0000_i1029" style="width:0;height:1.5pt" o:hralign="center" o:hrstd="t" o:hr="t"/>
        </w:pict>
      </w:r>
    </w:p>
    <w:p w14:paraId="6490FA03" w14:textId="77777777" w:rsidR="00DC02F5" w:rsidRDefault="00000000">
      <w:r>
        <w:br w:type="page"/>
      </w:r>
    </w:p>
    <w:p w14:paraId="28D42201" w14:textId="77777777" w:rsidR="00DC02F5" w:rsidRDefault="00000000">
      <w:pPr>
        <w:pStyle w:val="Heading2"/>
      </w:pPr>
      <w:bookmarkStart w:id="78" w:name="Xe68d47f0c9cbccca06c05b9c6b20ac54f6ea66d"/>
      <w:bookmarkStart w:id="79" w:name="_Toc231774236"/>
      <w:bookmarkEnd w:id="76"/>
      <w:r>
        <w:lastRenderedPageBreak/>
        <w:t>Colorado — The State That Renegotiated Its Trust at the Ballot Box</w:t>
      </w:r>
      <w:bookmarkEnd w:id="79"/>
    </w:p>
    <w:p w14:paraId="6D293CD4" w14:textId="77777777" w:rsidR="00DC02F5" w:rsidRDefault="00000000">
      <w:r>
        <w:rPr>
          <w:noProof/>
        </w:rPr>
        <w:drawing>
          <wp:inline distT="0" distB="0" distL="0" distR="0" wp14:anchorId="3C504DE9" wp14:editId="6FC9C14D">
            <wp:extent cx="731520" cy="853135"/>
            <wp:effectExtent l="0" t="0" r="0" b="0"/>
            <wp:docPr id="79" name="Picture" descr="QRFLOAT"/>
            <wp:cNvGraphicFramePr/>
            <a:graphic xmlns:a="http://schemas.openxmlformats.org/drawingml/2006/main">
              <a:graphicData uri="http://schemas.openxmlformats.org/drawingml/2006/picture">
                <pic:pic xmlns:pic="http://schemas.openxmlformats.org/drawingml/2006/picture">
                  <pic:nvPicPr>
                    <pic:cNvPr id="80" name="Picture" descr="C:/Users/drdav/My%20Drive/Claude%20Cowork/_tools/_web_cache/qr_us-co_e4228e570bc4_1200x_q90.jpg"/>
                    <pic:cNvPicPr>
                      <a:picLocks noChangeAspect="1" noChangeArrowheads="1"/>
                    </pic:cNvPicPr>
                  </pic:nvPicPr>
                  <pic:blipFill>
                    <a:blip r:embed="rId16"/>
                    <a:stretch>
                      <a:fillRect/>
                    </a:stretch>
                  </pic:blipFill>
                  <pic:spPr bwMode="auto">
                    <a:xfrm>
                      <a:off x="0" y="0"/>
                      <a:ext cx="731520" cy="853135"/>
                    </a:xfrm>
                    <a:prstGeom prst="rect">
                      <a:avLst/>
                    </a:prstGeom>
                    <a:noFill/>
                    <a:ln w="9525">
                      <a:noFill/>
                      <a:headEnd/>
                      <a:tailEnd/>
                    </a:ln>
                  </pic:spPr>
                </pic:pic>
              </a:graphicData>
            </a:graphic>
          </wp:inline>
        </w:drawing>
      </w:r>
      <w:r>
        <w:t xml:space="preserve"> </w:t>
      </w:r>
      <w:r>
        <w:rPr>
          <w:i/>
          <w:iCs/>
        </w:rPr>
        <w:t>Admitted Aug. 1, 1876 · Grant: 2 sections (16 and 36) · Public School Permanent Fund: about $1.85 billion [as of June 30, 2025] · Trustee: five-member State Board of Land Commissioners (named in the constitution) · Verdict: Lost and recovered.</w:t>
      </w:r>
    </w:p>
    <w:p w14:paraId="620F8142" w14:textId="77777777" w:rsidR="00DC02F5" w:rsidRDefault="00000000">
      <w:pPr>
        <w:pStyle w:val="BodyText"/>
      </w:pPr>
      <w:r>
        <w:rPr>
          <w:b/>
          <w:bCs/>
        </w:rPr>
        <w:t>Telling fact:</w:t>
      </w:r>
      <w:r>
        <w:t xml:space="preserve"> Colorado is one of the only states that wrote the make-whole promise into its constitution — “the state shall supply all losses thereof that may in any manner occur” — and then, in 1996, rewrote the trustee itself by a margin of just 52,000 votes.</w:t>
      </w:r>
    </w:p>
    <w:p w14:paraId="07DE9EB7" w14:textId="77777777" w:rsidR="00DC02F5" w:rsidRDefault="00000000">
      <w:pPr>
        <w:pStyle w:val="BodyText"/>
      </w:pPr>
      <w:r>
        <w:rPr>
          <w:b/>
          <w:bCs/>
        </w:rPr>
        <w:t>The Story.</w:t>
      </w:r>
      <w:r>
        <w:t xml:space="preserve"> Colorado’s first century looked like everyone else’s: a disposal philosophy that sold off roughly 1.6 million of the original 4.6 million surface acres, much of it cheap and early. The courts caught some of the directed seizures — in 1893 they blocked a $650,000 loan from the school fund to general revenue and struck a scheme to hand school-land disposition to a canal board — but drift did the steady work. Then Colorado did something almost no other state managed: it fixed the trust through its own constitution. By the early 1990s, a string of controversial land deals near the booming Front Range, plus a new public appetite for open space, turned trust management into a ballot question. Governor Roy Romer took it to the voters, and on November 5, 1996, Amendment 16 passed 51.9% to 48.1%. It expanded the land board to five members with named expertise, replaced the old “maximum dollars” mandate with a “reasonable and consistent income over time” stewardship standard, wrote “trustee” into the text, and created a 300,000-acre Stewardship Trust — though stewardship lands stay protected only as long as they earn nothing; the moment an </w:t>
      </w:r>
      <w:r>
        <w:lastRenderedPageBreak/>
        <w:t xml:space="preserve">economic use appears, the parcel is traded out and other land substituted in. The reform survived federal challenge in </w:t>
      </w:r>
      <w:r>
        <w:rPr>
          <w:i/>
          <w:iCs/>
        </w:rPr>
        <w:t>Branson</w:t>
      </w:r>
      <w:r>
        <w:t xml:space="preserve"> (1998), where the Tenth Circuit confirmed the 1875 Enabling Act creates an enforceable fiduciary duty and that stewardship and fiduciary duty are compatible, not rivals. Today the corpus has grown past $1.8 billion [as of June 30, 2025], and the BEST capital-construction program has sent more than $1.4 billion to school districts since 2008. But recovery is not restoration. The 1.6 million disposed acres are gone; a serious unceded-cession claim from the Arapaho, Cheyenne, and others hangs over the land’s origins; and the corpus leans hard on oil-and-gas royalties, which rise and fall with energy markets.</w:t>
      </w:r>
    </w:p>
    <w:p w14:paraId="027B8EE0" w14:textId="77777777" w:rsidR="00DC02F5" w:rsidRDefault="00000000">
      <w:pPr>
        <w:pStyle w:val="BodyText"/>
      </w:pPr>
      <w:r>
        <w:rPr>
          <w:b/>
          <w:bCs/>
        </w:rPr>
        <w:t>Then→now:</w:t>
      </w:r>
      <w:r>
        <w:t xml:space="preserve"> A “maximize every dollar” mandate that drove fire-sales → a stewardship standard and a $1.85-billion fund grown on royalties — though Colorado spends nearly all of that royalty income the year it arrives, building a few schools now at the cost of the students not yet born.</w:t>
      </w:r>
    </w:p>
    <w:p w14:paraId="5924EA49" w14:textId="77777777" w:rsidR="00DC02F5" w:rsidRDefault="00000000">
      <w:pPr>
        <w:pStyle w:val="BodyText"/>
      </w:pPr>
      <w:r>
        <w:rPr>
          <w:b/>
          <w:bCs/>
        </w:rPr>
        <w:t>Lesson:</w:t>
      </w:r>
      <w:r>
        <w:t xml:space="preserve"> A trust can be renegotiated and rebuilt by constitutional amendment — but recovery does not undo the disposal-era losses, and a corpus built on royalties is only as steady as the commodity. (See Ch. 5, “Kept and rebuilt.”)</w:t>
      </w:r>
    </w:p>
    <w:p w14:paraId="783CD43A" w14:textId="77777777" w:rsidR="00DC02F5" w:rsidRDefault="00000000">
      <w:pPr>
        <w:pStyle w:val="BodyText"/>
      </w:pPr>
      <w:r>
        <w:rPr>
          <w:i/>
          <w:iCs/>
        </w:rPr>
        <w:t>Sources/notes:</w:t>
      </w:r>
      <w:r>
        <w:t xml:space="preserve"> Colorado Enabling Act of 1875, 18 Stat. 474, §§7, 14; Colo. Const. art. IX §§3, 9; Amendment 16 (1996); </w:t>
      </w:r>
      <w:r>
        <w:rPr>
          <w:i/>
          <w:iCs/>
        </w:rPr>
        <w:t>Branson Sch. Dist. RE-82 v. Romer</w:t>
      </w:r>
      <w:r>
        <w:t>, 161 F.3d 619 (10th Cir. 1998); FY 2024-25 Income and Inventory Report. Permanent Fund ~$1.85B is [as of June 30, 2025]. Colorado’s recovery is genuine but not total: the BEST program’s draw on gross trust income remains a live diversion concern, even as the corpus continues to grow on royalties.</w:t>
      </w:r>
    </w:p>
    <w:p w14:paraId="50A6A084" w14:textId="77777777" w:rsidR="00DC02F5" w:rsidRDefault="00000000">
      <w:r>
        <w:pict w14:anchorId="2A09A920">
          <v:rect id="_x0000_i1030" style="width:0;height:1.5pt" o:hralign="center" o:hrstd="t" o:hr="t"/>
        </w:pict>
      </w:r>
    </w:p>
    <w:p w14:paraId="2368D414" w14:textId="77777777" w:rsidR="00DC02F5" w:rsidRDefault="00000000">
      <w:r>
        <w:br w:type="page"/>
      </w:r>
    </w:p>
    <w:p w14:paraId="079CBADE" w14:textId="77777777" w:rsidR="00DC02F5" w:rsidRDefault="00000000">
      <w:pPr>
        <w:pStyle w:val="Heading2"/>
      </w:pPr>
      <w:bookmarkStart w:id="80" w:name="Xa068f75dcc7dbde2a5a67c451c8678bc7c97b9b"/>
      <w:bookmarkStart w:id="81" w:name="_Toc231774237"/>
      <w:bookmarkEnd w:id="78"/>
      <w:r>
        <w:lastRenderedPageBreak/>
        <w:t>Florida — The Court That Would Not Bind the State</w:t>
      </w:r>
      <w:bookmarkEnd w:id="81"/>
    </w:p>
    <w:p w14:paraId="22B98196" w14:textId="77777777" w:rsidR="00DC02F5" w:rsidRDefault="00000000">
      <w:r>
        <w:rPr>
          <w:noProof/>
        </w:rPr>
        <w:drawing>
          <wp:inline distT="0" distB="0" distL="0" distR="0" wp14:anchorId="4FA9F7BB" wp14:editId="4691A93C">
            <wp:extent cx="731520" cy="853135"/>
            <wp:effectExtent l="0" t="0" r="0" b="0"/>
            <wp:docPr id="83" name="Picture" descr="QRFLOAT"/>
            <wp:cNvGraphicFramePr/>
            <a:graphic xmlns:a="http://schemas.openxmlformats.org/drawingml/2006/main">
              <a:graphicData uri="http://schemas.openxmlformats.org/drawingml/2006/picture">
                <pic:pic xmlns:pic="http://schemas.openxmlformats.org/drawingml/2006/picture">
                  <pic:nvPicPr>
                    <pic:cNvPr id="84" name="Picture" descr="C:/Users/drdav/My%20Drive/Claude%20Cowork/_tools/_web_cache/qr_us-fl_ddb19706bebc_1200x_q90.jpg"/>
                    <pic:cNvPicPr>
                      <a:picLocks noChangeAspect="1" noChangeArrowheads="1"/>
                    </pic:cNvPicPr>
                  </pic:nvPicPr>
                  <pic:blipFill>
                    <a:blip r:embed="rId17"/>
                    <a:stretch>
                      <a:fillRect/>
                    </a:stretch>
                  </pic:blipFill>
                  <pic:spPr bwMode="auto">
                    <a:xfrm>
                      <a:off x="0" y="0"/>
                      <a:ext cx="731520" cy="853135"/>
                    </a:xfrm>
                    <a:prstGeom prst="rect">
                      <a:avLst/>
                    </a:prstGeom>
                    <a:noFill/>
                    <a:ln w="9525">
                      <a:noFill/>
                      <a:headEnd/>
                      <a:tailEnd/>
                    </a:ln>
                  </pic:spPr>
                </pic:pic>
              </a:graphicData>
            </a:graphic>
          </wp:inline>
        </w:drawing>
      </w:r>
      <w:r>
        <w:t xml:space="preserve"> </w:t>
      </w:r>
      <w:r>
        <w:rPr>
          <w:i/>
          <w:iCs/>
        </w:rPr>
        <w:t>Admitted Mar. 3, 1845 · Grant: 1 section (Section 16; Spanish-cession territory) · State School Fund: no dated corpus figure stated here; Lottery Educational Enhancement Trust Fund about $2.4 billion in annual transfers [as of FY 2023-24] · Trustee: State Board of Education / Dept. of Education; lands via DEP Division of State Lands · Verdict: Broke the trust.</w:t>
      </w:r>
    </w:p>
    <w:p w14:paraId="41AD0E0A" w14:textId="77777777" w:rsidR="00DC02F5" w:rsidRDefault="00000000">
      <w:pPr>
        <w:pStyle w:val="BodyText"/>
      </w:pPr>
      <w:r>
        <w:rPr>
          <w:b/>
          <w:bCs/>
        </w:rPr>
        <w:t>Telling fact:</w:t>
      </w:r>
      <w:r>
        <w:t xml:space="preserve"> Florida’s voters strengthened the constitution in 1998 specifically to overrule a court that had called school funding non-justiciable — and in 2019 the same court read the stronger words as if they had never been added.</w:t>
      </w:r>
    </w:p>
    <w:p w14:paraId="27007877" w14:textId="77777777" w:rsidR="00DC02F5" w:rsidRDefault="00000000">
      <w:pPr>
        <w:pStyle w:val="BodyText"/>
      </w:pPr>
      <w:r>
        <w:rPr>
          <w:b/>
          <w:bCs/>
        </w:rPr>
        <w:t>The Story.</w:t>
      </w:r>
      <w:r>
        <w:t xml:space="preserve"> Florida’s school story is about strong words the courts would not carry all the way to remedy. The constitution calls education a “fundamental value” and a “paramount duty” and demands a “uniform, efficient, safe, secure, and high quality” system — among the most muscular text in the country. And yet the lived doctrine is one of fiduciary language untethered from fiduciary outcomes. The 1845 grant set aside one section per township for schools, and </w:t>
      </w:r>
      <w:r>
        <w:rPr>
          <w:i/>
          <w:iCs/>
        </w:rPr>
        <w:t>Cooper v. Roberts</w:t>
      </w:r>
      <w:r>
        <w:t xml:space="preserve"> (1855) later named the federal obligation behind such grants. For a while Florida looked disciplined: through the protective-era cases — </w:t>
      </w:r>
      <w:r>
        <w:rPr>
          <w:i/>
          <w:iCs/>
        </w:rPr>
        <w:t>Hampton</w:t>
      </w:r>
      <w:r>
        <w:t xml:space="preserve"> (1925), </w:t>
      </w:r>
      <w:r>
        <w:rPr>
          <w:i/>
          <w:iCs/>
        </w:rPr>
        <w:t>Crescent City</w:t>
      </w:r>
      <w:r>
        <w:t xml:space="preserve"> (1942), </w:t>
      </w:r>
      <w:r>
        <w:rPr>
          <w:i/>
          <w:iCs/>
        </w:rPr>
        <w:t>Watson</w:t>
      </w:r>
      <w:r>
        <w:t xml:space="preserve"> (1948) — the courts walled off school-land title and guarded the “sacred and inviolate” fund, and Attorney General Ellis’s 1908 opinion enforced the rule cleanly. Then </w:t>
      </w:r>
      <w:r>
        <w:rPr>
          <w:i/>
          <w:iCs/>
        </w:rPr>
        <w:t>Askew v. Sonson</w:t>
      </w:r>
      <w:r>
        <w:t xml:space="preserve"> (1981) became the hinge: the Florida Supreme Court held that the state’s Marketable Record Title Act could </w:t>
      </w:r>
      <w:r>
        <w:rPr>
          <w:i/>
          <w:iCs/>
        </w:rPr>
        <w:t>extinguish</w:t>
      </w:r>
      <w:r>
        <w:t xml:space="preserve"> the state’s claim to Section 16 lands, legitimizing in advance both halves of the loss — drift through unrecorded title decay, seizure through statute — and leaving the only </w:t>
      </w:r>
      <w:r>
        <w:lastRenderedPageBreak/>
        <w:t xml:space="preserve">remedy in the hands of the same legislature whose acquiescence caused the problem. The 1968 constitution had already moved the source protections from constitutional command to mere legislative grace. The 1986 lottery added a large designated revenue stream — the Educational Enhancement Trust Fund, around $2.4 billion in annual transfers [as of FY 2023-24] — but it is pass-through annual revenue, not a corpus held in trust against time. And when the 1998 adequacy amendment was tested in </w:t>
      </w:r>
      <w:r>
        <w:rPr>
          <w:i/>
          <w:iCs/>
        </w:rPr>
        <w:t>Citizens for Strong Schools</w:t>
      </w:r>
      <w:r>
        <w:t xml:space="preserve"> (2019), the court declared the question political and refused to measure. Strong text; deferential courts; depleted corpus.</w:t>
      </w:r>
    </w:p>
    <w:p w14:paraId="581A371C" w14:textId="77777777" w:rsidR="00DC02F5" w:rsidRDefault="00000000">
      <w:pPr>
        <w:pStyle w:val="BodyText"/>
      </w:pPr>
      <w:r>
        <w:rPr>
          <w:b/>
          <w:bCs/>
        </w:rPr>
        <w:t>Lesson:</w:t>
      </w:r>
      <w:r>
        <w:t xml:space="preserve"> Stronger words alone do not produce stronger outcomes. Text without a court willing to enforce it is decoration. (See Ch. 4 and Ch. 6, “Charter the adversary.”)</w:t>
      </w:r>
    </w:p>
    <w:p w14:paraId="00C10AC3" w14:textId="77777777" w:rsidR="00DC02F5" w:rsidRDefault="00000000">
      <w:pPr>
        <w:pStyle w:val="BodyText"/>
      </w:pPr>
      <w:r>
        <w:rPr>
          <w:i/>
          <w:iCs/>
        </w:rPr>
        <w:t>Sources/notes:</w:t>
      </w:r>
      <w:r>
        <w:t xml:space="preserve"> Act of Mar. 3, 1845, 5 Stat. 788 (school-land grant); </w:t>
      </w:r>
      <w:r>
        <w:rPr>
          <w:i/>
          <w:iCs/>
        </w:rPr>
        <w:t>Cooper v. Roberts</w:t>
      </w:r>
      <w:r>
        <w:t xml:space="preserve">, 59 U.S. 173 (1855); </w:t>
      </w:r>
      <w:r>
        <w:rPr>
          <w:i/>
          <w:iCs/>
        </w:rPr>
        <w:t>Askew v. Sonson</w:t>
      </w:r>
      <w:r>
        <w:t xml:space="preserve">, 409 So. 2d 7 (Fla. 1981); </w:t>
      </w:r>
      <w:r>
        <w:rPr>
          <w:i/>
          <w:iCs/>
        </w:rPr>
        <w:t>Citizens for Strong Schools v. Florida State Bd. of Educ.</w:t>
      </w:r>
      <w:r>
        <w:t>, 262 So. 3d 127 (Fla. 2019). Lottery transfers are about $2.4B [as of FY 2023-24]; State School Fund corpus remains to be pinned.</w:t>
      </w:r>
    </w:p>
    <w:p w14:paraId="08C6894D" w14:textId="77777777" w:rsidR="00DC02F5" w:rsidRDefault="00000000">
      <w:r>
        <w:pict w14:anchorId="5D1636A4">
          <v:rect id="_x0000_i1031" style="width:0;height:1.5pt" o:hralign="center" o:hrstd="t" o:hr="t"/>
        </w:pict>
      </w:r>
    </w:p>
    <w:p w14:paraId="438DF3C4" w14:textId="77777777" w:rsidR="00DC02F5" w:rsidRDefault="00000000">
      <w:r>
        <w:br w:type="page"/>
      </w:r>
    </w:p>
    <w:p w14:paraId="37CD6C4D" w14:textId="77777777" w:rsidR="00DC02F5" w:rsidRDefault="00000000">
      <w:pPr>
        <w:pStyle w:val="Heading2"/>
      </w:pPr>
      <w:bookmarkStart w:id="82" w:name="Xb4434a73d825f6143eb6839b9c506017b06afcb"/>
      <w:bookmarkStart w:id="83" w:name="_Toc231774238"/>
      <w:bookmarkEnd w:id="80"/>
      <w:r>
        <w:lastRenderedPageBreak/>
        <w:t>Hawaii — The Trust With Five Mouths to Feed</w:t>
      </w:r>
      <w:bookmarkEnd w:id="83"/>
    </w:p>
    <w:p w14:paraId="5EC089B5" w14:textId="77777777" w:rsidR="00DC02F5" w:rsidRDefault="00000000">
      <w:r>
        <w:rPr>
          <w:noProof/>
        </w:rPr>
        <w:drawing>
          <wp:inline distT="0" distB="0" distL="0" distR="0" wp14:anchorId="383B153C" wp14:editId="4DAA689A">
            <wp:extent cx="731520" cy="853135"/>
            <wp:effectExtent l="0" t="0" r="0" b="0"/>
            <wp:docPr id="87" name="Picture" descr="QRFLOAT"/>
            <wp:cNvGraphicFramePr/>
            <a:graphic xmlns:a="http://schemas.openxmlformats.org/drawingml/2006/main">
              <a:graphicData uri="http://schemas.openxmlformats.org/drawingml/2006/picture">
                <pic:pic xmlns:pic="http://schemas.openxmlformats.org/drawingml/2006/picture">
                  <pic:nvPicPr>
                    <pic:cNvPr id="88" name="Picture" descr="C:/Users/drdav/My%20Drive/Claude%20Cowork/_tools/_web_cache/qr_us-hi_ccd91991c293_1200x_q90.jpg"/>
                    <pic:cNvPicPr>
                      <a:picLocks noChangeAspect="1" noChangeArrowheads="1"/>
                    </pic:cNvPicPr>
                  </pic:nvPicPr>
                  <pic:blipFill>
                    <a:blip r:embed="rId18"/>
                    <a:stretch>
                      <a:fillRect/>
                    </a:stretch>
                  </pic:blipFill>
                  <pic:spPr bwMode="auto">
                    <a:xfrm>
                      <a:off x="0" y="0"/>
                      <a:ext cx="731520" cy="853135"/>
                    </a:xfrm>
                    <a:prstGeom prst="rect">
                      <a:avLst/>
                    </a:prstGeom>
                    <a:noFill/>
                    <a:ln w="9525">
                      <a:noFill/>
                      <a:headEnd/>
                      <a:tailEnd/>
                    </a:ln>
                  </pic:spPr>
                </pic:pic>
              </a:graphicData>
            </a:graphic>
          </wp:inline>
        </w:drawing>
      </w:r>
      <w:r>
        <w:t xml:space="preserve"> </w:t>
      </w:r>
      <w:r>
        <w:rPr>
          <w:i/>
          <w:iCs/>
        </w:rPr>
        <w:t>Admitted 1959 - Grant: a single 1.4-million-acre “ceded-lands” public trust under Admission Act sec. 5(f), shared among five purposes - Trust fund today: no dedicated school corpus; the Office of Hawaiian Affairs fund is not used here as a school-trust proxy - Trustee: nobody, exactly – management is split across four agencies - Verdict: Built a trust with no federal land (and gave schools only a fraction of it).</w:t>
      </w:r>
    </w:p>
    <w:p w14:paraId="1B6FC663" w14:textId="77777777" w:rsidR="00DC02F5" w:rsidRDefault="00000000">
      <w:pPr>
        <w:pStyle w:val="BodyText"/>
      </w:pPr>
      <w:r>
        <w:rPr>
          <w:b/>
          <w:bCs/>
        </w:rPr>
        <w:t>Telling fact:</w:t>
      </w:r>
      <w:r>
        <w:t xml:space="preserve"> Hawaii’s founding deal put the words “public trust” and “breach of trust” right in the federal statute, named “support of the public schools” as the </w:t>
      </w:r>
      <w:r>
        <w:rPr>
          <w:i/>
          <w:iCs/>
        </w:rPr>
        <w:t>first</w:t>
      </w:r>
      <w:r>
        <w:t xml:space="preserve"> of five beneficiaries — and then never built the plumbing to track or sue for the schools’ share.</w:t>
      </w:r>
    </w:p>
    <w:p w14:paraId="2A1A9171" w14:textId="77777777" w:rsidR="00DC02F5" w:rsidRDefault="00000000">
      <w:pPr>
        <w:pStyle w:val="BodyText"/>
      </w:pPr>
      <w:r>
        <w:t xml:space="preserve">Hawaii is the one state that doesn’t fit the map. There was no federal township grid here, because Hawaii was a sovereign kingdom — recognized by the United States and dozens of other nations — until a small group of American and European businessmen, backed by U.S. Marines off the USS </w:t>
      </w:r>
      <w:r>
        <w:rPr>
          <w:i/>
          <w:iCs/>
        </w:rPr>
        <w:t>Boston</w:t>
      </w:r>
      <w:r>
        <w:t>, overthrew Queen Lili’uokalani in 1893. The United States annexed the islands in 1898 and took the kingdom’s roughly 1.8 million acres of crown and government lands. (Congress formally apologized for the overthrow in 1993.) When statehood finally came in 1959, the Admission Act handed about 1.4 million of those acres to the new state — not as a school grant, but as a single “ceded-lands” trust serving five named purposes at once: public schools, the betterment of Native Hawaiians, farm and home ownership, public improvements, and lands for public use.</w:t>
      </w:r>
    </w:p>
    <w:p w14:paraId="584A6ED8" w14:textId="77777777" w:rsidR="00DC02F5" w:rsidRDefault="00000000">
      <w:pPr>
        <w:pStyle w:val="BodyText"/>
      </w:pPr>
      <w:r>
        <w:t xml:space="preserve">The language is some of the strongest in the country. The state holds the land “as a public trust,” and using it for “any other object shall constitute a breach of trust for which suit may be brought by the </w:t>
      </w:r>
      <w:r>
        <w:lastRenderedPageBreak/>
        <w:t xml:space="preserve">United States.” But strong words spread across five mouths feed each one thinly. There is a constitutional trustee for the Native Hawaiian share — the elected Office of Hawaiian Affairs — and Native Hawaiian beneficiaries have driven nearly every major trust case, from </w:t>
      </w:r>
      <w:r>
        <w:rPr>
          <w:i/>
          <w:iCs/>
        </w:rPr>
        <w:t>Pele Defense Fund v. Paty</w:t>
      </w:r>
      <w:r>
        <w:t xml:space="preserve"> (1992) recognizing their standing to sue, to </w:t>
      </w:r>
      <w:r>
        <w:rPr>
          <w:i/>
          <w:iCs/>
        </w:rPr>
        <w:t>Ching v. Case</w:t>
      </w:r>
      <w:r>
        <w:t xml:space="preserve"> (2019), where the court found the state breached its duties by failing to even monitor a 65-year, one-dollar Army lease at Pohakuloa. The schools got no such trustee. Hawaii runs the only single statewide school district in the nation; school money flows through the general fund, and the question of whether any ceded-lands revenue reaches the classroom is one the public record doesn’t cleanly answer. Across decades of § 5(f) litigation, research turned up no case brought by or for the school beneficiary class. That silence is the finding.</w:t>
      </w:r>
    </w:p>
    <w:p w14:paraId="3A8B49A8" w14:textId="77777777" w:rsidR="00DC02F5" w:rsidRDefault="00000000">
      <w:pPr>
        <w:pStyle w:val="BodyText"/>
      </w:pPr>
      <w:r>
        <w:rPr>
          <w:b/>
          <w:bCs/>
        </w:rPr>
        <w:t>Then→now:</w:t>
      </w:r>
      <w:r>
        <w:t xml:space="preserve"> A kingdom’s 1.8 million acres → a 1.4-million-acre, five-purpose trust in which the schoolchildren’s slice was never even measured.</w:t>
      </w:r>
    </w:p>
    <w:p w14:paraId="0C958F2C" w14:textId="77777777" w:rsidR="00DC02F5" w:rsidRDefault="00000000">
      <w:pPr>
        <w:pStyle w:val="BodyText"/>
      </w:pPr>
      <w:r>
        <w:rPr>
          <w:b/>
          <w:bCs/>
        </w:rPr>
        <w:t>Lesson:</w:t>
      </w:r>
      <w:r>
        <w:t xml:space="preserve"> Naming a beneficiary in strong fiduciary text does nothing if no one is appointed to hold the trustee accountable on that beneficiary’s behalf. (See Ch. 5, on naming the trustee.) </w:t>
      </w:r>
      <w:r>
        <w:rPr>
          <w:i/>
          <w:iCs/>
        </w:rPr>
        <w:t>Sources/notes:</w:t>
      </w:r>
      <w:r>
        <w:t xml:space="preserve"> Hawaii Admission Act § 5(b),(f), 73 Stat. 4; Newlands Resolution, 30 Stat. 750; Apology Resolution, Pub. L. 103-150; </w:t>
      </w:r>
      <w:r>
        <w:rPr>
          <w:i/>
          <w:iCs/>
        </w:rPr>
        <w:t>Pele Defense Fund v. Paty</w:t>
      </w:r>
      <w:r>
        <w:t xml:space="preserve">, 73 Haw. 578 (1992); </w:t>
      </w:r>
      <w:r>
        <w:rPr>
          <w:i/>
          <w:iCs/>
        </w:rPr>
        <w:t>Ching v. Case</w:t>
      </w:r>
      <w:r>
        <w:t xml:space="preserve"> (Haw. 2019); </w:t>
      </w:r>
      <w:r>
        <w:rPr>
          <w:i/>
          <w:iCs/>
        </w:rPr>
        <w:t>Rice v. Cayetano</w:t>
      </w:r>
      <w:r>
        <w:t>, 528 U.S. 495 (2000).</w:t>
      </w:r>
    </w:p>
    <w:p w14:paraId="60A235FE" w14:textId="77777777" w:rsidR="00DC02F5" w:rsidRDefault="00000000">
      <w:r>
        <w:pict w14:anchorId="1D7BB291">
          <v:rect id="_x0000_i1032" style="width:0;height:1.5pt" o:hralign="center" o:hrstd="t" o:hr="t"/>
        </w:pict>
      </w:r>
    </w:p>
    <w:p w14:paraId="49FE3527" w14:textId="77777777" w:rsidR="00DC02F5" w:rsidRDefault="00000000">
      <w:r>
        <w:br w:type="page"/>
      </w:r>
    </w:p>
    <w:p w14:paraId="3849F7E1" w14:textId="77777777" w:rsidR="00DC02F5" w:rsidRDefault="00000000">
      <w:pPr>
        <w:pStyle w:val="Heading2"/>
      </w:pPr>
      <w:bookmarkStart w:id="84" w:name="idaho-the-five-trustee-fortress"/>
      <w:bookmarkStart w:id="85" w:name="_Toc231774239"/>
      <w:bookmarkEnd w:id="82"/>
      <w:r>
        <w:lastRenderedPageBreak/>
        <w:t>Idaho — The Five-Trustee Fortress</w:t>
      </w:r>
      <w:bookmarkEnd w:id="85"/>
    </w:p>
    <w:p w14:paraId="08B73CFF" w14:textId="77777777" w:rsidR="00DC02F5" w:rsidRDefault="00000000">
      <w:r>
        <w:rPr>
          <w:noProof/>
        </w:rPr>
        <w:drawing>
          <wp:inline distT="0" distB="0" distL="0" distR="0" wp14:anchorId="2D7E1741" wp14:editId="594EE364">
            <wp:extent cx="731520" cy="853135"/>
            <wp:effectExtent l="0" t="0" r="0" b="0"/>
            <wp:docPr id="91" name="Picture" descr="QRFLOAT"/>
            <wp:cNvGraphicFramePr/>
            <a:graphic xmlns:a="http://schemas.openxmlformats.org/drawingml/2006/main">
              <a:graphicData uri="http://schemas.openxmlformats.org/drawingml/2006/picture">
                <pic:pic xmlns:pic="http://schemas.openxmlformats.org/drawingml/2006/picture">
                  <pic:nvPicPr>
                    <pic:cNvPr id="92" name="Picture" descr="C:/Users/drdav/My%20Drive/Claude%20Cowork/_tools/_web_cache/qr_us-id_793f9728f1aa_1200x_q90.jpg"/>
                    <pic:cNvPicPr>
                      <a:picLocks noChangeAspect="1" noChangeArrowheads="1"/>
                    </pic:cNvPicPr>
                  </pic:nvPicPr>
                  <pic:blipFill>
                    <a:blip r:embed="rId19"/>
                    <a:stretch>
                      <a:fillRect/>
                    </a:stretch>
                  </pic:blipFill>
                  <pic:spPr bwMode="auto">
                    <a:xfrm>
                      <a:off x="0" y="0"/>
                      <a:ext cx="731520" cy="853135"/>
                    </a:xfrm>
                    <a:prstGeom prst="rect">
                      <a:avLst/>
                    </a:prstGeom>
                    <a:noFill/>
                    <a:ln w="9525">
                      <a:noFill/>
                      <a:headEnd/>
                      <a:tailEnd/>
                    </a:ln>
                  </pic:spPr>
                </pic:pic>
              </a:graphicData>
            </a:graphic>
          </wp:inline>
        </w:drawing>
      </w:r>
      <w:r>
        <w:t xml:space="preserve"> </w:t>
      </w:r>
      <w:r>
        <w:rPr>
          <w:i/>
          <w:iCs/>
        </w:rPr>
        <w:t xml:space="preserve">Admitted 1890 - Grant: 2 sections (16 &amp; 36), about 3 million acres - Endowment Fund net position </w:t>
      </w:r>
      <w:r>
        <w:rPr>
          <w:b/>
          <w:bCs/>
          <w:i/>
          <w:iCs/>
        </w:rPr>
        <w:t>$3,592,674,268</w:t>
      </w:r>
      <w:r>
        <w:rPr>
          <w:i/>
          <w:iCs/>
        </w:rPr>
        <w:t xml:space="preserve"> [as of June 30, 2025]; Public School endowment distribution </w:t>
      </w:r>
      <w:r>
        <w:rPr>
          <w:b/>
          <w:bCs/>
          <w:i/>
          <w:iCs/>
        </w:rPr>
        <w:t>$63,039,900</w:t>
      </w:r>
      <w:r>
        <w:rPr>
          <w:i/>
          <w:iCs/>
        </w:rPr>
        <w:t xml:space="preserve"> in FY2025 - Trustee: five elected officials sitting ex officio as the Land Board - Verdict: Kept faith.</w:t>
      </w:r>
    </w:p>
    <w:p w14:paraId="78ABB656" w14:textId="77777777" w:rsidR="00DC02F5" w:rsidRDefault="00000000">
      <w:pPr>
        <w:pStyle w:val="BodyText"/>
      </w:pPr>
      <w:r>
        <w:rPr>
          <w:b/>
          <w:bCs/>
        </w:rPr>
        <w:t>Telling fact:</w:t>
      </w:r>
      <w:r>
        <w:t xml:space="preserve"> When Idaho voters approved a 1998 amendment package designed to loosen the trust’s discipline, the state’s own Supreme Court struck it down the next spring — courts in Idaho have treated Article IX as binding even on the voters.</w:t>
      </w:r>
    </w:p>
    <w:p w14:paraId="6E7EE7D1" w14:textId="77777777" w:rsidR="00DC02F5" w:rsidRDefault="00000000">
      <w:pPr>
        <w:pStyle w:val="BodyText"/>
      </w:pPr>
      <w:r>
        <w:t>Idaho built one of the sturdier school-trust frameworks in the West, and then its courts spent a century defending it. The 1890 federal grant was the ordinary doubled template — sections 16 and 36, about three million acres, “for the support of common schools,” with no fancy trust language. The muscle came from the 1889 state constitution. Article IX does four things at once: it declares the endowment fund inviolate, it pledges the state’s guaranty against loss, it names the five highest elected officials — Governor, Secretary of State, Attorney General, Controller, and Superintendent of Public Instruction — as ex officio trustees, and it sends the income to schools and nowhere else. Naming five trustees rather than three was deliberate: the framers wanted accountability spread wide.</w:t>
      </w:r>
    </w:p>
    <w:p w14:paraId="15903065" w14:textId="77777777" w:rsidR="00DC02F5" w:rsidRDefault="00000000">
      <w:pPr>
        <w:pStyle w:val="BodyText"/>
      </w:pPr>
      <w:r>
        <w:t xml:space="preserve">The case law reads like a trust-law syllabus. </w:t>
      </w:r>
      <w:r>
        <w:rPr>
          <w:i/>
          <w:iCs/>
        </w:rPr>
        <w:t>Balderston v. Brady</w:t>
      </w:r>
      <w:r>
        <w:t xml:space="preserve"> (1910) stopped the Land Board from giving away title to school sections. </w:t>
      </w:r>
      <w:r>
        <w:rPr>
          <w:i/>
          <w:iCs/>
        </w:rPr>
        <w:t>East Side Blaine County</w:t>
      </w:r>
      <w:r>
        <w:t xml:space="preserve"> (1921) forced a lease to public auction, declaring the “dominant purpose” was to get “the greatest possible amount” for the schools. </w:t>
      </w:r>
      <w:r>
        <w:rPr>
          <w:i/>
          <w:iCs/>
        </w:rPr>
        <w:t>Moon</w:t>
      </w:r>
      <w:r>
        <w:t xml:space="preserve"> (1986) caught the state quietly sweeping interest on school-land accounts into the general fund and ordered it back. The </w:t>
      </w:r>
      <w:r>
        <w:rPr>
          <w:i/>
          <w:iCs/>
        </w:rPr>
        <w:lastRenderedPageBreak/>
        <w:t>Idaho Watersheds</w:t>
      </w:r>
      <w:r>
        <w:t xml:space="preserve"> cases (1999) threw out a statute that told the Land Board to weigh the livestock industry and local economies in lease decisions — non-beneficiaries cannot outrank the schoolchildren. And the </w:t>
      </w:r>
      <w:r>
        <w:rPr>
          <w:i/>
          <w:iCs/>
        </w:rPr>
        <w:t>Wasden</w:t>
      </w:r>
      <w:r>
        <w:t xml:space="preserve"> line (2010, 2012) reaffirmed that the Board’s “broad discretion” stops where the constitution and statutes begin. One structural quirk worth flagging: an earlier draft called the Endowment Fund Investment Board a constitutional body. It isn’t — the Legislature created it in 1969 after voters amended the investment clause in 1968. The constitution supplies the investment </w:t>
      </w:r>
      <w:r>
        <w:rPr>
          <w:i/>
          <w:iCs/>
        </w:rPr>
        <w:t>authority</w:t>
      </w:r>
      <w:r>
        <w:t>; the board that wields it is statutory. What’s genuinely distinctive is the split: the Land Board manages the land, a separate board manages the money.</w:t>
      </w:r>
    </w:p>
    <w:p w14:paraId="579D42B8" w14:textId="77777777" w:rsidR="00DC02F5" w:rsidRDefault="00000000">
      <w:pPr>
        <w:pStyle w:val="BodyText"/>
      </w:pPr>
      <w:r>
        <w:rPr>
          <w:b/>
          <w:bCs/>
        </w:rPr>
        <w:t>Then→now:</w:t>
      </w:r>
      <w:r>
        <w:t xml:space="preserve"> A three-million-acre grant → roughly 2.5 million acres still managed and a multi-billion-dollar endowment, with a record distribution to schools in FY2025; EFIB financial statements report the Public School endowment distribution at </w:t>
      </w:r>
      <w:r>
        <w:rPr>
          <w:b/>
          <w:bCs/>
        </w:rPr>
        <w:t>$63,039,900</w:t>
      </w:r>
      <w:r>
        <w:t xml:space="preserve"> for FY2025.</w:t>
      </w:r>
    </w:p>
    <w:p w14:paraId="4715773E" w14:textId="77777777" w:rsidR="00DC02F5" w:rsidRDefault="00000000">
      <w:pPr>
        <w:pStyle w:val="BodyText"/>
      </w:pPr>
      <w:r>
        <w:rPr>
          <w:b/>
          <w:bCs/>
        </w:rPr>
        <w:t>Lesson:</w:t>
      </w:r>
      <w:r>
        <w:t xml:space="preserve"> Enforceable text, named ex officio trustees, and a court willing to bind even the voters is what a defended trust looks like. (See Ch. 5, “Kept and rebuilt.”) </w:t>
      </w:r>
      <w:r>
        <w:rPr>
          <w:i/>
          <w:iCs/>
        </w:rPr>
        <w:t>Sources/notes:</w:t>
      </w:r>
      <w:r>
        <w:t xml:space="preserve"> </w:t>
      </w:r>
      <w:r>
        <w:rPr>
          <w:i/>
          <w:iCs/>
        </w:rPr>
        <w:t>Balderston v. Brady</w:t>
      </w:r>
      <w:r>
        <w:t xml:space="preserve">, 18 Idaho 238, 108 P. 742 (1910); Idaho Admission Act, 26 Stat. 215; Idaho Const. art. IX §§ 3, 4, 7, 8, 11; </w:t>
      </w:r>
      <w:r>
        <w:rPr>
          <w:i/>
          <w:iCs/>
        </w:rPr>
        <w:t>East Side Blaine County</w:t>
      </w:r>
      <w:r>
        <w:t xml:space="preserve"> (1921); </w:t>
      </w:r>
      <w:r>
        <w:rPr>
          <w:i/>
          <w:iCs/>
        </w:rPr>
        <w:t>Moon</w:t>
      </w:r>
      <w:r>
        <w:t xml:space="preserve"> (1986); </w:t>
      </w:r>
      <w:r>
        <w:rPr>
          <w:i/>
          <w:iCs/>
        </w:rPr>
        <w:t>Idaho Watersheds Project</w:t>
      </w:r>
      <w:r>
        <w:t xml:space="preserve"> (1999); </w:t>
      </w:r>
      <w:r>
        <w:rPr>
          <w:i/>
          <w:iCs/>
        </w:rPr>
        <w:t>Wasden</w:t>
      </w:r>
      <w:r>
        <w:t xml:space="preserve"> (2010, 2012); IDL/EFIB reports.</w:t>
      </w:r>
    </w:p>
    <w:p w14:paraId="1D8C5CAB" w14:textId="77777777" w:rsidR="00DC02F5" w:rsidRDefault="00000000">
      <w:r>
        <w:pict w14:anchorId="427657CF">
          <v:rect id="_x0000_i1033" style="width:0;height:1.5pt" o:hralign="center" o:hrstd="t" o:hr="t"/>
        </w:pict>
      </w:r>
    </w:p>
    <w:p w14:paraId="2CCBC91D" w14:textId="77777777" w:rsidR="00DC02F5" w:rsidRDefault="00000000">
      <w:r>
        <w:br w:type="page"/>
      </w:r>
    </w:p>
    <w:p w14:paraId="20EF31D5" w14:textId="77777777" w:rsidR="00DC02F5" w:rsidRDefault="00000000">
      <w:pPr>
        <w:pStyle w:val="Heading2"/>
      </w:pPr>
      <w:bookmarkStart w:id="86" w:name="X39922a786b21a573a7f470d28b72bea44882622"/>
      <w:bookmarkStart w:id="87" w:name="_Toc231774240"/>
      <w:bookmarkEnd w:id="84"/>
      <w:r>
        <w:lastRenderedPageBreak/>
        <w:t>Illinois — The Quiet Sell-Off, One Township at a Time</w:t>
      </w:r>
      <w:bookmarkEnd w:id="87"/>
    </w:p>
    <w:p w14:paraId="1357791F" w14:textId="77777777" w:rsidR="00DC02F5" w:rsidRDefault="00000000">
      <w:r>
        <w:rPr>
          <w:noProof/>
        </w:rPr>
        <w:drawing>
          <wp:inline distT="0" distB="0" distL="0" distR="0" wp14:anchorId="511369EE" wp14:editId="70D39F1B">
            <wp:extent cx="731520" cy="853135"/>
            <wp:effectExtent l="0" t="0" r="0" b="0"/>
            <wp:docPr id="95" name="Picture" descr="QRFLOAT"/>
            <wp:cNvGraphicFramePr/>
            <a:graphic xmlns:a="http://schemas.openxmlformats.org/drawingml/2006/main">
              <a:graphicData uri="http://schemas.openxmlformats.org/drawingml/2006/picture">
                <pic:pic xmlns:pic="http://schemas.openxmlformats.org/drawingml/2006/picture">
                  <pic:nvPicPr>
                    <pic:cNvPr id="96" name="Picture" descr="C:/Users/drdav/My%20Drive/Claude%20Cowork/_tools/_web_cache/qr_us-il_d4d62d7da903_1200x_q90.jpg"/>
                    <pic:cNvPicPr>
                      <a:picLocks noChangeAspect="1" noChangeArrowheads="1"/>
                    </pic:cNvPicPr>
                  </pic:nvPicPr>
                  <pic:blipFill>
                    <a:blip r:embed="rId20"/>
                    <a:stretch>
                      <a:fillRect/>
                    </a:stretch>
                  </pic:blipFill>
                  <pic:spPr bwMode="auto">
                    <a:xfrm>
                      <a:off x="0" y="0"/>
                      <a:ext cx="731520" cy="853135"/>
                    </a:xfrm>
                    <a:prstGeom prst="rect">
                      <a:avLst/>
                    </a:prstGeom>
                    <a:noFill/>
                    <a:ln w="9525">
                      <a:noFill/>
                      <a:headEnd/>
                      <a:tailEnd/>
                    </a:ln>
                  </pic:spPr>
                </pic:pic>
              </a:graphicData>
            </a:graphic>
          </wp:inline>
        </w:drawing>
      </w:r>
      <w:r>
        <w:t xml:space="preserve"> </w:t>
      </w:r>
      <w:r>
        <w:rPr>
          <w:i/>
          <w:iCs/>
        </w:rPr>
        <w:t>Admitted 1818 - Grant: 1 section (16 only) - Common School Fund today: a modest line item; corpus/distribution not stated here - Trustee: none of fiduciary character; State Board of Education administers the residue - Verdict: Broke the trust – slowly.</w:t>
      </w:r>
    </w:p>
    <w:p w14:paraId="1DCE4B58" w14:textId="77777777" w:rsidR="00DC02F5" w:rsidRDefault="00000000">
      <w:pPr>
        <w:pStyle w:val="BodyText"/>
      </w:pPr>
      <w:r>
        <w:rPr>
          <w:b/>
          <w:bCs/>
        </w:rPr>
        <w:t>Telling fact:</w:t>
      </w:r>
      <w:r>
        <w:t xml:space="preserve"> Illinois lost its school land not to a fraud ring or a crooked senator but to seven decades of perfectly legal township sales — voted on by the neighbors themselves.</w:t>
      </w:r>
    </w:p>
    <w:p w14:paraId="0E2D2179" w14:textId="77777777" w:rsidR="00DC02F5" w:rsidRDefault="00000000">
      <w:pPr>
        <w:pStyle w:val="BodyText"/>
      </w:pPr>
      <w:r>
        <w:t xml:space="preserve">Illinois is the cautionary tale of drift. The 1818 grant set aside one section per township “for the use of schools.” That was enough to create the duty. What Illinois lacked was machinery: no restoration clause, no named enforcer, no visible statewide trustee, and no institution whose daily job was to say no when local pressure favored sale. </w:t>
      </w:r>
      <w:r>
        <w:rPr>
          <w:i/>
          <w:iCs/>
        </w:rPr>
        <w:t>Cooper v. Roberts</w:t>
      </w:r>
      <w:r>
        <w:t xml:space="preserve"> (1855) later gave the early grants their federal trust-law name, calling them a “sacred obligation.” But by the time that doctrine arrived, Illinois had already built the machinery to dismantle its endowment. At first the state leased the section-16 lots rather than selling them. Then in 1829 it let township voters petition to sell, if nine in ten agreed. In 1831 it dropped the threshold to three in four. Across the next several decades, thousands of townships voted to sell their school sections, lending the proceeds back into small local funds that no statewide trustee ever watched. The depletion was distributed, lawful, and nearly invisible.</w:t>
      </w:r>
    </w:p>
    <w:p w14:paraId="7469E2C4" w14:textId="77777777" w:rsidR="00DC02F5" w:rsidRDefault="00000000">
      <w:pPr>
        <w:pStyle w:val="BodyText"/>
      </w:pPr>
      <w:r>
        <w:t xml:space="preserve">The Illinois Supreme Court did eventually protect what was left — the </w:t>
      </w:r>
      <w:r>
        <w:rPr>
          <w:i/>
          <w:iCs/>
        </w:rPr>
        <w:t>Miller</w:t>
      </w:r>
      <w:r>
        <w:t xml:space="preserve"> (1875), </w:t>
      </w:r>
      <w:r>
        <w:rPr>
          <w:i/>
          <w:iCs/>
        </w:rPr>
        <w:t>Little</w:t>
      </w:r>
      <w:r>
        <w:t xml:space="preserve"> (1886), and </w:t>
      </w:r>
      <w:r>
        <w:rPr>
          <w:i/>
          <w:iCs/>
        </w:rPr>
        <w:t>Hanberg</w:t>
      </w:r>
      <w:r>
        <w:t xml:space="preserve"> (1905) line shielded the remaining fund from taxation and even traced its proceeds through </w:t>
      </w:r>
      <w:r>
        <w:lastRenderedPageBreak/>
        <w:t xml:space="preserve">conversions. But protecting a remnant is not the same as preventing the loss; by 1875 most of the corpus was already gone. The twentieth century finished the job: a 1989 statute now requires automatic liquidation of a township fund whenever its three-year average income falls below a small threshold, converting the last vestiges into operating cash. And in 1996, </w:t>
      </w:r>
      <w:r>
        <w:rPr>
          <w:i/>
          <w:iCs/>
        </w:rPr>
        <w:t>Committee for Educational Rights v. Edgar</w:t>
      </w:r>
      <w:r>
        <w:t xml:space="preserve"> held that adequacy claims under the state’s education clause aren’t even justiciable — closing the courthouse door on the most natural modern remedy.</w:t>
      </w:r>
    </w:p>
    <w:p w14:paraId="1D2D61CE" w14:textId="77777777" w:rsidR="00DC02F5" w:rsidRDefault="00000000">
      <w:pPr>
        <w:pStyle w:val="BodyText"/>
      </w:pPr>
      <w:r>
        <w:rPr>
          <w:b/>
          <w:bCs/>
        </w:rPr>
        <w:t>Then→now:</w:t>
      </w:r>
      <w:r>
        <w:t xml:space="preserve"> A large section-16 school-land estate → effectively none retained, and a Common School Fund too small to matter beside property taxes and the state funding formula.</w:t>
      </w:r>
    </w:p>
    <w:p w14:paraId="710DE530" w14:textId="77777777" w:rsidR="00DC02F5" w:rsidRDefault="00000000">
      <w:pPr>
        <w:pStyle w:val="BodyText"/>
      </w:pPr>
      <w:r>
        <w:rPr>
          <w:b/>
          <w:bCs/>
        </w:rPr>
        <w:t>Lesson:</w:t>
      </w:r>
      <w:r>
        <w:t xml:space="preserve"> A trust with no statewide trustee and a low bar for local sale will be sold off legally, one township vote at a time, long before any court thinks to guard it. (See Ch. 4, “Drift.”) </w:t>
      </w:r>
      <w:r>
        <w:rPr>
          <w:i/>
          <w:iCs/>
        </w:rPr>
        <w:t>Sources/notes:</w:t>
      </w:r>
      <w:r>
        <w:t xml:space="preserve"> Act of Apr. 18, 1818, 3 Stat. 428; </w:t>
      </w:r>
      <w:r>
        <w:rPr>
          <w:i/>
          <w:iCs/>
        </w:rPr>
        <w:t>Cooper v. Roberts</w:t>
      </w:r>
      <w:r>
        <w:t xml:space="preserve"> (1855); </w:t>
      </w:r>
      <w:r>
        <w:rPr>
          <w:i/>
          <w:iCs/>
        </w:rPr>
        <w:t>People ex rel. Paschen v. Hendrickson-Pontiac</w:t>
      </w:r>
      <w:r>
        <w:t xml:space="preserve"> (1956); </w:t>
      </w:r>
      <w:r>
        <w:rPr>
          <w:i/>
          <w:iCs/>
        </w:rPr>
        <w:t>Committee for Educational Rights v. Edgar</w:t>
      </w:r>
      <w:r>
        <w:t xml:space="preserve"> (1996); 105 ILCS 5/15. </w:t>
      </w:r>
      <w:r>
        <w:rPr>
          <w:i/>
          <w:iCs/>
        </w:rPr>
        <w:t>(Note: an earlier “$1.2 million by 1836” Chicago Loop figure is unconfirmed and deliberately not used.)</w:t>
      </w:r>
    </w:p>
    <w:p w14:paraId="3D1E5BF9" w14:textId="77777777" w:rsidR="00DC02F5" w:rsidRDefault="00000000">
      <w:r>
        <w:pict w14:anchorId="018BD23D">
          <v:rect id="_x0000_i1034" style="width:0;height:1.5pt" o:hralign="center" o:hrstd="t" o:hr="t"/>
        </w:pict>
      </w:r>
    </w:p>
    <w:p w14:paraId="50BB2AE9" w14:textId="77777777" w:rsidR="00DC02F5" w:rsidRDefault="00000000">
      <w:r>
        <w:br w:type="page"/>
      </w:r>
    </w:p>
    <w:p w14:paraId="376A031D" w14:textId="77777777" w:rsidR="00DC02F5" w:rsidRDefault="00000000">
      <w:pPr>
        <w:pStyle w:val="Heading2"/>
      </w:pPr>
      <w:bookmarkStart w:id="88" w:name="Xeda3ba0927e6911f4768f2e84d840125d50894a"/>
      <w:bookmarkStart w:id="89" w:name="_Toc231774241"/>
      <w:bookmarkEnd w:id="86"/>
      <w:r>
        <w:lastRenderedPageBreak/>
        <w:t>Indiana — The Strong Words and the Vanishing Land</w:t>
      </w:r>
      <w:bookmarkEnd w:id="89"/>
    </w:p>
    <w:p w14:paraId="79063A89" w14:textId="77777777" w:rsidR="00DC02F5" w:rsidRDefault="00000000">
      <w:r>
        <w:rPr>
          <w:noProof/>
        </w:rPr>
        <w:drawing>
          <wp:inline distT="0" distB="0" distL="0" distR="0" wp14:anchorId="6C0D1259" wp14:editId="4C85D645">
            <wp:extent cx="731520" cy="853135"/>
            <wp:effectExtent l="0" t="0" r="0" b="0"/>
            <wp:docPr id="99" name="Picture" descr="QRFLOAT"/>
            <wp:cNvGraphicFramePr/>
            <a:graphic xmlns:a="http://schemas.openxmlformats.org/drawingml/2006/main">
              <a:graphicData uri="http://schemas.openxmlformats.org/drawingml/2006/picture">
                <pic:pic xmlns:pic="http://schemas.openxmlformats.org/drawingml/2006/picture">
                  <pic:nvPicPr>
                    <pic:cNvPr id="100" name="Picture" descr="C:/Users/drdav/My%20Drive/Claude%20Cowork/_tools/_web_cache/qr_us-in_1e171c23e86b_1200x_q90.jpg"/>
                    <pic:cNvPicPr>
                      <a:picLocks noChangeAspect="1" noChangeArrowheads="1"/>
                    </pic:cNvPicPr>
                  </pic:nvPicPr>
                  <pic:blipFill>
                    <a:blip r:embed="rId21"/>
                    <a:stretch>
                      <a:fillRect/>
                    </a:stretch>
                  </pic:blipFill>
                  <pic:spPr bwMode="auto">
                    <a:xfrm>
                      <a:off x="0" y="0"/>
                      <a:ext cx="731520" cy="853135"/>
                    </a:xfrm>
                    <a:prstGeom prst="rect">
                      <a:avLst/>
                    </a:prstGeom>
                    <a:noFill/>
                    <a:ln w="9525">
                      <a:noFill/>
                      <a:headEnd/>
                      <a:tailEnd/>
                    </a:ln>
                  </pic:spPr>
                </pic:pic>
              </a:graphicData>
            </a:graphic>
          </wp:inline>
        </w:drawing>
      </w:r>
      <w:r>
        <w:t xml:space="preserve"> </w:t>
      </w:r>
      <w:r>
        <w:rPr>
          <w:i/>
          <w:iCs/>
        </w:rPr>
        <w:t>Admitted 1816 - Grant: 1 section (16 only), plus a seminary township (became Indiana University) - Common School Fund today: held largely as a fund-and-loan portfolio; dated corpus figure not stated here - Trustee: statutory, custody with the Treasurer of State - Verdict: Kept the money, lost the land.</w:t>
      </w:r>
    </w:p>
    <w:p w14:paraId="7F009326" w14:textId="77777777" w:rsidR="00DC02F5" w:rsidRDefault="00000000">
      <w:pPr>
        <w:pStyle w:val="BodyText"/>
      </w:pPr>
      <w:r>
        <w:rPr>
          <w:b/>
          <w:bCs/>
        </w:rPr>
        <w:t>Telling fact:</w:t>
      </w:r>
      <w:r>
        <w:t xml:space="preserve"> When the legislature tried to sweep $25 million out of the Common School Fund in 2003, the Attorney General refused — citing the 1851 constitution’s command that the principal “shall never be diminished… and to no other purpose whatever.” The money stayed.</w:t>
      </w:r>
    </w:p>
    <w:p w14:paraId="541A22E6" w14:textId="77777777" w:rsidR="00DC02F5" w:rsidRDefault="00000000">
      <w:pPr>
        <w:pStyle w:val="BodyText"/>
      </w:pPr>
      <w:r>
        <w:t>Indiana took the early section-sixteen grant and wrote unusually strong state protection over it. The 1816 Enabling Act gave the familiar template — one section per township “for the use of schools,” plus a seminary township that seeded Indiana University. But the 1851 state constitution’s Article 8 is textually among the best in the country: it enumerates the Common School Fund’s many sources, declares the principal “a perpetual fund, which may be increased, but shall never be diminished,” and orders the income “inviolably appropriated to the support of Common Schools, and to no other purpose whatever.” Three commitments in one sentence — perpetual, never shrinking, exclusively for schools.</w:t>
      </w:r>
    </w:p>
    <w:p w14:paraId="09B9A268" w14:textId="77777777" w:rsidR="00DC02F5" w:rsidRDefault="00000000">
      <w:pPr>
        <w:pStyle w:val="BodyText"/>
      </w:pPr>
      <w:r>
        <w:t xml:space="preserve">And on the money, it held. </w:t>
      </w:r>
      <w:r>
        <w:rPr>
          <w:i/>
          <w:iCs/>
        </w:rPr>
        <w:t>Springfield Township v. Quick</w:t>
      </w:r>
      <w:r>
        <w:t xml:space="preserve"> (1859) protected each township’s fund from being diverted to another. </w:t>
      </w:r>
      <w:r>
        <w:rPr>
          <w:i/>
          <w:iCs/>
        </w:rPr>
        <w:t>State v. Elliott</w:t>
      </w:r>
      <w:r>
        <w:t xml:space="preserve"> (1976) ruled that once funds vest in the Common School Fund they can’t be pulled back out. Then came the 2003 test: House Enrolled Act 1001 directed the Treasurer to move $25 million from the fund into </w:t>
      </w:r>
      <w:r>
        <w:lastRenderedPageBreak/>
        <w:t xml:space="preserve">the general fund. Uncertain, the Treasurer asked the Attorney General, who concluded in Official Opinion 2003-5 that the transfer would violate Article 8. The withdrawal never happened. But the corpus protection has a hollow center. </w:t>
      </w:r>
      <w:r>
        <w:rPr>
          <w:i/>
          <w:iCs/>
        </w:rPr>
        <w:t>Bonner v. Daniels</w:t>
      </w:r>
      <w:r>
        <w:t xml:space="preserve"> (2009) held the “general and uniform system” clause imposes no enforceable adequacy duty — Indiana protects the money but not the educational result. And the land itself is long gone: townships converted their section-16 parcels into invested principal across the nineteenth century, and today the “fund” is largely a </w:t>
      </w:r>
      <w:r>
        <w:rPr>
          <w:i/>
          <w:iCs/>
        </w:rPr>
        <w:t>loan book</w:t>
      </w:r>
      <w:r>
        <w:t>, its principal lent out to school corporations rather than held as land or passive endowment.</w:t>
      </w:r>
    </w:p>
    <w:p w14:paraId="319822E2" w14:textId="77777777" w:rsidR="00DC02F5" w:rsidRDefault="00000000">
      <w:pPr>
        <w:pStyle w:val="BodyText"/>
      </w:pPr>
      <w:r>
        <w:rPr>
          <w:b/>
          <w:bCs/>
        </w:rPr>
        <w:t>Then→now:</w:t>
      </w:r>
      <w:r>
        <w:t xml:space="preserve"> A section-16 land grant for the inhabitants of each township → an abstract, centrally held fund-and-loan portfolio with almost no land left under it.</w:t>
      </w:r>
    </w:p>
    <w:p w14:paraId="347F0D4C" w14:textId="77777777" w:rsidR="00DC02F5" w:rsidRDefault="00000000">
      <w:pPr>
        <w:pStyle w:val="BodyText"/>
      </w:pPr>
      <w:r>
        <w:rPr>
          <w:b/>
          <w:bCs/>
        </w:rPr>
        <w:t>Lesson:</w:t>
      </w:r>
      <w:r>
        <w:t xml:space="preserve"> You can defend a trust’s dollars perfectly and still watch the land-and-people compact behind it dissolve into an accounting entry. (See Ch. 5 on corpus protection; Ch. 6 on what corpus protection alone can’t do.) </w:t>
      </w:r>
      <w:r>
        <w:rPr>
          <w:i/>
          <w:iCs/>
        </w:rPr>
        <w:t>Sources/notes:</w:t>
      </w:r>
      <w:r>
        <w:t xml:space="preserve"> Enabling Act of Apr. 19, 1816, 3 Stat. 289; Ind. Const. art. 8 §§ 1–3 (1851); </w:t>
      </w:r>
      <w:r>
        <w:rPr>
          <w:i/>
          <w:iCs/>
        </w:rPr>
        <w:t>Springfield Township v. Quick</w:t>
      </w:r>
      <w:r>
        <w:t xml:space="preserve"> (1859); </w:t>
      </w:r>
      <w:r>
        <w:rPr>
          <w:i/>
          <w:iCs/>
        </w:rPr>
        <w:t>State v. Elliott</w:t>
      </w:r>
      <w:r>
        <w:t xml:space="preserve"> (1976); Official Opinion 2003-5; </w:t>
      </w:r>
      <w:r>
        <w:rPr>
          <w:i/>
          <w:iCs/>
        </w:rPr>
        <w:t>Bonner v. Daniels</w:t>
      </w:r>
      <w:r>
        <w:t xml:space="preserve"> (2009); </w:t>
      </w:r>
      <w:r>
        <w:rPr>
          <w:i/>
          <w:iCs/>
        </w:rPr>
        <w:t>Horner v. Curry</w:t>
      </w:r>
      <w:r>
        <w:t xml:space="preserve"> (2019).</w:t>
      </w:r>
    </w:p>
    <w:p w14:paraId="092DE43F" w14:textId="77777777" w:rsidR="00DC02F5" w:rsidRDefault="00000000">
      <w:r>
        <w:pict w14:anchorId="4579F6B3">
          <v:rect id="_x0000_i1035" style="width:0;height:1.5pt" o:hralign="center" o:hrstd="t" o:hr="t"/>
        </w:pict>
      </w:r>
    </w:p>
    <w:p w14:paraId="4099EAE0" w14:textId="77777777" w:rsidR="00DC02F5" w:rsidRDefault="00000000">
      <w:r>
        <w:br w:type="page"/>
      </w:r>
    </w:p>
    <w:p w14:paraId="6BD470BC" w14:textId="77777777" w:rsidR="00DC02F5" w:rsidRDefault="00000000">
      <w:pPr>
        <w:pStyle w:val="Heading2"/>
      </w:pPr>
      <w:bookmarkStart w:id="90" w:name="iowa-the-perfect-words-the-missing-guard"/>
      <w:bookmarkStart w:id="91" w:name="_Toc231774242"/>
      <w:bookmarkEnd w:id="88"/>
      <w:r>
        <w:lastRenderedPageBreak/>
        <w:t>Iowa — The Perfect Words, the Missing Guard</w:t>
      </w:r>
      <w:bookmarkEnd w:id="91"/>
    </w:p>
    <w:p w14:paraId="4FF5C293" w14:textId="77777777" w:rsidR="00DC02F5" w:rsidRDefault="00000000">
      <w:r>
        <w:rPr>
          <w:noProof/>
        </w:rPr>
        <w:drawing>
          <wp:inline distT="0" distB="0" distL="0" distR="0" wp14:anchorId="72F9FE80" wp14:editId="7BA56DA8">
            <wp:extent cx="731520" cy="853135"/>
            <wp:effectExtent l="0" t="0" r="0" b="0"/>
            <wp:docPr id="103" name="Picture" descr="QRFLOAT"/>
            <wp:cNvGraphicFramePr/>
            <a:graphic xmlns:a="http://schemas.openxmlformats.org/drawingml/2006/main">
              <a:graphicData uri="http://schemas.openxmlformats.org/drawingml/2006/picture">
                <pic:pic xmlns:pic="http://schemas.openxmlformats.org/drawingml/2006/picture">
                  <pic:nvPicPr>
                    <pic:cNvPr id="104" name="Picture" descr="C:/Users/drdav/My%20Drive/Claude%20Cowork/_tools/_web_cache/qr_us-ia_d210f6422888_1200x_q90.jpg"/>
                    <pic:cNvPicPr>
                      <a:picLocks noChangeAspect="1" noChangeArrowheads="1"/>
                    </pic:cNvPicPr>
                  </pic:nvPicPr>
                  <pic:blipFill>
                    <a:blip r:embed="rId22"/>
                    <a:stretch>
                      <a:fillRect/>
                    </a:stretch>
                  </pic:blipFill>
                  <pic:spPr bwMode="auto">
                    <a:xfrm>
                      <a:off x="0" y="0"/>
                      <a:ext cx="731520" cy="853135"/>
                    </a:xfrm>
                    <a:prstGeom prst="rect">
                      <a:avLst/>
                    </a:prstGeom>
                    <a:noFill/>
                    <a:ln w="9525">
                      <a:noFill/>
                      <a:headEnd/>
                      <a:tailEnd/>
                    </a:ln>
                  </pic:spPr>
                </pic:pic>
              </a:graphicData>
            </a:graphic>
          </wp:inline>
        </w:drawing>
      </w:r>
      <w:r>
        <w:t xml:space="preserve"> </w:t>
      </w:r>
      <w:r>
        <w:rPr>
          <w:i/>
          <w:iCs/>
        </w:rPr>
        <w:t>Admitted 1846 - Grant: 2 sections (16 &amp; 36) - Permanent School Fund: about $7.5 million at last full report [as of FY1996], interest now split between two universities - Trustee: the Treasurer of State, by statute – no constitutional trustee board - Verdict: Broke the trust (politely).</w:t>
      </w:r>
    </w:p>
    <w:p w14:paraId="223658FF" w14:textId="77777777" w:rsidR="00DC02F5" w:rsidRDefault="00000000">
      <w:pPr>
        <w:pStyle w:val="BodyText"/>
      </w:pPr>
      <w:r>
        <w:rPr>
          <w:b/>
          <w:bCs/>
        </w:rPr>
        <w:t>Telling fact:</w:t>
      </w:r>
      <w:r>
        <w:t xml:space="preserve"> Iowa’s 1857 constitution declared the school fund “perpetual” and its income “inviolably appropriated” to common schools — and yet the modern fund sends most of its interest to two university programs, not to a single common school.</w:t>
      </w:r>
    </w:p>
    <w:p w14:paraId="1A00EF14" w14:textId="77777777" w:rsidR="00DC02F5" w:rsidRDefault="00000000">
      <w:pPr>
        <w:pStyle w:val="BodyText"/>
      </w:pPr>
      <w:r>
        <w:t>Iowa is the clean structural proof of the book’s central claim. On paper it did almost everything right. The 1857 constitution wrote one of the most elaborate fund clauses of its era: it swept in section-16 proceeds, the 500,000-acre Distribution Act lands, escheats, and a percentage of federal land sales — all stacked into a single perpetual fund, with the income “inviolably appropriated to the support of common schools throughout the State.” That language is as strong as anything outside Oregon. What Iowa never did was name a trustee inside the constitution. Management of the actual lands fell to the General Assembly, which routed it through county-level school-fund commissioners — exactly the machinery built for liquidation.</w:t>
      </w:r>
    </w:p>
    <w:p w14:paraId="30E08DD6" w14:textId="77777777" w:rsidR="00DC02F5" w:rsidRDefault="00000000">
      <w:pPr>
        <w:pStyle w:val="BodyText"/>
      </w:pPr>
      <w:r>
        <w:t xml:space="preserve">And liquidate they did. The federal reporters preserve the picture: in </w:t>
      </w:r>
      <w:r>
        <w:rPr>
          <w:i/>
          <w:iCs/>
        </w:rPr>
        <w:t>Corbin v. County of Black Hawk</w:t>
      </w:r>
      <w:r>
        <w:t xml:space="preserve"> (1881), an exemplar 80-acre school parcel had been sold on credit for $724 — about $9.05 an acre — with the contracts assigned off to investors. The lands moved, in volume, on commercial terms. No Iowa Supreme Court decision ever enforced the inviolable-fund language against the state as trustee; by the time anyone might have tried, the corpus was too small to fight over. When </w:t>
      </w:r>
      <w:r>
        <w:lastRenderedPageBreak/>
        <w:t xml:space="preserve">a litigant finally reached for the strongest textual hook, </w:t>
      </w:r>
      <w:r>
        <w:rPr>
          <w:i/>
          <w:iCs/>
        </w:rPr>
        <w:t>King v. State</w:t>
      </w:r>
      <w:r>
        <w:t xml:space="preserve"> (2012) construed it away, reading Article IX as a funding-allocation provision, not a judicially enforceable mandate. The financial endpoint is documented: the fund stood at about $7.5 million at the end of FY1996, and under the modern statute its interest is split 55 percent to the University of Northern Iowa (for school-district reading and literacy programs) and 45 percent to the Belin-Blank gifted-education center at the University of Iowa — two higher-education programs, neither of them a common school. (These are distinct higher-ed channels and should not be conflated.)</w:t>
      </w:r>
    </w:p>
    <w:p w14:paraId="31AE0DBB" w14:textId="77777777" w:rsidR="00DC02F5" w:rsidRDefault="00000000">
      <w:pPr>
        <w:pStyle w:val="BodyText"/>
      </w:pPr>
      <w:r>
        <w:rPr>
          <w:b/>
          <w:bCs/>
        </w:rPr>
        <w:t>Then→now:</w:t>
      </w:r>
      <w:r>
        <w:t xml:space="preserve"> About a million acres and “inviolable” constitutional language → a $7.5-million residue whose interest no longer reaches a common school directly.</w:t>
      </w:r>
    </w:p>
    <w:p w14:paraId="7D51813E" w14:textId="77777777" w:rsidR="00DC02F5" w:rsidRDefault="00000000">
      <w:pPr>
        <w:pStyle w:val="BodyText"/>
      </w:pPr>
      <w:r>
        <w:rPr>
          <w:b/>
          <w:bCs/>
        </w:rPr>
        <w:t>Lesson:</w:t>
      </w:r>
      <w:r>
        <w:t xml:space="preserve"> A fund clause without a constitutionally seated trustee does not, on its own, preserve the corpus — the text held, the trust did not. (See Ch. 6, the trustee lesson.) </w:t>
      </w:r>
      <w:r>
        <w:rPr>
          <w:i/>
          <w:iCs/>
        </w:rPr>
        <w:t>Sources/notes:</w:t>
      </w:r>
      <w:r>
        <w:t xml:space="preserve"> Supplemental Act of Mar. 3, 1845, 5 Stat. 789; Act of Dec. 28, 1846, 9 Stat. 117; Iowa Const. art. IX (2d) § 3; </w:t>
      </w:r>
      <w:r>
        <w:rPr>
          <w:i/>
          <w:iCs/>
        </w:rPr>
        <w:t>Corbin v. County of Black Hawk</w:t>
      </w:r>
      <w:r>
        <w:t xml:space="preserve"> (1881); </w:t>
      </w:r>
      <w:r>
        <w:rPr>
          <w:i/>
          <w:iCs/>
        </w:rPr>
        <w:t>King v. State</w:t>
      </w:r>
      <w:r>
        <w:t xml:space="preserve"> (2012); Iowa Code §§ 257B.1B, 257B.15; Iowa LFB report (1997).</w:t>
      </w:r>
    </w:p>
    <w:p w14:paraId="3AD81E36" w14:textId="77777777" w:rsidR="00DC02F5" w:rsidRDefault="00000000">
      <w:r>
        <w:pict w14:anchorId="146CBB4C">
          <v:rect id="_x0000_i1036" style="width:0;height:1.5pt" o:hralign="center" o:hrstd="t" o:hr="t"/>
        </w:pict>
      </w:r>
    </w:p>
    <w:p w14:paraId="100BCCAB" w14:textId="77777777" w:rsidR="00DC02F5" w:rsidRDefault="00000000">
      <w:r>
        <w:br w:type="page"/>
      </w:r>
    </w:p>
    <w:p w14:paraId="2FB787CD" w14:textId="77777777" w:rsidR="00DC02F5" w:rsidRDefault="00000000">
      <w:pPr>
        <w:pStyle w:val="Heading2"/>
      </w:pPr>
      <w:bookmarkStart w:id="92" w:name="kansas-the-long-lawful-hollowing"/>
      <w:bookmarkStart w:id="93" w:name="_Toc231774243"/>
      <w:bookmarkEnd w:id="90"/>
      <w:r>
        <w:lastRenderedPageBreak/>
        <w:t>Kansas — The Long, Lawful Hollowing</w:t>
      </w:r>
      <w:bookmarkEnd w:id="93"/>
    </w:p>
    <w:p w14:paraId="2EE1887C" w14:textId="77777777" w:rsidR="00DC02F5" w:rsidRDefault="00000000">
      <w:r>
        <w:rPr>
          <w:noProof/>
        </w:rPr>
        <w:drawing>
          <wp:inline distT="0" distB="0" distL="0" distR="0" wp14:anchorId="2A5A106D" wp14:editId="5C34F9D1">
            <wp:extent cx="731520" cy="853135"/>
            <wp:effectExtent l="0" t="0" r="0" b="0"/>
            <wp:docPr id="107" name="Picture" descr="QRFLOAT"/>
            <wp:cNvGraphicFramePr/>
            <a:graphic xmlns:a="http://schemas.openxmlformats.org/drawingml/2006/main">
              <a:graphicData uri="http://schemas.openxmlformats.org/drawingml/2006/picture">
                <pic:pic xmlns:pic="http://schemas.openxmlformats.org/drawingml/2006/picture">
                  <pic:nvPicPr>
                    <pic:cNvPr id="108" name="Picture" descr="C:/Users/drdav/My%20Drive/Claude%20Cowork/_tools/_web_cache/qr_us-ks_0b77f6a414bb_1200x_q90.jpg"/>
                    <pic:cNvPicPr>
                      <a:picLocks noChangeAspect="1" noChangeArrowheads="1"/>
                    </pic:cNvPicPr>
                  </pic:nvPicPr>
                  <pic:blipFill>
                    <a:blip r:embed="rId23"/>
                    <a:stretch>
                      <a:fillRect/>
                    </a:stretch>
                  </pic:blipFill>
                  <pic:spPr bwMode="auto">
                    <a:xfrm>
                      <a:off x="0" y="0"/>
                      <a:ext cx="731520" cy="853135"/>
                    </a:xfrm>
                    <a:prstGeom prst="rect">
                      <a:avLst/>
                    </a:prstGeom>
                    <a:noFill/>
                    <a:ln w="9525">
                      <a:noFill/>
                      <a:headEnd/>
                      <a:tailEnd/>
                    </a:ln>
                  </pic:spPr>
                </pic:pic>
              </a:graphicData>
            </a:graphic>
          </wp:inline>
        </w:drawing>
      </w:r>
      <w:r>
        <w:t xml:space="preserve"> </w:t>
      </w:r>
      <w:r>
        <w:rPr>
          <w:i/>
          <w:iCs/>
        </w:rPr>
        <w:t>Admitted 1861 · Grant: 2 sections (16 &amp; 36), ~2.9 million acres · Permanent school fund today: small and restructured — statutorily abolished as a separate entity, its inputs routed to the general fund · Trustee: the State Treasurer’s office, by statute — no Oregon-style ex officio board · Verdict: Broke the trust (by drift).</w:t>
      </w:r>
    </w:p>
    <w:p w14:paraId="1D3DBBB0" w14:textId="77777777" w:rsidR="00DC02F5" w:rsidRDefault="00000000">
      <w:pPr>
        <w:pStyle w:val="BodyText"/>
      </w:pPr>
      <w:r>
        <w:rPr>
          <w:b/>
          <w:bCs/>
        </w:rPr>
        <w:t>Telling fact:</w:t>
      </w:r>
      <w:r>
        <w:t xml:space="preserve"> A fund the 1859 constitution declared “inviolate” and dedicated exclusively to common schools is, today, abolished by statute as a separate account — its deposits now flow into the state general fund.</w:t>
      </w:r>
    </w:p>
    <w:p w14:paraId="64562315" w14:textId="77777777" w:rsidR="00DC02F5" w:rsidRDefault="00000000">
      <w:pPr>
        <w:pStyle w:val="BodyText"/>
      </w:pPr>
      <w:r>
        <w:t>Kansas did what Ohio did, and learned nothing from the one-section states that had already lost everything: it sold fast, built no real mechanism to stop itself, and the horror is in the cumulative quiet of it. The state came in with a strong hand — about 2.9 million acres in the doubled grant, and an 1859 Article 6 that walled off a perpetual school fund, declared the principal inviolate, and dedicated the income exclusively to common schools. Within two years of admission, courts confirmed the federal compact was “irrevocable without United States consent.” It looked, in 1861, like Oregon’s equal.</w:t>
      </w:r>
    </w:p>
    <w:p w14:paraId="578CB5CB" w14:textId="77777777" w:rsidR="00DC02F5" w:rsidRDefault="00000000">
      <w:pPr>
        <w:pStyle w:val="BodyText"/>
      </w:pPr>
      <w:r>
        <w:t xml:space="preserve">Then the slow hollowing began, and every step was legal. Where Oregon named its three top officials as trustees by office, Kansas named no one in the constitution — a beneficiary today has no defined trustee to sue. The legislature built the sale machinery early: an 1862 fund statute, an 1876 common-school law that folded land disposition into ordinary statutes, an 1886 authorization to sell the school sections, and an 1915 command that </w:t>
      </w:r>
      <w:r>
        <w:rPr>
          <w:i/>
          <w:iCs/>
        </w:rPr>
        <w:t>all</w:t>
      </w:r>
      <w:r>
        <w:t xml:space="preserve"> remaining or reverted school land be sold. By the constitution’s hundredth birthday Kansas had disposed of </w:t>
      </w:r>
      <w:r>
        <w:lastRenderedPageBreak/>
        <w:t>substantially its entire 2.9-million-acre grant — there is no Kansas Elliott Forest, no surviving land asset at scale. Then the 1966 voters rewrote Article 6 itself, replacing the inviolable-fund language with text letting the legislature spend the fund “both as to principal and income.” And a modern statute, K.S.A. 72-5129, flatly “abolishes” the state school fund and routes its deposits to the general fund. No single act was criminal. No act was even shocking. The cumulative effect — a national-inheritance trust converted to a general-fund rounding entry over 165 years — is what drift looks like when no one is seizing anything, just signing.</w:t>
      </w:r>
    </w:p>
    <w:p w14:paraId="4C270C6E" w14:textId="77777777" w:rsidR="00DC02F5" w:rsidRDefault="00000000">
      <w:pPr>
        <w:pStyle w:val="BodyText"/>
      </w:pPr>
      <w:r>
        <w:rPr>
          <w:b/>
          <w:bCs/>
        </w:rPr>
        <w:t>Then→now:</w:t>
      </w:r>
      <w:r>
        <w:t xml:space="preserve"> 2.9 million acres and an “inviolate” fund → no meaningful retained land and a permanent fund legally abolished as a separate thing.</w:t>
      </w:r>
    </w:p>
    <w:p w14:paraId="1114B014" w14:textId="77777777" w:rsidR="00DC02F5" w:rsidRDefault="00000000">
      <w:pPr>
        <w:pStyle w:val="BodyText"/>
      </w:pPr>
      <w:r>
        <w:rPr>
          <w:b/>
          <w:bCs/>
        </w:rPr>
        <w:t>Lesson:</w:t>
      </w:r>
      <w:r>
        <w:t xml:space="preserve"> Drift needs no villain — an unnamed trustee plus a steady stream of reasonable statutes will dissolve a trust as surely as any fraud. (See Ch. 4, “Drift,” and Ch. 6, the trustee lesson.) </w:t>
      </w:r>
      <w:r>
        <w:rPr>
          <w:i/>
          <w:iCs/>
        </w:rPr>
        <w:t>Sources/notes:</w:t>
      </w:r>
      <w:r>
        <w:t xml:space="preserve"> Kansas Admission Act, 12 Stat. 126; </w:t>
      </w:r>
      <w:r>
        <w:rPr>
          <w:i/>
          <w:iCs/>
        </w:rPr>
        <w:t>Missouri, K. &amp; T. Ry. Co. v. Roberts</w:t>
      </w:r>
      <w:r>
        <w:t>, 152 U.S. 114 (1894); Kan. Const. art. 6 (1859 original; 1966 § 7(c) amendment); K.S.A. 72-1507, 72-1534, 72-5129.</w:t>
      </w:r>
    </w:p>
    <w:p w14:paraId="61B3BA1E" w14:textId="77777777" w:rsidR="00DC02F5" w:rsidRDefault="00000000">
      <w:r>
        <w:pict w14:anchorId="7760A70E">
          <v:rect id="_x0000_i1037" style="width:0;height:1.5pt" o:hralign="center" o:hrstd="t" o:hr="t"/>
        </w:pict>
      </w:r>
    </w:p>
    <w:p w14:paraId="46F7FC58" w14:textId="77777777" w:rsidR="00DC02F5" w:rsidRDefault="00000000">
      <w:r>
        <w:br w:type="page"/>
      </w:r>
    </w:p>
    <w:p w14:paraId="3298A7F1" w14:textId="77777777" w:rsidR="00DC02F5" w:rsidRDefault="00000000">
      <w:pPr>
        <w:pStyle w:val="Heading2"/>
      </w:pPr>
      <w:bookmarkStart w:id="94" w:name="X83044b400eb6aabc0e2cdb9d8f2048089f40e85"/>
      <w:bookmarkStart w:id="95" w:name="_Toc231774244"/>
      <w:bookmarkEnd w:id="92"/>
      <w:r>
        <w:lastRenderedPageBreak/>
        <w:t>Louisiana — The Township Grant That Lives in the Parishes</w:t>
      </w:r>
      <w:bookmarkEnd w:id="95"/>
    </w:p>
    <w:p w14:paraId="256F9893" w14:textId="77777777" w:rsidR="00DC02F5" w:rsidRDefault="00000000">
      <w:r>
        <w:rPr>
          <w:noProof/>
        </w:rPr>
        <w:drawing>
          <wp:inline distT="0" distB="0" distL="0" distR="0" wp14:anchorId="51F5C603" wp14:editId="5CBA39BB">
            <wp:extent cx="731520" cy="853135"/>
            <wp:effectExtent l="0" t="0" r="0" b="0"/>
            <wp:docPr id="111" name="Picture" descr="QRFLOAT"/>
            <wp:cNvGraphicFramePr/>
            <a:graphic xmlns:a="http://schemas.openxmlformats.org/drawingml/2006/main">
              <a:graphicData uri="http://schemas.openxmlformats.org/drawingml/2006/picture">
                <pic:pic xmlns:pic="http://schemas.openxmlformats.org/drawingml/2006/picture">
                  <pic:nvPicPr>
                    <pic:cNvPr id="112" name="Picture" descr="C:/Users/drdav/My%20Drive/Claude%20Cowork/_tools/_web_cache/qr_us-la_fe1a1d0b8644_1200x_q90.jpg"/>
                    <pic:cNvPicPr>
                      <a:picLocks noChangeAspect="1" noChangeArrowheads="1"/>
                    </pic:cNvPicPr>
                  </pic:nvPicPr>
                  <pic:blipFill>
                    <a:blip r:embed="rId24"/>
                    <a:stretch>
                      <a:fillRect/>
                    </a:stretch>
                  </pic:blipFill>
                  <pic:spPr bwMode="auto">
                    <a:xfrm>
                      <a:off x="0" y="0"/>
                      <a:ext cx="731520" cy="853135"/>
                    </a:xfrm>
                    <a:prstGeom prst="rect">
                      <a:avLst/>
                    </a:prstGeom>
                    <a:noFill/>
                    <a:ln w="9525">
                      <a:noFill/>
                      <a:headEnd/>
                      <a:tailEnd/>
                    </a:ln>
                  </pic:spPr>
                </pic:pic>
              </a:graphicData>
            </a:graphic>
          </wp:inline>
        </w:drawing>
      </w:r>
      <w:r>
        <w:t xml:space="preserve"> </w:t>
      </w:r>
      <w:r>
        <w:rPr>
          <w:i/>
          <w:iCs/>
        </w:rPr>
        <w:t>Admitted 1812 - Grant: 1 section (16 only) - Federal-grant Permanent School Fund today: modest; dwarfed by the separate 8(g) offshore-mineral education fund (do not conflate) - Trustee: statutory – Office of State Lands, with parish school boards as custodians - Verdict: Broke the trust by drift, ratified after the fact.</w:t>
      </w:r>
    </w:p>
    <w:p w14:paraId="453D18F1" w14:textId="77777777" w:rsidR="00DC02F5" w:rsidRDefault="00000000">
      <w:pPr>
        <w:pStyle w:val="BodyText"/>
      </w:pPr>
      <w:r>
        <w:rPr>
          <w:b/>
          <w:bCs/>
        </w:rPr>
        <w:t>Telling fact:</w:t>
      </w:r>
      <w:r>
        <w:t xml:space="preserve"> When a century of irregular, below-value, procedurally defective school-land sales had piled up, Louisiana’s legislature didn’t investigate — in 1946 it simply passed a statute ratifying all the pre-1930 sales wholesale, defects and all.</w:t>
      </w:r>
    </w:p>
    <w:p w14:paraId="53F2B1B6" w14:textId="77777777" w:rsidR="00DC02F5" w:rsidRDefault="00000000">
      <w:pPr>
        <w:pStyle w:val="BodyText"/>
      </w:pPr>
      <w:r>
        <w:t>Louisiana is depletion in colonial costume. The federal section-16 template arrived in 1812, but it landed across a dense quilt of French and Spanish private claims, so the school lands came in fragments, with in-lieu selections scattered to fill the gaps. The grant — roughly 807,000 acres — drifted away across the long nineteenth century through low-priced sales, mismanagement, and locally run administration with no real state oversight. The defining gesture came in 1946: rather than untangle a century of defective conveyances — bad elections, missing appraisals, doubtful deeds — Act 323 simply ratified all pre-1930 sales en masse. It was a directed seizure of the title-validity question itself, done retroactively because ratifying was easier than auditing.</w:t>
      </w:r>
    </w:p>
    <w:p w14:paraId="20987CFE" w14:textId="77777777" w:rsidR="00DC02F5" w:rsidRDefault="00000000">
      <w:pPr>
        <w:pStyle w:val="BodyText"/>
      </w:pPr>
      <w:r>
        <w:t xml:space="preserve">But the township grant never fully died — it lives on in the parishes. Louisiana courts treat sixteenth-section lands as state-owned, with parish school boards holding custody, and those boards still lease their school lands today, especially for minerals. The enforcement record is </w:t>
      </w:r>
      <w:r>
        <w:lastRenderedPageBreak/>
        <w:t xml:space="preserve">real where someone stands on it. </w:t>
      </w:r>
      <w:r>
        <w:rPr>
          <w:i/>
          <w:iCs/>
        </w:rPr>
        <w:t>Humble Oil</w:t>
      </w:r>
      <w:r>
        <w:t xml:space="preserve"> (1940) kept the school-land regime from being swallowed by ordinary state mineral administration. </w:t>
      </w:r>
      <w:r>
        <w:rPr>
          <w:i/>
          <w:iCs/>
        </w:rPr>
        <w:t>Cacioppo</w:t>
      </w:r>
      <w:r>
        <w:t xml:space="preserve"> (1981) ruled section-16 revenue belongs to all the parish’s schoolchildren, not just the ward where the well sits. The long Plaquemines Parish line (1992–2012) recovered title and dollars and held that the trust survives transfers to levee districts unless it gets full value — and that prescription never runs against the state in recovering school lands. More recently, Vermilion Parish has sued oil-and-gas operators to remediate damaged school sections. A persistent confusion to avoid: the prominent modern “8(g)” Louisiana Education Quality Trust Fund, built from offshore mineral money, is a separate vehicle that dwarfs the original school fund — it is not a restoration of the 1812 trust.</w:t>
      </w:r>
    </w:p>
    <w:p w14:paraId="14FFE901" w14:textId="77777777" w:rsidR="00DC02F5" w:rsidRDefault="00000000">
      <w:pPr>
        <w:pStyle w:val="BodyText"/>
      </w:pPr>
      <w:r>
        <w:rPr>
          <w:b/>
          <w:bCs/>
        </w:rPr>
        <w:t>Then→now:</w:t>
      </w:r>
      <w:r>
        <w:t xml:space="preserve"> A township school grant → a residual fund too small to cleanly report, plus parish school boards still leasing the surviving sections two centuries on.</w:t>
      </w:r>
    </w:p>
    <w:p w14:paraId="389A7ED7" w14:textId="77777777" w:rsidR="00DC02F5" w:rsidRDefault="00000000">
      <w:pPr>
        <w:pStyle w:val="BodyText"/>
      </w:pPr>
      <w:r>
        <w:rPr>
          <w:b/>
          <w:bCs/>
        </w:rPr>
        <w:t>Lesson:</w:t>
      </w:r>
      <w:r>
        <w:t xml:space="preserve"> When a legislature finds it easier to ratify a century of irregular sales than to investigate them, the trust’s losses get laundered into clean title. (See Ch. 4, “Drift” and the title-cure box.) </w:t>
      </w:r>
      <w:r>
        <w:rPr>
          <w:i/>
          <w:iCs/>
        </w:rPr>
        <w:t>Sources/notes:</w:t>
      </w:r>
      <w:r>
        <w:t xml:space="preserve"> Act of Apr. 8, 1812, 2 Stat. 701; Acts of 1806 (2 Stat. 391) &amp; 1811 (2 Stat. 662); La. R.S. 41:1323.1 (Act 323 of 1946); </w:t>
      </w:r>
      <w:r>
        <w:rPr>
          <w:i/>
          <w:iCs/>
        </w:rPr>
        <w:t>State v. Humble Oil</w:t>
      </w:r>
      <w:r>
        <w:t xml:space="preserve"> (1940); </w:t>
      </w:r>
      <w:r>
        <w:rPr>
          <w:i/>
          <w:iCs/>
        </w:rPr>
        <w:t>Cacioppo</w:t>
      </w:r>
      <w:r>
        <w:t xml:space="preserve"> (1981); Plaquemines Parish line (1992–2012); La. Const. art. VII § 10.1 (8(g) fund, 1987).</w:t>
      </w:r>
    </w:p>
    <w:p w14:paraId="1A00CFC8" w14:textId="77777777" w:rsidR="00DC02F5" w:rsidRDefault="00000000">
      <w:r>
        <w:pict w14:anchorId="6F459033">
          <v:rect id="_x0000_i1038" style="width:0;height:1.5pt" o:hralign="center" o:hrstd="t" o:hr="t"/>
        </w:pict>
      </w:r>
    </w:p>
    <w:p w14:paraId="2C2FDEAF" w14:textId="77777777" w:rsidR="00DC02F5" w:rsidRDefault="00000000">
      <w:r>
        <w:br w:type="page"/>
      </w:r>
    </w:p>
    <w:p w14:paraId="437EADCD" w14:textId="77777777" w:rsidR="00DC02F5" w:rsidRDefault="00000000">
      <w:pPr>
        <w:pStyle w:val="Heading2"/>
      </w:pPr>
      <w:bookmarkStart w:id="96" w:name="X81cdef5f8454e4013ec0be0927c2f564d36841d"/>
      <w:bookmarkStart w:id="97" w:name="_Toc231774245"/>
      <w:bookmarkEnd w:id="94"/>
      <w:r>
        <w:lastRenderedPageBreak/>
        <w:t>Michigan — The Headwater That Drained Its Own Well</w:t>
      </w:r>
      <w:bookmarkEnd w:id="97"/>
    </w:p>
    <w:p w14:paraId="6DDE5D39" w14:textId="77777777" w:rsidR="00DC02F5" w:rsidRDefault="00000000">
      <w:r>
        <w:rPr>
          <w:noProof/>
        </w:rPr>
        <w:drawing>
          <wp:inline distT="0" distB="0" distL="0" distR="0" wp14:anchorId="5AB9E97D" wp14:editId="293F4F15">
            <wp:extent cx="731520" cy="853135"/>
            <wp:effectExtent l="0" t="0" r="0" b="0"/>
            <wp:docPr id="115" name="Picture" descr="QRFLOAT"/>
            <wp:cNvGraphicFramePr/>
            <a:graphic xmlns:a="http://schemas.openxmlformats.org/drawingml/2006/main">
              <a:graphicData uri="http://schemas.openxmlformats.org/drawingml/2006/picture">
                <pic:pic xmlns:pic="http://schemas.openxmlformats.org/drawingml/2006/picture">
                  <pic:nvPicPr>
                    <pic:cNvPr id="116" name="Picture" descr="C:/Users/drdav/My%20Drive/Claude%20Cowork/_tools/_web_cache/qr_us-mi_192f04eb9556_1200x_q90.jpg"/>
                    <pic:cNvPicPr>
                      <a:picLocks noChangeAspect="1" noChangeArrowheads="1"/>
                    </pic:cNvPicPr>
                  </pic:nvPicPr>
                  <pic:blipFill>
                    <a:blip r:embed="rId25"/>
                    <a:stretch>
                      <a:fillRect/>
                    </a:stretch>
                  </pic:blipFill>
                  <pic:spPr bwMode="auto">
                    <a:xfrm>
                      <a:off x="0" y="0"/>
                      <a:ext cx="731520" cy="853135"/>
                    </a:xfrm>
                    <a:prstGeom prst="rect">
                      <a:avLst/>
                    </a:prstGeom>
                    <a:noFill/>
                    <a:ln w="9525">
                      <a:noFill/>
                      <a:headEnd/>
                      <a:tailEnd/>
                    </a:ln>
                  </pic:spPr>
                </pic:pic>
              </a:graphicData>
            </a:graphic>
          </wp:inline>
        </w:drawing>
      </w:r>
      <w:r>
        <w:t xml:space="preserve"> </w:t>
      </w:r>
      <w:r>
        <w:rPr>
          <w:i/>
          <w:iCs/>
        </w:rPr>
        <w:t>Admitted 1837 - Grant: Section 16 only - Trust corpus today: residual, displaced by the State School Aid Fund - Trustee: historically the Superintendent of Public Instruction; today the State Treasurer / Dept. of Education - Verdict: Broke the trust.</w:t>
      </w:r>
    </w:p>
    <w:p w14:paraId="06AB460D" w14:textId="77777777" w:rsidR="00DC02F5" w:rsidRDefault="00000000">
      <w:pPr>
        <w:pStyle w:val="BodyText"/>
      </w:pPr>
      <w:r>
        <w:rPr>
          <w:b/>
          <w:bCs/>
        </w:rPr>
        <w:t>Telling fact:</w:t>
      </w:r>
      <w:r>
        <w:t xml:space="preserve"> Michigan is where the U.S. Supreme Court first called a school-land grant a “sacred obligation” on the public faith of the state — and it is also where the legislature, twenty years later, swept the principal of that fund into the general treasury and replaced it with a bookkeeping entry.</w:t>
      </w:r>
    </w:p>
    <w:p w14:paraId="73AB1B64" w14:textId="77777777" w:rsidR="00DC02F5" w:rsidRDefault="00000000">
      <w:pPr>
        <w:pStyle w:val="BodyText"/>
      </w:pPr>
      <w:r>
        <w:t xml:space="preserve">Michigan is a doctrinal headwater in two ways, and a cautionary tale in a third. First, the doctrine: </w:t>
      </w:r>
      <w:r>
        <w:rPr>
          <w:i/>
          <w:iCs/>
        </w:rPr>
        <w:t>Cooper v. Roberts</w:t>
      </w:r>
      <w:r>
        <w:t xml:space="preserve"> (1855) arose from a Michigan title fight over a copper-bearing school section in the Upper Peninsula. Justice Catron, writing for a unanimous Court, ruled for the school grant and declared that such grants are not ordinary state property but a trust resting on “a sacred obligation imposed on its public faith.” Every Northwest Ordinance state has stood on that floor ever since.</w:t>
      </w:r>
    </w:p>
    <w:p w14:paraId="0646ADCA" w14:textId="77777777" w:rsidR="00DC02F5" w:rsidRDefault="00000000">
      <w:pPr>
        <w:pStyle w:val="BodyText"/>
      </w:pPr>
      <w:r>
        <w:t xml:space="preserve">Second, the structure. The Michigan Constitutional Convention of 1835 met more than a year before Congress finalized the grant and made a structural choice no one had made before: it centralized school-land management at the </w:t>
      </w:r>
      <w:r>
        <w:rPr>
          <w:i/>
          <w:iCs/>
        </w:rPr>
        <w:t>state</w:t>
      </w:r>
      <w:r>
        <w:t xml:space="preserve"> level, in a Superintendent of Public Instruction, rather than scattering it across hundreds of township trustees the way the Ohio template did. Wisconsin copied Michigan in 1848; Minnesota copied Wisconsin in 1857; the whole western pattern </w:t>
      </w:r>
      <w:r>
        <w:lastRenderedPageBreak/>
        <w:t>of state land boards traces back to what became known as the Michigan Plan.</w:t>
      </w:r>
    </w:p>
    <w:p w14:paraId="6085C592" w14:textId="77777777" w:rsidR="00DC02F5" w:rsidRDefault="00000000">
      <w:pPr>
        <w:pStyle w:val="BodyText"/>
      </w:pPr>
      <w:r>
        <w:t>Then the corrective edge. Better structure did not save the corpus. Michigan’s section-sixteen lands — timber and mineral country — were sold off through the nineteenth century at prices that did not reflect their value. In 1875, Public Act 22 did the rest: it was, in the legislature’s own words, an act “to provide for the use of the proceeds of the sale of educational lands in defraying the expenses of the state government.” The state took the principal into the general fund and kept paying schools interest computed against a balance that no longer existed. The fund survived only on paper.</w:t>
      </w:r>
    </w:p>
    <w:p w14:paraId="06F94BCF" w14:textId="77777777" w:rsidR="00DC02F5" w:rsidRDefault="00000000">
      <w:pPr>
        <w:pStyle w:val="BodyText"/>
      </w:pPr>
      <w:r>
        <w:t>The 1963 Constitution finished the pivot, dropping the old perpetual-school-land-fund clause and substituting the modern State School Aid Fund — a sales-tax-fed finance vehicle, not a land trust. What survives intact is the rhetoric: Article VIII, § 1 still carries the Northwest Ordinance line nearly verbatim, the cleanest such preservation in any state constitution.</w:t>
      </w:r>
    </w:p>
    <w:p w14:paraId="24DDE88B" w14:textId="77777777" w:rsidR="00DC02F5" w:rsidRDefault="00000000">
      <w:pPr>
        <w:pStyle w:val="BodyText"/>
      </w:pPr>
      <w:r>
        <w:rPr>
          <w:b/>
          <w:bCs/>
        </w:rPr>
        <w:t>Then→now:</w:t>
      </w:r>
      <w:r>
        <w:t xml:space="preserve"> A timber-and-copper school-land endowment → a residual fund, with K-12 now funded by a sales-tax-backed School Aid Fund instead.</w:t>
      </w:r>
    </w:p>
    <w:p w14:paraId="702ED3A4" w14:textId="77777777" w:rsidR="00DC02F5" w:rsidRDefault="00000000">
      <w:pPr>
        <w:pStyle w:val="BodyText"/>
      </w:pPr>
      <w:r>
        <w:rPr>
          <w:b/>
          <w:bCs/>
        </w:rPr>
        <w:t>Lesson:</w:t>
      </w:r>
      <w:r>
        <w:t xml:space="preserve"> State-level reform is the floor, not the building. Centralizing management improved discipline at the margins and did not stop a one-line statute from seizing the corpus. (See Ch. 4, “Directed seizure,” and Ch. 5.) </w:t>
      </w:r>
      <w:r>
        <w:rPr>
          <w:i/>
          <w:iCs/>
        </w:rPr>
        <w:t>Sources/notes:</w:t>
      </w:r>
      <w:r>
        <w:t xml:space="preserve"> </w:t>
      </w:r>
      <w:r>
        <w:rPr>
          <w:i/>
          <w:iCs/>
        </w:rPr>
        <w:t>Cooper v. Roberts</w:t>
      </w:r>
      <w:r>
        <w:t xml:space="preserve">, 59 U.S. 173 (1855); Act of June 23, 1836, 5 Stat. 59; Mich. Const. of 1835 art. X; 1875 Public Act 22 (Mich. Legislature confirms purpose; </w:t>
      </w:r>
      <w:r>
        <w:rPr>
          <w:i/>
          <w:iCs/>
        </w:rPr>
        <w:t>Milliken v. Green</w:t>
      </w:r>
      <w:r>
        <w:t xml:space="preserve"> historical narrative, vacated); Mich. Const. of 1963 art. VIII § 1, art. IX § 11.</w:t>
      </w:r>
    </w:p>
    <w:p w14:paraId="4F7A2ECB" w14:textId="77777777" w:rsidR="00DC02F5" w:rsidRDefault="00000000">
      <w:r>
        <w:pict w14:anchorId="7CC996F7">
          <v:rect id="_x0000_i1039" style="width:0;height:1.5pt" o:hralign="center" o:hrstd="t" o:hr="t"/>
        </w:pict>
      </w:r>
    </w:p>
    <w:p w14:paraId="1D61F119" w14:textId="77777777" w:rsidR="00DC02F5" w:rsidRDefault="00000000">
      <w:r>
        <w:br w:type="page"/>
      </w:r>
    </w:p>
    <w:p w14:paraId="516B0D45" w14:textId="77777777" w:rsidR="00DC02F5" w:rsidRDefault="00000000">
      <w:pPr>
        <w:pStyle w:val="Heading2"/>
      </w:pPr>
      <w:bookmarkStart w:id="98" w:name="X6710939c407c7a14552c3629bd2dac407f9d302"/>
      <w:bookmarkStart w:id="99" w:name="_Toc231774246"/>
      <w:bookmarkEnd w:id="96"/>
      <w:r>
        <w:lastRenderedPageBreak/>
        <w:t>Minnesota — The State That Copied the Template First, and Kept the Most</w:t>
      </w:r>
      <w:bookmarkEnd w:id="99"/>
    </w:p>
    <w:p w14:paraId="12E8EAF5" w14:textId="77777777" w:rsidR="00DC02F5" w:rsidRDefault="00000000">
      <w:r>
        <w:rPr>
          <w:noProof/>
        </w:rPr>
        <w:drawing>
          <wp:inline distT="0" distB="0" distL="0" distR="0" wp14:anchorId="5CB186BA" wp14:editId="218A774C">
            <wp:extent cx="731520" cy="853135"/>
            <wp:effectExtent l="0" t="0" r="0" b="0"/>
            <wp:docPr id="119" name="Picture" descr="QRFLOAT"/>
            <wp:cNvGraphicFramePr/>
            <a:graphic xmlns:a="http://schemas.openxmlformats.org/drawingml/2006/main">
              <a:graphicData uri="http://schemas.openxmlformats.org/drawingml/2006/picture">
                <pic:pic xmlns:pic="http://schemas.openxmlformats.org/drawingml/2006/picture">
                  <pic:nvPicPr>
                    <pic:cNvPr id="120" name="Picture" descr="C:/Users/drdav/My%20Drive/Claude%20Cowork/_tools/_web_cache/qr_us-mn_3abe4aef3cc3_1200x_q90.jpg"/>
                    <pic:cNvPicPr>
                      <a:picLocks noChangeAspect="1" noChangeArrowheads="1"/>
                    </pic:cNvPicPr>
                  </pic:nvPicPr>
                  <pic:blipFill>
                    <a:blip r:embed="rId26"/>
                    <a:stretch>
                      <a:fillRect/>
                    </a:stretch>
                  </pic:blipFill>
                  <pic:spPr bwMode="auto">
                    <a:xfrm>
                      <a:off x="0" y="0"/>
                      <a:ext cx="731520" cy="853135"/>
                    </a:xfrm>
                    <a:prstGeom prst="rect">
                      <a:avLst/>
                    </a:prstGeom>
                    <a:noFill/>
                    <a:ln w="9525">
                      <a:noFill/>
                      <a:headEnd/>
                      <a:tailEnd/>
                    </a:ln>
                  </pic:spPr>
                </pic:pic>
              </a:graphicData>
            </a:graphic>
          </wp:inline>
        </w:drawing>
      </w:r>
      <w:r>
        <w:t xml:space="preserve"> </w:t>
      </w:r>
      <w:r>
        <w:rPr>
          <w:i/>
          <w:iCs/>
        </w:rPr>
        <w:t>Admitted 1858 · Grant: sections 16 and 36 (~2.5 million surface acres retained, plus ~1 million mineral acres) · Permanent School Fund ≈ $2.1–2.3 billion [as of 2024–25] · Trustee: the DNR, overseen by a statutory School Trust Lands Director and a legislative permanent-school-fund oversight board · Verdict: Kept faith (with one federal lock-up it cannot open).</w:t>
      </w:r>
    </w:p>
    <w:p w14:paraId="0C8A7925" w14:textId="77777777" w:rsidR="00DC02F5" w:rsidRDefault="00000000">
      <w:pPr>
        <w:pStyle w:val="BodyText"/>
      </w:pPr>
      <w:r>
        <w:rPr>
          <w:b/>
          <w:bCs/>
        </w:rPr>
        <w:t>Telling fact:</w:t>
      </w:r>
      <w:r>
        <w:t xml:space="preserve"> The “doubled grant” everyone credits to Oregon was actually written into Minnesota’s 1857 Enabling Act first — Oregon copied Minnesota’s language two years later, nearly word for word.</w:t>
      </w:r>
    </w:p>
    <w:p w14:paraId="37564680" w14:textId="77777777" w:rsidR="00DC02F5" w:rsidRDefault="00000000">
      <w:pPr>
        <w:pStyle w:val="BodyText"/>
      </w:pPr>
      <w:r>
        <w:t xml:space="preserve">Minnesota holds the largest pre-Civil-War school-trust land base still in state hands, and it owes the bulk of that fortune to one stubborn state auditor. In the 1880s, William Wallace Braden noticed that the prices bidders were offering for trust land in the Arrowhead were suspiciously low. He guessed — correctly — that the bidders were not farmers but iron speculators. Braden suspended the sales and, in 1889, won a law letting the state sell surface rights while keeping the </w:t>
      </w:r>
      <w:r>
        <w:rPr>
          <w:i/>
          <w:iCs/>
        </w:rPr>
        <w:t>mineral</w:t>
      </w:r>
      <w:r>
        <w:t xml:space="preserve"> estate in trust. The Mesabi Range iron ore was discovered the next year. Because of Braden, the children’s trust, not the speculators, collected the royalties. It is one of the cleanest examples in the fifty-state record of a single official’s foresight paying the beneficiaries a century later.</w:t>
      </w:r>
    </w:p>
    <w:p w14:paraId="03DB6FF9" w14:textId="77777777" w:rsidR="00DC02F5" w:rsidRDefault="00000000">
      <w:pPr>
        <w:pStyle w:val="BodyText"/>
      </w:pPr>
      <w:r>
        <w:t xml:space="preserve">The modern story is institutional. Minnesota’s DNR manages school trust land alongside parks and forests, and those missions pull in opposite directions — conservation wants the land left standing, the trust wants revenue. After the Legislative Auditor documented decades of quiet revenue drift, Rep. Denise Dittrich — who had </w:t>
      </w:r>
      <w:r>
        <w:lastRenderedPageBreak/>
        <w:t>discovered the fund on a 2007 field trip up north and modeled her fix on Utah — sponsored the 2012 law creating the Office of School Trust Lands and a School Trust Lands Director charged with pushing back on the DNR. It is the closest American parallel to Utah’s trust-advocacy office.</w:t>
      </w:r>
    </w:p>
    <w:p w14:paraId="14636446" w14:textId="77777777" w:rsidR="00DC02F5" w:rsidRDefault="00000000">
      <w:pPr>
        <w:pStyle w:val="BodyText"/>
      </w:pPr>
      <w:r>
        <w:t>The unfinished business is the Boundary Waters. About 86,000 acres of school trust land sit locked inside the federally protected Boundary Waters Canoe Area Wilderness, where logging and mining have been barred for nearly half a century. For decades the state tried to swap the land; in 2024 it switched to a “friendly” condemnation sale to the Forest Service, expected to deposit tens of millions into the fund; the exact valuation remains to be pinned — a century-and-a-half-late conversion of locked land into cash.</w:t>
      </w:r>
    </w:p>
    <w:p w14:paraId="440A897A" w14:textId="77777777" w:rsidR="00DC02F5" w:rsidRDefault="00000000">
      <w:pPr>
        <w:pStyle w:val="BodyText"/>
      </w:pPr>
      <w:r>
        <w:t xml:space="preserve">The fund pays out only “net interest and dividends,” which holds distributions near 2.5 percent. A constitutional amendment carried by Sen. Mary Kunesh (HF 3900) to shift to a 4.5-percent total-return model is now </w:t>
      </w:r>
      <w:r>
        <w:rPr>
          <w:b/>
          <w:bCs/>
        </w:rPr>
        <w:t>approved for the November 2026 ballot</w:t>
      </w:r>
      <w:r>
        <w:t>; if it passes it would roughly double near-term distributions.</w:t>
      </w:r>
    </w:p>
    <w:p w14:paraId="6348E210" w14:textId="77777777" w:rsidR="00DC02F5" w:rsidRDefault="00000000">
      <w:pPr>
        <w:pStyle w:val="BodyText"/>
      </w:pPr>
      <w:r>
        <w:rPr>
          <w:b/>
          <w:bCs/>
        </w:rPr>
        <w:t>Then→now:</w:t>
      </w:r>
      <w:r>
        <w:t xml:space="preserve"> A speculator’s iron grab averted in 1889 → iron royalties that built most of a roughly $2.3 billion fund as of 2025.</w:t>
      </w:r>
    </w:p>
    <w:p w14:paraId="7E156A5B" w14:textId="77777777" w:rsidR="00DC02F5" w:rsidRDefault="00000000">
      <w:pPr>
        <w:pStyle w:val="BodyText"/>
      </w:pPr>
      <w:r>
        <w:rPr>
          <w:b/>
          <w:bCs/>
        </w:rPr>
        <w:t>Lesson:</w:t>
      </w:r>
      <w:r>
        <w:t xml:space="preserve"> A single guarding official can change a trust’s fortunes for a century — and a state can build serious fiduciary machinery and still be unable to free assets a federal regime has locked. (See Ch. 5, “Kept &amp; Rebuilt.”) </w:t>
      </w:r>
      <w:r>
        <w:rPr>
          <w:i/>
          <w:iCs/>
        </w:rPr>
        <w:t>Sources/notes:</w:t>
      </w:r>
      <w:r>
        <w:t xml:space="preserve"> Act of Feb. 26, 1857, ch. 60, § 5, 11 Stat. 166; Minn. Const. art. XI § 8; Minn. Stat. § 127A.353; MN House Session Daily (Dittrich); Ballotpedia / CBS Minnesota (Kunesh, HF 3900, Nov. 2026 ballot); MN Office of School Trust Lands (BWCAW, fund value).</w:t>
      </w:r>
    </w:p>
    <w:p w14:paraId="169E3081" w14:textId="77777777" w:rsidR="00DC02F5" w:rsidRDefault="00000000">
      <w:r>
        <w:pict w14:anchorId="580F5D66">
          <v:rect id="_x0000_i1040" style="width:0;height:1.5pt" o:hralign="center" o:hrstd="t" o:hr="t"/>
        </w:pict>
      </w:r>
    </w:p>
    <w:p w14:paraId="4DB779B0" w14:textId="77777777" w:rsidR="00DC02F5" w:rsidRDefault="00000000">
      <w:r>
        <w:lastRenderedPageBreak/>
        <w:br w:type="page"/>
      </w:r>
    </w:p>
    <w:p w14:paraId="12C430F4" w14:textId="77777777" w:rsidR="00DC02F5" w:rsidRDefault="00000000">
      <w:pPr>
        <w:pStyle w:val="Heading2"/>
      </w:pPr>
      <w:bookmarkStart w:id="100" w:name="mississippi-the-trust-leased-for-7.50"/>
      <w:bookmarkStart w:id="101" w:name="_Toc231774247"/>
      <w:bookmarkEnd w:id="98"/>
      <w:r>
        <w:lastRenderedPageBreak/>
        <w:t>Mississippi — The Trust Leased for $7.50</w:t>
      </w:r>
      <w:bookmarkEnd w:id="101"/>
    </w:p>
    <w:p w14:paraId="0B96B638" w14:textId="77777777" w:rsidR="00DC02F5" w:rsidRDefault="00000000">
      <w:r>
        <w:rPr>
          <w:noProof/>
        </w:rPr>
        <w:drawing>
          <wp:inline distT="0" distB="0" distL="0" distR="0" wp14:anchorId="607EF422" wp14:editId="0168B3A4">
            <wp:extent cx="731520" cy="853135"/>
            <wp:effectExtent l="0" t="0" r="0" b="0"/>
            <wp:docPr id="123" name="Picture" descr="QRFLOAT"/>
            <wp:cNvGraphicFramePr/>
            <a:graphic xmlns:a="http://schemas.openxmlformats.org/drawingml/2006/main">
              <a:graphicData uri="http://schemas.openxmlformats.org/drawingml/2006/picture">
                <pic:pic xmlns:pic="http://schemas.openxmlformats.org/drawingml/2006/picture">
                  <pic:nvPicPr>
                    <pic:cNvPr id="124" name="Picture" descr="C:/Users/drdav/My%20Drive/Claude%20Cowork/_tools/_web_cache/qr_us-ms_cf68bcedb4be_1200x_q90.jpg"/>
                    <pic:cNvPicPr>
                      <a:picLocks noChangeAspect="1" noChangeArrowheads="1"/>
                    </pic:cNvPicPr>
                  </pic:nvPicPr>
                  <pic:blipFill>
                    <a:blip r:embed="rId27"/>
                    <a:stretch>
                      <a:fillRect/>
                    </a:stretch>
                  </pic:blipFill>
                  <pic:spPr bwMode="auto">
                    <a:xfrm>
                      <a:off x="0" y="0"/>
                      <a:ext cx="731520" cy="853135"/>
                    </a:xfrm>
                    <a:prstGeom prst="rect">
                      <a:avLst/>
                    </a:prstGeom>
                    <a:noFill/>
                    <a:ln w="9525">
                      <a:noFill/>
                      <a:headEnd/>
                      <a:tailEnd/>
                    </a:ln>
                  </pic:spPr>
                </pic:pic>
              </a:graphicData>
            </a:graphic>
          </wp:inline>
        </w:drawing>
      </w:r>
      <w:r>
        <w:t xml:space="preserve"> </w:t>
      </w:r>
      <w:r>
        <w:rPr>
          <w:i/>
          <w:iCs/>
        </w:rPr>
        <w:t>Admitted 1817 - Grant: Section 16 only - Trust today: 640,000+ acres held, no single corpus – a federation of 100-odd district funds [as of 2026] - Trustee: each school district, with the Secretary of State as supervisory trustee - Verdict: Broke the trust, then slowly rebuilt it.</w:t>
      </w:r>
    </w:p>
    <w:p w14:paraId="2FD930F3" w14:textId="77777777" w:rsidR="00DC02F5" w:rsidRDefault="00000000">
      <w:pPr>
        <w:pStyle w:val="BodyText"/>
      </w:pPr>
      <w:r>
        <w:rPr>
          <w:b/>
          <w:bCs/>
        </w:rPr>
        <w:t>Telling fact:</w:t>
      </w:r>
      <w:r>
        <w:t xml:space="preserve"> In Forest, Mississippi, a downtown sixteenth-section lot the schools owned was leased for ninety-nine years in exchange for a single payment of $7.50.</w:t>
      </w:r>
    </w:p>
    <w:p w14:paraId="3A37B35E" w14:textId="77777777" w:rsidR="00DC02F5" w:rsidRDefault="00000000">
      <w:pPr>
        <w:pStyle w:val="BodyText"/>
      </w:pPr>
      <w:r>
        <w:t xml:space="preserve">Mississippi keeps its school land — the 1890 Constitution flatly forbids selling it — but for most of a century it leased that land away for almost nothing. Because each district administered the sixteenth sections inside its own boundaries, with weak audit and weaker statewide discipline, the result was not one big theft but thousands of small ones: timber sold for $500 and resold the next week for $4,000; 320 acres rented for $170 a year when the fair value was $4,000; and the lot in Forest leased for ninety-nine years for $7.50, the case the state Supreme Court finally voided in </w:t>
      </w:r>
      <w:r>
        <w:rPr>
          <w:i/>
          <w:iCs/>
        </w:rPr>
        <w:t>Hill v. Thompson</w:t>
      </w:r>
      <w:r>
        <w:t xml:space="preserve"> (1989). The 1890 Constitution’s strongest protection — the no-sale rule — was outflanked by a 1944 amendment letting the state grant ninety-nine-year leases for a one-time lump sum, a sale in everything but name.</w:t>
      </w:r>
    </w:p>
    <w:p w14:paraId="05E8F5DE" w14:textId="77777777" w:rsidR="00DC02F5" w:rsidRDefault="00000000">
      <w:pPr>
        <w:pStyle w:val="BodyText"/>
      </w:pPr>
      <w:r>
        <w:t xml:space="preserve">The </w:t>
      </w:r>
      <w:r>
        <w:rPr>
          <w:i/>
          <w:iCs/>
        </w:rPr>
        <w:t>Hill</w:t>
      </w:r>
      <w:r>
        <w:t xml:space="preserve"> dissent is worth keeping, because it records that the giveaway was sometimes a publicly defended policy: in a depressed town, the dissenters argued, cheap rents on school land were economic development. The courts disagreed. From </w:t>
      </w:r>
      <w:r>
        <w:rPr>
          <w:i/>
          <w:iCs/>
        </w:rPr>
        <w:t>State ex rel. Kyle v. Dear</w:t>
      </w:r>
      <w:r>
        <w:t xml:space="preserve"> (1950) through </w:t>
      </w:r>
      <w:r>
        <w:rPr>
          <w:i/>
          <w:iCs/>
        </w:rPr>
        <w:t>Dew</w:t>
      </w:r>
      <w:r>
        <w:t xml:space="preserve"> (2025), the Mississippi Supreme Court built one of the strongest state-court trust records in the country — voiding </w:t>
      </w:r>
      <w:r>
        <w:lastRenderedPageBreak/>
        <w:t>nominal-rent leases as unconstitutional donations and refusing to let procedural defenses insulate them.</w:t>
      </w:r>
    </w:p>
    <w:p w14:paraId="552CFB85" w14:textId="77777777" w:rsidR="00DC02F5" w:rsidRDefault="00000000">
      <w:pPr>
        <w:pStyle w:val="BodyText"/>
      </w:pPr>
      <w:r>
        <w:t>The reform finally arrived in a person. When Dick Molpus became Secretary of State in 1984, the office came with an old duty most of his predecessors had treated as paperwork: he was trustee of the school lands. Molpus decided to act like one. He forced roughly 5,000 below-market leases renegotiated to fair value, sending more than $24 million a year back to the schools. The connected did not take it quietly — one lessee sued him twice, lost both times, pitched a tent outside his office for twenty-three days, and then ran against him in the next primary. Molpus won, and the money kept flowing.</w:t>
      </w:r>
    </w:p>
    <w:p w14:paraId="39BA0E29" w14:textId="77777777" w:rsidR="00DC02F5" w:rsidRDefault="00000000">
      <w:pPr>
        <w:pStyle w:val="BodyText"/>
      </w:pPr>
      <w:r>
        <w:rPr>
          <w:b/>
          <w:bCs/>
        </w:rPr>
        <w:t>Then→now:</w:t>
      </w:r>
      <w:r>
        <w:t xml:space="preserve"> A few million dollars a year to schools before reform → tens of millions a year by the mid-2010s; the exact 2014 figure remains to be pinned, after the leases were rewritten.</w:t>
      </w:r>
    </w:p>
    <w:p w14:paraId="31BE0380" w14:textId="77777777" w:rsidR="00DC02F5" w:rsidRDefault="00000000">
      <w:pPr>
        <w:pStyle w:val="BodyText"/>
      </w:pPr>
      <w:r>
        <w:rPr>
          <w:b/>
          <w:bCs/>
        </w:rPr>
        <w:t>Lesson:</w:t>
      </w:r>
      <w:r>
        <w:t xml:space="preserve"> Decentralized trusteeship without audit invites a thousand quiet giveaways — but a trustee who decides to act like one can recover a fortune the courts alone could not. (See Ch. 4, “A trust, leased for $7.50,” and Ch. 5, “Molpus and the torn-up leases.”) </w:t>
      </w:r>
      <w:r>
        <w:rPr>
          <w:i/>
          <w:iCs/>
        </w:rPr>
        <w:t>Sources/notes:</w:t>
      </w:r>
      <w:r>
        <w:t xml:space="preserve"> </w:t>
      </w:r>
      <w:r>
        <w:rPr>
          <w:i/>
          <w:iCs/>
        </w:rPr>
        <w:t>Hill v. Thompson</w:t>
      </w:r>
      <w:r>
        <w:t xml:space="preserve">, 564 So. 2d 1 (Miss. 1989); </w:t>
      </w:r>
      <w:r>
        <w:rPr>
          <w:i/>
          <w:iCs/>
        </w:rPr>
        <w:t>Keys v. Carter</w:t>
      </w:r>
      <w:r>
        <w:t xml:space="preserve">, 318 So. 2d 862 (1975); </w:t>
      </w:r>
      <w:r>
        <w:rPr>
          <w:i/>
          <w:iCs/>
        </w:rPr>
        <w:t>State ex rel. Kyle v. Dear</w:t>
      </w:r>
      <w:r>
        <w:t xml:space="preserve">, 46 So. 2d 100 (1950); Miss. Const. art. 8 §§ 201, 211; Miss. Sec. of State, Sixteenth Section Lands; On the Molpus reform (about 5,000 leases renegotiated; more than $24 million a year to schools): </w:t>
      </w:r>
      <w:r>
        <w:rPr>
          <w:i/>
          <w:iCs/>
        </w:rPr>
        <w:t>Mississippi Encyclopedia</w:t>
      </w:r>
      <w:r>
        <w:t>, “Sixteenth Section Lands”; the specific figures remain to be pinned to Mississippi Secretary of State sixteenth-section reports.</w:t>
      </w:r>
    </w:p>
    <w:p w14:paraId="61991FB6" w14:textId="77777777" w:rsidR="00DC02F5" w:rsidRDefault="00000000">
      <w:r>
        <w:pict w14:anchorId="28C054A6">
          <v:rect id="_x0000_i1041" style="width:0;height:1.5pt" o:hralign="center" o:hrstd="t" o:hr="t"/>
        </w:pict>
      </w:r>
    </w:p>
    <w:p w14:paraId="4A627DA1" w14:textId="77777777" w:rsidR="00DC02F5" w:rsidRDefault="00000000">
      <w:r>
        <w:br w:type="page"/>
      </w:r>
    </w:p>
    <w:p w14:paraId="3F7A74A3" w14:textId="77777777" w:rsidR="00DC02F5" w:rsidRDefault="00000000">
      <w:pPr>
        <w:pStyle w:val="Heading2"/>
      </w:pPr>
      <w:bookmarkStart w:id="102" w:name="X62901b0ffd0a892a719f2e0dd2d7769cfc7ffba"/>
      <w:bookmarkStart w:id="103" w:name="_Toc231774248"/>
      <w:bookmarkEnd w:id="100"/>
      <w:r>
        <w:lastRenderedPageBreak/>
        <w:t>Missouri — The Endowment Spent Before the Doctrine Arrived</w:t>
      </w:r>
      <w:bookmarkEnd w:id="103"/>
    </w:p>
    <w:p w14:paraId="57D96150" w14:textId="77777777" w:rsidR="00DC02F5" w:rsidRDefault="00000000">
      <w:r>
        <w:rPr>
          <w:noProof/>
        </w:rPr>
        <w:drawing>
          <wp:inline distT="0" distB="0" distL="0" distR="0" wp14:anchorId="757C3560" wp14:editId="39189DBF">
            <wp:extent cx="731520" cy="853135"/>
            <wp:effectExtent l="0" t="0" r="0" b="0"/>
            <wp:docPr id="127" name="Picture" descr="QRFLOAT"/>
            <wp:cNvGraphicFramePr/>
            <a:graphic xmlns:a="http://schemas.openxmlformats.org/drawingml/2006/main">
              <a:graphicData uri="http://schemas.openxmlformats.org/drawingml/2006/picture">
                <pic:pic xmlns:pic="http://schemas.openxmlformats.org/drawingml/2006/picture">
                  <pic:nvPicPr>
                    <pic:cNvPr id="128" name="Picture" descr="C:/Users/drdav/My%20Drive/Claude%20Cowork/_tools/_web_cache/qr_us-mo_dc49ffc0a3de_1200x_q90.jpg"/>
                    <pic:cNvPicPr>
                      <a:picLocks noChangeAspect="1" noChangeArrowheads="1"/>
                    </pic:cNvPicPr>
                  </pic:nvPicPr>
                  <pic:blipFill>
                    <a:blip r:embed="rId28"/>
                    <a:stretch>
                      <a:fillRect/>
                    </a:stretch>
                  </pic:blipFill>
                  <pic:spPr bwMode="auto">
                    <a:xfrm>
                      <a:off x="0" y="0"/>
                      <a:ext cx="731520" cy="853135"/>
                    </a:xfrm>
                    <a:prstGeom prst="rect">
                      <a:avLst/>
                    </a:prstGeom>
                    <a:noFill/>
                    <a:ln w="9525">
                      <a:noFill/>
                      <a:headEnd/>
                      <a:tailEnd/>
                    </a:ln>
                  </pic:spPr>
                </pic:pic>
              </a:graphicData>
            </a:graphic>
          </wp:inline>
        </w:drawing>
      </w:r>
      <w:r>
        <w:t xml:space="preserve"> </w:t>
      </w:r>
      <w:r>
        <w:rPr>
          <w:i/>
          <w:iCs/>
        </w:rPr>
        <w:t>Admitted 1821 - Grant: Section 16 only - Public School Fund corpus today: modest by Western standards; dated corpus figure not stated here - Trustee: State Treasurer (custodian) + county school funds - Verdict: Broke the trust early.</w:t>
      </w:r>
    </w:p>
    <w:p w14:paraId="49771A92" w14:textId="77777777" w:rsidR="00DC02F5" w:rsidRDefault="00000000">
      <w:pPr>
        <w:pStyle w:val="BodyText"/>
      </w:pPr>
      <w:r>
        <w:rPr>
          <w:b/>
          <w:bCs/>
        </w:rPr>
        <w:t>Telling fact:</w:t>
      </w:r>
      <w:r>
        <w:t xml:space="preserve"> Congress wrote Missouri’s school sections for “the inhabitants of such township” — locating the asset at the township level a full generation before any fiduciary doctrine existed to discipline what local administrators did with it.</w:t>
      </w:r>
    </w:p>
    <w:p w14:paraId="79432B14" w14:textId="77777777" w:rsidR="00DC02F5" w:rsidRDefault="00000000">
      <w:pPr>
        <w:pStyle w:val="BodyText"/>
      </w:pPr>
      <w:r>
        <w:t>Missouri was the first Louisiana Purchase state admitted under the section-sixteen framework, and its 1820 grant carried a fatal phrase: the land went to the township inhabitants, not to the state as fiduciary. That single line dispersed more than a million acres across hundreds of local administrators with no statewide spine to coordinate them — and it did so at the precise moment when pressure to sell off the public domain was at its peak. The drift, in Missouri, was structural from the start.</w:t>
      </w:r>
    </w:p>
    <w:p w14:paraId="20D88884" w14:textId="77777777" w:rsidR="00DC02F5" w:rsidRDefault="00000000">
      <w:pPr>
        <w:pStyle w:val="BodyText"/>
      </w:pPr>
      <w:r>
        <w:t xml:space="preserve">The U.S. Supreme Court did supply Missouri-specific doctrine. On the same February 1855 day it decided </w:t>
      </w:r>
      <w:r>
        <w:rPr>
          <w:i/>
          <w:iCs/>
        </w:rPr>
        <w:t>Cooper v. Roberts</w:t>
      </w:r>
      <w:r>
        <w:t xml:space="preserve">, the Court decided </w:t>
      </w:r>
      <w:r>
        <w:rPr>
          <w:i/>
          <w:iCs/>
        </w:rPr>
        <w:t>Ham v. Missouri</w:t>
      </w:r>
      <w:r>
        <w:t>, holding that the 1820 Act and Missouri’s acceptance “amounted not merely to a grant for schools” but to “a congressional mandate… dedicating section 16 to that object.” The trouble was timing: by 1855 Missouri’s school sections had been moving out of public ownership for thirty years. The floor was real, but the corpus was already draining through it.</w:t>
      </w:r>
    </w:p>
    <w:p w14:paraId="2DF9F94F" w14:textId="77777777" w:rsidR="00DC02F5" w:rsidRDefault="00000000">
      <w:pPr>
        <w:pStyle w:val="BodyText"/>
      </w:pPr>
      <w:r>
        <w:lastRenderedPageBreak/>
        <w:t xml:space="preserve">The law caught up in 1945. Article IX of the new constitution established a Public School Fund (§ 3a), walled it off from any non-school use (§ 5), and ordered the scattered township capital funds liquidated and merged into single county school funds (§ 7). </w:t>
      </w:r>
      <w:r>
        <w:rPr>
          <w:i/>
          <w:iCs/>
        </w:rPr>
        <w:t>State ex rel. School District of Fulton v. Davis</w:t>
      </w:r>
      <w:r>
        <w:t xml:space="preserve"> (1951) worked out the merger in Callaway County, tracking a six-figure pool of combined county and township funds; the exact dollar figure remains to be pinned. But the cleanup could only preserve what survived. Much of the original estate was long gone, sold at suppressed nineteenth-century prices.</w:t>
      </w:r>
    </w:p>
    <w:p w14:paraId="69DE1EDE" w14:textId="77777777" w:rsidR="00DC02F5" w:rsidRDefault="00000000">
      <w:pPr>
        <w:pStyle w:val="BodyText"/>
      </w:pPr>
      <w:r>
        <w:t xml:space="preserve">Missouri’s live recovery story is not about land at all — it is about the constitutional rule that fines, penalties, and forfeitures go to schools. In </w:t>
      </w:r>
      <w:r>
        <w:rPr>
          <w:i/>
          <w:iCs/>
        </w:rPr>
        <w:t>Reorganized School District No. 7 v. Douthit</w:t>
      </w:r>
      <w:r>
        <w:t xml:space="preserve"> (1990) the court redirected more than $1 million in drug-forfeiture proceeds from law enforcement to schools; </w:t>
      </w:r>
      <w:r>
        <w:rPr>
          <w:i/>
          <w:iCs/>
        </w:rPr>
        <w:t>Missouri Gaming Commission</w:t>
      </w:r>
      <w:r>
        <w:t xml:space="preserve"> (1997) extended the rule to administrative penalties. And in </w:t>
      </w:r>
      <w:r>
        <w:rPr>
          <w:i/>
          <w:iCs/>
        </w:rPr>
        <w:t>Committee for Educational Equality</w:t>
      </w:r>
      <w:r>
        <w:t xml:space="preserve"> (2009) the court held Article IX imposes no judicially enforceable adequacy floor — so the forfeiture line carries more practical weight than any general funding claim.</w:t>
      </w:r>
    </w:p>
    <w:p w14:paraId="09531C51" w14:textId="77777777" w:rsidR="00DC02F5" w:rsidRDefault="00000000">
      <w:pPr>
        <w:pStyle w:val="BodyText"/>
      </w:pPr>
      <w:r>
        <w:rPr>
          <w:b/>
          <w:bCs/>
        </w:rPr>
        <w:t>Then→now:</w:t>
      </w:r>
      <w:r>
        <w:t xml:space="preserve"> A large township endowment → effectively no state-held trust land, with K-12 run on the general-revenue Foundation Formula.</w:t>
      </w:r>
    </w:p>
    <w:p w14:paraId="547217F5" w14:textId="77777777" w:rsidR="00DC02F5" w:rsidRDefault="00000000">
      <w:pPr>
        <w:pStyle w:val="BodyText"/>
      </w:pPr>
      <w:r>
        <w:rPr>
          <w:b/>
          <w:bCs/>
        </w:rPr>
        <w:t>Lesson:</w:t>
      </w:r>
      <w:r>
        <w:t xml:space="preserve"> A trust written for “the inhabitants of the township” rather than the state has no fiduciary spine — and a corpus can be spent before the doctrine that would have protected it ever arrives. (See Ch. 2, “Trust Without the Land,” and Ch. 4.) </w:t>
      </w:r>
      <w:r>
        <w:rPr>
          <w:i/>
          <w:iCs/>
        </w:rPr>
        <w:t>Sources/notes:</w:t>
      </w:r>
      <w:r>
        <w:t xml:space="preserve"> Missouri Enabling Act, Act of Mar. 6, 1820, § 6, 3 Stat. 545; </w:t>
      </w:r>
      <w:r>
        <w:rPr>
          <w:i/>
          <w:iCs/>
        </w:rPr>
        <w:t>Ham v. Missouri</w:t>
      </w:r>
      <w:r>
        <w:t xml:space="preserve">, 59 U.S. 126 (1855); Mo. Const. art. IX §§ 3(a), 5, 7; </w:t>
      </w:r>
      <w:r>
        <w:rPr>
          <w:i/>
          <w:iCs/>
        </w:rPr>
        <w:t>State ex rel. Sch. Dist. of Fulton v. Davis</w:t>
      </w:r>
      <w:r>
        <w:t xml:space="preserve">, 236 S.W.2d 301 (1951); </w:t>
      </w:r>
      <w:r>
        <w:rPr>
          <w:i/>
          <w:iCs/>
        </w:rPr>
        <w:t>Reorganized Sch. Dist. No. 7 v. Douthit</w:t>
      </w:r>
      <w:r>
        <w:t xml:space="preserve">, 799 S.W.2d 591 (1990); </w:t>
      </w:r>
      <w:r>
        <w:rPr>
          <w:i/>
          <w:iCs/>
        </w:rPr>
        <w:t>Comm. for Educ. Equality v. State</w:t>
      </w:r>
      <w:r>
        <w:t>, 294 S.W.3d 477 (2009).</w:t>
      </w:r>
    </w:p>
    <w:p w14:paraId="380DE540" w14:textId="77777777" w:rsidR="00DC02F5" w:rsidRDefault="00000000">
      <w:r>
        <w:pict w14:anchorId="00687FFB">
          <v:rect id="_x0000_i1042" style="width:0;height:1.5pt" o:hralign="center" o:hrstd="t" o:hr="t"/>
        </w:pict>
      </w:r>
    </w:p>
    <w:p w14:paraId="08209A86" w14:textId="77777777" w:rsidR="00DC02F5" w:rsidRDefault="00000000">
      <w:r>
        <w:lastRenderedPageBreak/>
        <w:br w:type="page"/>
      </w:r>
    </w:p>
    <w:p w14:paraId="65D4CB16" w14:textId="77777777" w:rsidR="00DC02F5" w:rsidRDefault="00000000">
      <w:pPr>
        <w:pStyle w:val="Heading2"/>
      </w:pPr>
      <w:bookmarkStart w:id="104" w:name="Xc6b33afe690ee8db417a55617b2908fd8ed6d25"/>
      <w:bookmarkStart w:id="105" w:name="_Toc231774249"/>
      <w:bookmarkEnd w:id="102"/>
      <w:r>
        <w:lastRenderedPageBreak/>
        <w:t>Montana — The State House That Gave the Trust a Voice</w:t>
      </w:r>
      <w:bookmarkEnd w:id="105"/>
    </w:p>
    <w:p w14:paraId="2F8004FA" w14:textId="77777777" w:rsidR="00DC02F5" w:rsidRDefault="00000000">
      <w:r>
        <w:rPr>
          <w:noProof/>
        </w:rPr>
        <w:drawing>
          <wp:inline distT="0" distB="0" distL="0" distR="0" wp14:anchorId="4402809F" wp14:editId="2F0D35B2">
            <wp:extent cx="731520" cy="853135"/>
            <wp:effectExtent l="0" t="0" r="0" b="0"/>
            <wp:docPr id="131" name="Picture" descr="QRFLOAT"/>
            <wp:cNvGraphicFramePr/>
            <a:graphic xmlns:a="http://schemas.openxmlformats.org/drawingml/2006/main">
              <a:graphicData uri="http://schemas.openxmlformats.org/drawingml/2006/picture">
                <pic:pic xmlns:pic="http://schemas.openxmlformats.org/drawingml/2006/picture">
                  <pic:nvPicPr>
                    <pic:cNvPr id="132" name="Picture" descr="C:/Users/drdav/My%20Drive/Claude%20Cowork/_tools/_web_cache/qr_us-mt_9f972ce6d2a2_1200x_q90.jpg"/>
                    <pic:cNvPicPr>
                      <a:picLocks noChangeAspect="1" noChangeArrowheads="1"/>
                    </pic:cNvPicPr>
                  </pic:nvPicPr>
                  <pic:blipFill>
                    <a:blip r:embed="rId29"/>
                    <a:stretch>
                      <a:fillRect/>
                    </a:stretch>
                  </pic:blipFill>
                  <pic:spPr bwMode="auto">
                    <a:xfrm>
                      <a:off x="0" y="0"/>
                      <a:ext cx="731520" cy="853135"/>
                    </a:xfrm>
                    <a:prstGeom prst="rect">
                      <a:avLst/>
                    </a:prstGeom>
                    <a:noFill/>
                    <a:ln w="9525">
                      <a:noFill/>
                      <a:headEnd/>
                      <a:tailEnd/>
                    </a:ln>
                  </pic:spPr>
                </pic:pic>
              </a:graphicData>
            </a:graphic>
          </wp:inline>
        </w:drawing>
      </w:r>
      <w:r>
        <w:t xml:space="preserve"> </w:t>
      </w:r>
      <w:r>
        <w:rPr>
          <w:i/>
          <w:iCs/>
        </w:rPr>
        <w:t>Admitted 1889 · Grant: sections 16 and 36 (~5.2 million surface acres, ~6.2 million mineral acres) · State trust education revenue ≈ $80.8 million (FY25) [as of FY25]; permanent-fund corpus not stated here · Trustee: five-member Board of Land Commissioners · Verdict: Kept faith.</w:t>
      </w:r>
    </w:p>
    <w:p w14:paraId="5D4BB992" w14:textId="77777777" w:rsidR="00DC02F5" w:rsidRDefault="00000000">
      <w:pPr>
        <w:pStyle w:val="BodyText"/>
      </w:pPr>
      <w:r>
        <w:rPr>
          <w:b/>
          <w:bCs/>
        </w:rPr>
        <w:t>Telling fact:</w:t>
      </w:r>
      <w:r>
        <w:t xml:space="preserve"> Montana’s one unusual move was to seat the Superintendent of Public Instruction — the beneficiary’s own officer — at the trustee table, putting the schoolchildren’s interest permanently in the room where lease and sale decisions get made.</w:t>
      </w:r>
    </w:p>
    <w:p w14:paraId="3D1AEC35" w14:textId="77777777" w:rsidR="00DC02F5" w:rsidRDefault="00000000">
      <w:pPr>
        <w:pStyle w:val="BodyText"/>
      </w:pPr>
      <w:r>
        <w:t>Montana came in under the 1889 Omnibus Enabling Act, the compact text that admitted four states at once. Congress had not yet written the explicit restoration-and-enforcement machinery it would later use for New Mexico and Arizona. The duty still came with the grant; the practical force in Montana came from the state’s own house: two constitutions, an unusual Land Board, and a Supreme Court willing to enforce them.</w:t>
      </w:r>
    </w:p>
    <w:p w14:paraId="4CE482BF" w14:textId="77777777" w:rsidR="00DC02F5" w:rsidRDefault="00000000">
      <w:pPr>
        <w:pStyle w:val="BodyText"/>
      </w:pPr>
      <w:r>
        <w:t>The 1972 Constitution’s Article X carries an inviolate school fund “guaranteed by the state against loss or diversion,” a 95%/5% rule that feeds five percent of annual revenue back into the corpus, and a hard public-sale, full-market-value discipline on any disposition. The Board of Land Commissioners is five ex-officio members — Governor, Attorney General, Secretary of State, Auditor, and, unusually, the Superintendent of Public Instruction. Four are revenue-and-finance officers; the fifth speaks for the beneficiary.</w:t>
      </w:r>
    </w:p>
    <w:p w14:paraId="7578BCE3" w14:textId="77777777" w:rsidR="00DC02F5" w:rsidRDefault="00000000">
      <w:pPr>
        <w:pStyle w:val="BodyText"/>
      </w:pPr>
      <w:r>
        <w:lastRenderedPageBreak/>
        <w:t xml:space="preserve">The courts have treated Article X as a fiduciary instrument, not a bare appropriations clause. From </w:t>
      </w:r>
      <w:r>
        <w:rPr>
          <w:i/>
          <w:iCs/>
        </w:rPr>
        <w:t>State v. Stewart</w:t>
      </w:r>
      <w:r>
        <w:t xml:space="preserve"> (1913), demanding “the largest legitimate advantage” for the beneficiary, the line runs through </w:t>
      </w:r>
      <w:r>
        <w:rPr>
          <w:i/>
          <w:iCs/>
        </w:rPr>
        <w:t>MonTRUST</w:t>
      </w:r>
      <w:r>
        <w:t xml:space="preserve"> (1999) — the suit the trust advocates themselves brought, fought through by attorney Roy Andes, which struck down eleven statutes and reaffirmed that the Legislature cannot legislate around the Board’s full-market-value duty, proof of how one determined attorney in the right place can change a trust’s course — to </w:t>
      </w:r>
      <w:r>
        <w:rPr>
          <w:i/>
          <w:iCs/>
        </w:rPr>
        <w:t>Schutter</w:t>
      </w:r>
      <w:r>
        <w:t xml:space="preserve"> (2024), which protected trust-associated water rights even where the diversion point sat on private land. The one big defeat came from above: in </w:t>
      </w:r>
      <w:r>
        <w:rPr>
          <w:i/>
          <w:iCs/>
        </w:rPr>
        <w:t>PPL Montana</w:t>
      </w:r>
      <w:r>
        <w:t xml:space="preserve"> (2012) the U.S. Supreme Court reversed a $40.96 million riverbed-rent award, a reminder that state trust theories resting on riverbed title must still satisfy federal navigability rules.</w:t>
      </w:r>
    </w:p>
    <w:p w14:paraId="33F3590F" w14:textId="77777777" w:rsidR="00DC02F5" w:rsidRDefault="00000000">
      <w:pPr>
        <w:pStyle w:val="BodyText"/>
      </w:pPr>
      <w:r>
        <w:t>The attorney general’s opinions have done the quiet maintenance. In 1976 the AG ruled the trust must be paid full appraised value before any school land could be designated a natural area; in 1983, responding to an audit that found grazing leases at $2.97 per animal-unit-month against an $8–12 market, the AG declared the Board had an “absolute duty” to charge fair value regardless of the statutory formula.</w:t>
      </w:r>
    </w:p>
    <w:p w14:paraId="19AC7363" w14:textId="77777777" w:rsidR="00DC02F5" w:rsidRDefault="00000000">
      <w:pPr>
        <w:pStyle w:val="BodyText"/>
      </w:pPr>
      <w:r>
        <w:rPr>
          <w:b/>
          <w:bCs/>
        </w:rPr>
        <w:t>Pull-quote:</w:t>
      </w:r>
      <w:r>
        <w:t xml:space="preserve"> </w:t>
      </w:r>
      <w:r>
        <w:rPr>
          <w:i/>
          <w:iCs/>
        </w:rPr>
        <w:t>The Land Board, “as the instrumentality administering the school trust,” must secure “the largest legitimate advantage” to the beneficiary. — State v. Stewart (1913)</w:t>
      </w:r>
    </w:p>
    <w:p w14:paraId="07D355C4" w14:textId="77777777" w:rsidR="00DC02F5" w:rsidRDefault="00000000">
      <w:pPr>
        <w:pStyle w:val="BodyText"/>
      </w:pPr>
      <w:r>
        <w:rPr>
          <w:b/>
          <w:bCs/>
        </w:rPr>
        <w:t>Lesson:</w:t>
      </w:r>
      <w:r>
        <w:t xml:space="preserve"> A trust survives better when a strong state constitution, an enforceable fiduciary standard, and a beneficiary’s officer sit in the same room. (See Ch. 5 and Ch. 6, “Charter the adversary.”) </w:t>
      </w:r>
      <w:r>
        <w:rPr>
          <w:i/>
          <w:iCs/>
        </w:rPr>
        <w:t>Sources/notes:</w:t>
      </w:r>
      <w:r>
        <w:t xml:space="preserve"> </w:t>
      </w:r>
      <w:r>
        <w:rPr>
          <w:i/>
          <w:iCs/>
        </w:rPr>
        <w:t>Schutter v. Bd. of Land Comm’rs</w:t>
      </w:r>
      <w:r>
        <w:t xml:space="preserve">, 2024 MT 88; Omnibus Enabling Act, Act of Feb. 22, 1889, § 10, 25 Stat. 676; Mont. Const. art. X §§ 2, 4, 5, 11; </w:t>
      </w:r>
      <w:r>
        <w:rPr>
          <w:i/>
          <w:iCs/>
        </w:rPr>
        <w:t>State v. Stewart</w:t>
      </w:r>
      <w:r>
        <w:t xml:space="preserve">, 48 Mont. 347 (1913); </w:t>
      </w:r>
      <w:r>
        <w:rPr>
          <w:i/>
          <w:iCs/>
        </w:rPr>
        <w:t>Montanans for the Responsible Use of the School Trust v. State</w:t>
      </w:r>
      <w:r>
        <w:t xml:space="preserve">, 1999 MT 263; </w:t>
      </w:r>
      <w:r>
        <w:rPr>
          <w:i/>
          <w:iCs/>
        </w:rPr>
        <w:t xml:space="preserve">Schutter v. Bd. of </w:t>
      </w:r>
      <w:r>
        <w:rPr>
          <w:i/>
          <w:iCs/>
        </w:rPr>
        <w:lastRenderedPageBreak/>
        <w:t>Land Comm’rs</w:t>
      </w:r>
      <w:r>
        <w:t xml:space="preserve">, 2024 MT 88; </w:t>
      </w:r>
      <w:r>
        <w:rPr>
          <w:i/>
          <w:iCs/>
        </w:rPr>
        <w:t>PPL Montana, LLC v. Montana</w:t>
      </w:r>
      <w:r>
        <w:t>, 565 U.S. 576 (2012); DNRC FY25 Return on Assets Report.</w:t>
      </w:r>
    </w:p>
    <w:p w14:paraId="518DE78A" w14:textId="77777777" w:rsidR="00DC02F5" w:rsidRDefault="00000000">
      <w:r>
        <w:pict w14:anchorId="28D1BF0A">
          <v:rect id="_x0000_i1043" style="width:0;height:1.5pt" o:hralign="center" o:hrstd="t" o:hr="t"/>
        </w:pict>
      </w:r>
    </w:p>
    <w:p w14:paraId="4BF880D5" w14:textId="77777777" w:rsidR="00DC02F5" w:rsidRDefault="00000000">
      <w:r>
        <w:br w:type="page"/>
      </w:r>
    </w:p>
    <w:p w14:paraId="17735435" w14:textId="77777777" w:rsidR="00DC02F5" w:rsidRDefault="00000000">
      <w:pPr>
        <w:pStyle w:val="Heading2"/>
      </w:pPr>
      <w:bookmarkStart w:id="106" w:name="X868a68d06ba98bcc88838ee4b469447829f0532"/>
      <w:bookmarkStart w:id="107" w:name="_Toc231774250"/>
      <w:bookmarkEnd w:id="104"/>
      <w:r>
        <w:lastRenderedPageBreak/>
        <w:t>Nebraska — Strong Pillars, Quiet Enforcement</w:t>
      </w:r>
      <w:bookmarkEnd w:id="107"/>
    </w:p>
    <w:p w14:paraId="3E722D27" w14:textId="77777777" w:rsidR="00DC02F5" w:rsidRDefault="00000000">
      <w:r>
        <w:rPr>
          <w:noProof/>
        </w:rPr>
        <w:drawing>
          <wp:inline distT="0" distB="0" distL="0" distR="0" wp14:anchorId="119AA027" wp14:editId="73FEB083">
            <wp:extent cx="731520" cy="853135"/>
            <wp:effectExtent l="0" t="0" r="0" b="0"/>
            <wp:docPr id="135" name="Picture" descr="QRFLOAT"/>
            <wp:cNvGraphicFramePr/>
            <a:graphic xmlns:a="http://schemas.openxmlformats.org/drawingml/2006/main">
              <a:graphicData uri="http://schemas.openxmlformats.org/drawingml/2006/picture">
                <pic:pic xmlns:pic="http://schemas.openxmlformats.org/drawingml/2006/picture">
                  <pic:nvPicPr>
                    <pic:cNvPr id="136" name="Picture" descr="C:/Users/drdav/My%20Drive/Claude%20Cowork/_tools/_web_cache/qr_us-ne_d14df8ce97f4_1200x_q90.jpg"/>
                    <pic:cNvPicPr>
                      <a:picLocks noChangeAspect="1" noChangeArrowheads="1"/>
                    </pic:cNvPicPr>
                  </pic:nvPicPr>
                  <pic:blipFill>
                    <a:blip r:embed="rId30"/>
                    <a:stretch>
                      <a:fillRect/>
                    </a:stretch>
                  </pic:blipFill>
                  <pic:spPr bwMode="auto">
                    <a:xfrm>
                      <a:off x="0" y="0"/>
                      <a:ext cx="731520" cy="853135"/>
                    </a:xfrm>
                    <a:prstGeom prst="rect">
                      <a:avLst/>
                    </a:prstGeom>
                    <a:noFill/>
                    <a:ln w="9525">
                      <a:noFill/>
                      <a:headEnd/>
                      <a:tailEnd/>
                    </a:ln>
                  </pic:spPr>
                </pic:pic>
              </a:graphicData>
            </a:graphic>
          </wp:inline>
        </w:drawing>
      </w:r>
      <w:r>
        <w:t xml:space="preserve"> </w:t>
      </w:r>
      <w:r>
        <w:rPr>
          <w:i/>
          <w:iCs/>
        </w:rPr>
        <w:t xml:space="preserve">Admitted 1867 · Grant: sections 16 and 36 plus in-lieu (2,797,520.67 acres granted; ~1.25 million still held) [as of FY25] · School Trust portfolio </w:t>
      </w:r>
      <w:r>
        <w:rPr>
          <w:b/>
          <w:bCs/>
          <w:i/>
          <w:iCs/>
        </w:rPr>
        <w:t>$3,047,262,853.42</w:t>
      </w:r>
      <w:r>
        <w:rPr>
          <w:i/>
          <w:iCs/>
        </w:rPr>
        <w:t xml:space="preserve"> [as of June 30, 2025]; Permanent Educational Trust Funds </w:t>
      </w:r>
      <w:r>
        <w:rPr>
          <w:b/>
          <w:bCs/>
          <w:i/>
          <w:iCs/>
        </w:rPr>
        <w:t>$1,156,492,240.95</w:t>
      </w:r>
      <w:r>
        <w:rPr>
          <w:i/>
          <w:iCs/>
        </w:rPr>
        <w:t xml:space="preserve">; FY2025 disbursements </w:t>
      </w:r>
      <w:r>
        <w:rPr>
          <w:b/>
          <w:bCs/>
          <w:i/>
          <w:iCs/>
        </w:rPr>
        <w:t>$129,176,784.79</w:t>
      </w:r>
      <w:r>
        <w:rPr>
          <w:i/>
          <w:iCs/>
        </w:rPr>
        <w:t xml:space="preserve"> · Trustee: Board of Educational Lands &amp; Funds — five gubernatorial appointees · Verdict: Kept faith, enforced episodically.</w:t>
      </w:r>
    </w:p>
    <w:p w14:paraId="3D3AF7FA" w14:textId="77777777" w:rsidR="00DC02F5" w:rsidRDefault="00000000">
      <w:pPr>
        <w:pStyle w:val="BodyText"/>
      </w:pPr>
      <w:r>
        <w:rPr>
          <w:b/>
          <w:bCs/>
        </w:rPr>
        <w:t>Telling fact:</w:t>
      </w:r>
      <w:r>
        <w:t xml:space="preserve"> Nebraska’s 1867 admission carried the only Enabling Act ever vetoed by a U.S. President — Andrew Johnson’s veto, which Congress overrode on February 9, 1867 — and the school trust it contains has stayed intact for some 160 years, its corpus never raided.</w:t>
      </w:r>
    </w:p>
    <w:p w14:paraId="1A47FE40" w14:textId="77777777" w:rsidR="00DC02F5" w:rsidRDefault="00000000">
      <w:pPr>
        <w:pStyle w:val="BodyText"/>
      </w:pPr>
      <w:r>
        <w:t xml:space="preserve">Nebraska built strong constitutional pillars and then leaned on private citizens to defend them. Article VII makes the common-school funds </w:t>
      </w:r>
      <w:r>
        <w:rPr>
          <w:i/>
          <w:iCs/>
        </w:rPr>
        <w:t>separate</w:t>
      </w:r>
      <w:r>
        <w:t xml:space="preserve"> from the general fund, </w:t>
      </w:r>
      <w:r>
        <w:rPr>
          <w:i/>
          <w:iCs/>
        </w:rPr>
        <w:t>irreducible</w:t>
      </w:r>
      <w:r>
        <w:t xml:space="preserve"> in principal (with the state pledged to replace any net loss), and </w:t>
      </w:r>
      <w:r>
        <w:rPr>
          <w:i/>
          <w:iCs/>
        </w:rPr>
        <w:t>exclusively</w:t>
      </w:r>
      <w:r>
        <w:t xml:space="preserve"> for the schools. The state still holds roughly 1.25 million acres of the original 2.8 million and a School Trust portfolio north of $3.0 billion [as of June 30, 2025] — a genuinely retained asset base, stronger than Kansas, which liquidated and now has little to defend.</w:t>
      </w:r>
    </w:p>
    <w:p w14:paraId="56F19B37" w14:textId="77777777" w:rsidR="00DC02F5" w:rsidRDefault="00000000">
      <w:pPr>
        <w:pStyle w:val="BodyText"/>
      </w:pPr>
      <w:r>
        <w:t xml:space="preserve">The trust has teeth when it is invoked. The Ebke cycle of 1947–1954 is the proof. The Legislature had handed existing lessees automatic renewal at below-market rents, locking out competitive bidding and shortchanging the trust. Fred Ebke, suing as a private citizen, knocked the scheme down: in </w:t>
      </w:r>
      <w:r>
        <w:rPr>
          <w:i/>
          <w:iCs/>
        </w:rPr>
        <w:t>State ex rel. Ebke v. Board of Educational Lands and Funds</w:t>
      </w:r>
      <w:r>
        <w:t xml:space="preserve"> (1951) the court held that school lands are constitutional trust property and that a statute conferring special benefits on lessees at the trust’s expense is not merely unwise but unconstitutional. </w:t>
      </w:r>
      <w:r>
        <w:rPr>
          <w:i/>
          <w:iCs/>
        </w:rPr>
        <w:t>Propst</w:t>
      </w:r>
      <w:r>
        <w:t xml:space="preserve"> (1952) </w:t>
      </w:r>
      <w:r>
        <w:lastRenderedPageBreak/>
        <w:t xml:space="preserve">and </w:t>
      </w:r>
      <w:r>
        <w:rPr>
          <w:i/>
          <w:iCs/>
        </w:rPr>
        <w:t>Gillett</w:t>
      </w:r>
      <w:r>
        <w:t xml:space="preserve"> (1954) finished the job, and the trust corpus reportedly gained more than $4 million. The doctrine travels: a statute, however regular its passage, cannot stand if it directs the trustee to act against the trust.</w:t>
      </w:r>
    </w:p>
    <w:p w14:paraId="0DDC6F24" w14:textId="77777777" w:rsidR="00DC02F5" w:rsidRDefault="00000000">
      <w:pPr>
        <w:pStyle w:val="BodyText"/>
      </w:pPr>
      <w:r>
        <w:t xml:space="preserve">The qualifier is </w:t>
      </w:r>
      <w:r>
        <w:rPr>
          <w:i/>
          <w:iCs/>
        </w:rPr>
        <w:t>Belker</w:t>
      </w:r>
      <w:r>
        <w:t xml:space="preserve"> (1970), where a controlling minority upheld statutes </w:t>
      </w:r>
      <w:r>
        <w:rPr>
          <w:i/>
          <w:iCs/>
        </w:rPr>
        <w:t>mandating</w:t>
      </w:r>
      <w:r>
        <w:t xml:space="preserve"> sale at lease expiration, reading Article VII’s “under the direction of the Legislature” to permit it. The dissent had the better fiduciary argument; the mandatory-sale statutes survived. Disposition pressure has not stopped — LB 711 (2022) would have forced sales for economic development — and the AG’s opinion series has consistently defended the corpus against local-capture schemes (notably the 2015 proposal to keep half of school-land revenue in the district that produced it).</w:t>
      </w:r>
    </w:p>
    <w:p w14:paraId="5CA0699B" w14:textId="77777777" w:rsidR="00DC02F5" w:rsidRDefault="00000000">
      <w:pPr>
        <w:pStyle w:val="BodyText"/>
      </w:pPr>
      <w:r>
        <w:t xml:space="preserve">A note on the trustee board, because the composition is easy to get wrong. The original board seated the Attorney General and the Commissioner of Education as ex-officio members. That ended in 1972: the LB 1023 amendment made the Board of Educational Lands &amp; Funds </w:t>
      </w:r>
      <w:r>
        <w:rPr>
          <w:b/>
          <w:bCs/>
        </w:rPr>
        <w:t>five members appointed by the Governor and confirmed by the Legislature</w:t>
      </w:r>
      <w:r>
        <w:t xml:space="preserve"> (four by district, one at-large), serving rotating five-year terms. The AG no longer sits on the board, so the old “the trust’s own lawyer sits on the wrong side of the table” concern is a historical feature, not a present one. What is true today is simpler: Nebraska’s pro-trust doctrine has come mostly from private relators rather than from state-initiated litigation.</w:t>
      </w:r>
    </w:p>
    <w:p w14:paraId="11003BA0" w14:textId="77777777" w:rsidR="00DC02F5" w:rsidRDefault="00000000">
      <w:pPr>
        <w:pStyle w:val="BodyText"/>
      </w:pPr>
      <w:r>
        <w:rPr>
          <w:b/>
          <w:bCs/>
        </w:rPr>
        <w:t>Then→now:</w:t>
      </w:r>
      <w:r>
        <w:t xml:space="preserve"> Below-market sweetheart leases struck down in 1951 → $129 million distributed to schools in FY2025.</w:t>
      </w:r>
    </w:p>
    <w:p w14:paraId="50FC1435" w14:textId="77777777" w:rsidR="00DC02F5" w:rsidRDefault="00000000">
      <w:pPr>
        <w:pStyle w:val="BodyText"/>
      </w:pPr>
      <w:r>
        <w:rPr>
          <w:b/>
          <w:bCs/>
        </w:rPr>
        <w:t>Lesson:</w:t>
      </w:r>
      <w:r>
        <w:t xml:space="preserve"> Strong pillars hold the corpus, but enforcement still depends on someone willing to sue — and in Nebraska that someone has usually been a private citizen, not the state. (See Ch. 5 and Ch. 6.) </w:t>
      </w:r>
      <w:r>
        <w:rPr>
          <w:i/>
          <w:iCs/>
        </w:rPr>
        <w:t>Sources/notes:</w:t>
      </w:r>
      <w:r>
        <w:t xml:space="preserve"> </w:t>
      </w:r>
      <w:r>
        <w:rPr>
          <w:i/>
          <w:iCs/>
        </w:rPr>
        <w:t>State ex rel. Belker v. Bd. of Educ. Lands &amp; Funds</w:t>
      </w:r>
      <w:r>
        <w:t xml:space="preserve">, 185 Neb. </w:t>
      </w:r>
      <w:r>
        <w:lastRenderedPageBreak/>
        <w:t xml:space="preserve">270, 175 N.W.2d 63 (1970); </w:t>
      </w:r>
      <w:r>
        <w:rPr>
          <w:i/>
          <w:iCs/>
        </w:rPr>
        <w:t>Propst v. Bd. of Educ. Lands &amp; Funds</w:t>
      </w:r>
      <w:r>
        <w:t xml:space="preserve">, 156 Neb. 226 (1952); Nebraska Enabling Act, Act of Apr. 19, 1864, 13 Stat. 47; Act of Feb. 9, 1867, 14 Stat. 391 (admission over veto); Neb. Const. art. VII §§ 6–9; LB 1023 (1972 amendment — five gubernatorial appointees); </w:t>
      </w:r>
      <w:r>
        <w:rPr>
          <w:i/>
          <w:iCs/>
        </w:rPr>
        <w:t>State ex rel. Ebke v. BELF</w:t>
      </w:r>
      <w:r>
        <w:t xml:space="preserve"> (1951); </w:t>
      </w:r>
      <w:r>
        <w:rPr>
          <w:i/>
          <w:iCs/>
        </w:rPr>
        <w:t>Propst</w:t>
      </w:r>
      <w:r>
        <w:t xml:space="preserve"> (1952); </w:t>
      </w:r>
      <w:r>
        <w:rPr>
          <w:i/>
          <w:iCs/>
        </w:rPr>
        <w:t>State ex rel. Belker v. BELF</w:t>
      </w:r>
      <w:r>
        <w:t xml:space="preserve"> (1970); BELF 2024–2025 Annual Report (acreage, $129,176,784.79 disbursements, current five-member appointed board).</w:t>
      </w:r>
    </w:p>
    <w:p w14:paraId="71A02019" w14:textId="77777777" w:rsidR="00DC02F5" w:rsidRDefault="00000000">
      <w:r>
        <w:pict w14:anchorId="0CC68236">
          <v:rect id="_x0000_i1044" style="width:0;height:1.5pt" o:hralign="center" o:hrstd="t" o:hr="t"/>
        </w:pict>
      </w:r>
    </w:p>
    <w:p w14:paraId="26FC6009" w14:textId="77777777" w:rsidR="00DC02F5" w:rsidRDefault="00000000">
      <w:r>
        <w:br w:type="page"/>
      </w:r>
    </w:p>
    <w:p w14:paraId="3AFD03F9" w14:textId="77777777" w:rsidR="00DC02F5" w:rsidRDefault="00000000">
      <w:pPr>
        <w:pStyle w:val="Heading2"/>
      </w:pPr>
      <w:bookmarkStart w:id="108" w:name="nevada-the-endowment-it-traded-away"/>
      <w:bookmarkStart w:id="109" w:name="_Toc231774251"/>
      <w:bookmarkEnd w:id="106"/>
      <w:r>
        <w:lastRenderedPageBreak/>
        <w:t>Nevada — The Endowment It Traded Away</w:t>
      </w:r>
      <w:bookmarkEnd w:id="109"/>
    </w:p>
    <w:p w14:paraId="178E44F8" w14:textId="77777777" w:rsidR="00DC02F5" w:rsidRDefault="00000000">
      <w:r>
        <w:rPr>
          <w:noProof/>
        </w:rPr>
        <w:drawing>
          <wp:inline distT="0" distB="0" distL="0" distR="0" wp14:anchorId="367E0565" wp14:editId="1BA1BAE0">
            <wp:extent cx="731520" cy="853135"/>
            <wp:effectExtent l="0" t="0" r="0" b="0"/>
            <wp:docPr id="139" name="Picture" descr="QRFLOAT"/>
            <wp:cNvGraphicFramePr/>
            <a:graphic xmlns:a="http://schemas.openxmlformats.org/drawingml/2006/main">
              <a:graphicData uri="http://schemas.openxmlformats.org/drawingml/2006/picture">
                <pic:pic xmlns:pic="http://schemas.openxmlformats.org/drawingml/2006/picture">
                  <pic:nvPicPr>
                    <pic:cNvPr id="140" name="Picture" descr="C:/Users/drdav/My%20Drive/Claude%20Cowork/_tools/_web_cache/qr_us-nv_a21d596ac9a7_1200x_q90.jpg"/>
                    <pic:cNvPicPr>
                      <a:picLocks noChangeAspect="1" noChangeArrowheads="1"/>
                    </pic:cNvPicPr>
                  </pic:nvPicPr>
                  <pic:blipFill>
                    <a:blip r:embed="rId31"/>
                    <a:stretch>
                      <a:fillRect/>
                    </a:stretch>
                  </pic:blipFill>
                  <pic:spPr bwMode="auto">
                    <a:xfrm>
                      <a:off x="0" y="0"/>
                      <a:ext cx="731520" cy="853135"/>
                    </a:xfrm>
                    <a:prstGeom prst="rect">
                      <a:avLst/>
                    </a:prstGeom>
                    <a:noFill/>
                    <a:ln w="9525">
                      <a:noFill/>
                      <a:headEnd/>
                      <a:tailEnd/>
                    </a:ln>
                  </pic:spPr>
                </pic:pic>
              </a:graphicData>
            </a:graphic>
          </wp:inline>
        </w:drawing>
      </w:r>
      <w:r>
        <w:t xml:space="preserve"> </w:t>
      </w:r>
      <w:r>
        <w:rPr>
          <w:i/>
          <w:iCs/>
        </w:rPr>
        <w:t xml:space="preserve">Admitted 1864 - Grant: sections 16 and 36 (nominal about 3.9 million acres) - School trust land today: about 3,000 acres, yielding under $5,000/yr in recent reporting; broad statutory Permanent School Fund balance </w:t>
      </w:r>
      <w:r>
        <w:rPr>
          <w:b/>
          <w:bCs/>
          <w:i/>
          <w:iCs/>
        </w:rPr>
        <w:t>$531,127,843</w:t>
      </w:r>
      <w:r>
        <w:rPr>
          <w:i/>
          <w:iCs/>
        </w:rPr>
        <w:t xml:space="preserve"> [as of June 30, 2025] (not the same thing as land-trust corpus) - Trustee: Division of State Lands (no constitutional land board) - Verdict: Broke the trust – by trade.</w:t>
      </w:r>
    </w:p>
    <w:p w14:paraId="47F8ABF2" w14:textId="77777777" w:rsidR="00DC02F5" w:rsidRDefault="00000000">
      <w:pPr>
        <w:pStyle w:val="BodyText"/>
      </w:pPr>
      <w:r>
        <w:rPr>
          <w:b/>
          <w:bCs/>
        </w:rPr>
        <w:t>Telling fact:</w:t>
      </w:r>
      <w:r>
        <w:t xml:space="preserve"> The most arid state in the Union got the least usable land of all — and of a nominal four-million-acre endowment almost nothing remains, because Nevada traded the corpus away in a lawful 1880 bargain and then sold the proceeds at a dollar and a half an acre.</w:t>
      </w:r>
    </w:p>
    <w:p w14:paraId="29E93231" w14:textId="77777777" w:rsidR="00DC02F5" w:rsidRDefault="00000000">
      <w:pPr>
        <w:pStyle w:val="BodyText"/>
      </w:pPr>
      <w:r>
        <w:t xml:space="preserve">Nevada is the encyclopedia’s clearest case of an endowment lost early and lost irrevocably — and the loss is unusual because it was no one’s crime. The problem was the land. Nevada’s public domain was largely unsurveyed, mineral, or too marginal to sell to settlers, and the school grant attached to surveyed, non-mineral townships. In </w:t>
      </w:r>
      <w:r>
        <w:rPr>
          <w:i/>
          <w:iCs/>
        </w:rPr>
        <w:t>Heydenfeldt</w:t>
      </w:r>
      <w:r>
        <w:t xml:space="preserve"> (1876) the Supreme Court confirmed the trap: Nevada had no title to occupied mineral sections, only a right to indemnity land elsewhere.</w:t>
      </w:r>
    </w:p>
    <w:p w14:paraId="72373C04" w14:textId="77777777" w:rsidR="00DC02F5" w:rsidRDefault="00000000">
      <w:pPr>
        <w:pStyle w:val="BodyText"/>
      </w:pPr>
      <w:r>
        <w:t xml:space="preserve">So in 1879–1880 Nevada itself asked Congress for a deal: relinquish the scattered, unsellable original sections in exchange for two million acres of selectable, non-mineral land. Congress agreed (Act of June 16, 1880). The mechanics were lawful, visible, and signed by a Republican president — no perjury, no bribed senators, nothing like the Oregon land-fraud trials. But the trade converted a passively held, geographically distributed estate that would have appreciated for a century into a </w:t>
      </w:r>
      <w:r>
        <w:rPr>
          <w:i/>
          <w:iCs/>
        </w:rPr>
        <w:t>marketable</w:t>
      </w:r>
      <w:r>
        <w:t xml:space="preserve"> inventory the State Land Office could liquidate immediately. And it did. By the end of the century nearly all </w:t>
      </w:r>
      <w:r>
        <w:lastRenderedPageBreak/>
        <w:t>two million acres had sold at $1.25 to $2.50 an acre — perhaps $3 million in nineteenth-century dollars — and the land became some of the most valuable in the West, under other people’s names. The phrase that fits is military: a tactical retreat that became a rout.</w:t>
      </w:r>
    </w:p>
    <w:p w14:paraId="4C066AD3" w14:textId="77777777" w:rsidR="00DC02F5" w:rsidRDefault="00000000">
      <w:pPr>
        <w:pStyle w:val="BodyText"/>
      </w:pPr>
      <w:r>
        <w:t xml:space="preserve">A word on the fund figure, because it is easy to overstate. The Nevada State Controller’s FY2025 Permanent School Fund report shows a broad statutory Permanent School Fund balance of </w:t>
      </w:r>
      <w:r>
        <w:rPr>
          <w:b/>
          <w:bCs/>
        </w:rPr>
        <w:t>$531,127,843</w:t>
      </w:r>
      <w:r>
        <w:t xml:space="preserve"> [as of June 30, 2025] (unaudited). That number includes sources beyond the surviving school-land trust. The remaining school trust land is only about 3,000 acres and produces less than $5,000 a year in recent reporting. The honest land-trust number is small – which is exactly the point of the story.</w:t>
      </w:r>
    </w:p>
    <w:p w14:paraId="2D3D06C8" w14:textId="77777777" w:rsidR="00DC02F5" w:rsidRDefault="00000000">
      <w:pPr>
        <w:pStyle w:val="BodyText"/>
      </w:pPr>
      <w:r>
        <w:t>Nevada later tightened its Article 11 fund-protection clauses (1889, 1938, 1954, 2006) and added an “Education First” priority-appropriation rule. The clauses are stronger than ever. The endowment they protect is a fraction of the one Congress granted.</w:t>
      </w:r>
    </w:p>
    <w:p w14:paraId="1939F03D" w14:textId="77777777" w:rsidR="00DC02F5" w:rsidRDefault="00000000">
      <w:pPr>
        <w:pStyle w:val="BodyText"/>
      </w:pPr>
      <w:r>
        <w:rPr>
          <w:b/>
          <w:bCs/>
        </w:rPr>
        <w:t>Then-&gt;now:</w:t>
      </w:r>
      <w:r>
        <w:t xml:space="preserve"> A nominal four-million-acre endowment -&gt; about 3,000 acres, with the broad statutory Permanent School Fund much larger than the surviving land-trust residue.</w:t>
      </w:r>
    </w:p>
    <w:p w14:paraId="5EC215DF" w14:textId="77777777" w:rsidR="00DC02F5" w:rsidRDefault="00000000">
      <w:pPr>
        <w:pStyle w:val="BodyText"/>
      </w:pPr>
      <w:r>
        <w:rPr>
          <w:b/>
          <w:bCs/>
        </w:rPr>
        <w:t>Lesson:</w:t>
      </w:r>
      <w:r>
        <w:t xml:space="preserve"> A trust with no floor under its sale price, and trustees willing to trade the corpus for marketable cash, is a trust that disappears — lawfully, and within a single generation. (See Ch. 4, “Fire-sale liquidation.”) </w:t>
      </w:r>
      <w:r>
        <w:rPr>
          <w:i/>
          <w:iCs/>
        </w:rPr>
        <w:t>Sources/notes:</w:t>
      </w:r>
      <w:r>
        <w:t xml:space="preserve"> Nevada Enabling Act, Act of Mar. 21, 1864, sec. 7, 13 Stat. 30; </w:t>
      </w:r>
      <w:r>
        <w:rPr>
          <w:i/>
          <w:iCs/>
        </w:rPr>
        <w:t>Heydenfeldt v. Daney Gold &amp; Silver Mining Co.</w:t>
      </w:r>
      <w:r>
        <w:t>, 93 U.S. 634 (1876); Act of June 16, 1880, ch. 245, 21 Stat. 287; Nev. Const. art. 11 secs. 2, 3; NV Division of State Lands (about 3,000 acres); LVRJ (sale prices; under $5,000/yr); NV State Controller FY2025 PSF report (broad statutory fund balance $531,127,843; do not treat this as the surviving land-trust corpus).</w:t>
      </w:r>
    </w:p>
    <w:p w14:paraId="56CDF150" w14:textId="77777777" w:rsidR="00DC02F5" w:rsidRDefault="00000000">
      <w:r>
        <w:pict w14:anchorId="268AEC48">
          <v:rect id="_x0000_i1045" style="width:0;height:1.5pt" o:hralign="center" o:hrstd="t" o:hr="t"/>
        </w:pict>
      </w:r>
    </w:p>
    <w:p w14:paraId="35AF7A15" w14:textId="77777777" w:rsidR="00DC02F5" w:rsidRDefault="00000000">
      <w:r>
        <w:lastRenderedPageBreak/>
        <w:br w:type="page"/>
      </w:r>
    </w:p>
    <w:p w14:paraId="27EB4050" w14:textId="77777777" w:rsidR="00DC02F5" w:rsidRDefault="00000000">
      <w:pPr>
        <w:pStyle w:val="Heading2"/>
      </w:pPr>
      <w:bookmarkStart w:id="110" w:name="X8837d14c1ab3cae9ef512272f5136c45a7351ad"/>
      <w:bookmarkStart w:id="111" w:name="_Toc231774252"/>
      <w:bookmarkEnd w:id="108"/>
      <w:r>
        <w:lastRenderedPageBreak/>
        <w:t>New Mexico — The State That Wrote in the Teeth</w:t>
      </w:r>
      <w:bookmarkEnd w:id="111"/>
    </w:p>
    <w:p w14:paraId="070EF7E3" w14:textId="77777777" w:rsidR="00DC02F5" w:rsidRDefault="00000000">
      <w:r>
        <w:rPr>
          <w:noProof/>
        </w:rPr>
        <w:drawing>
          <wp:inline distT="0" distB="0" distL="0" distR="0" wp14:anchorId="3A9755E1" wp14:editId="5AC67CC4">
            <wp:extent cx="731520" cy="853135"/>
            <wp:effectExtent l="0" t="0" r="0" b="0"/>
            <wp:docPr id="143" name="Picture" descr="QRFLOAT"/>
            <wp:cNvGraphicFramePr/>
            <a:graphic xmlns:a="http://schemas.openxmlformats.org/drawingml/2006/main">
              <a:graphicData uri="http://schemas.openxmlformats.org/drawingml/2006/picture">
                <pic:pic xmlns:pic="http://schemas.openxmlformats.org/drawingml/2006/picture">
                  <pic:nvPicPr>
                    <pic:cNvPr id="144" name="Picture" descr="C:/Users/drdav/My%20Drive/Claude%20Cowork/_tools/_web_cache/qr_us-nm_c01eb54e71bd_1200x_q90.jpg"/>
                    <pic:cNvPicPr>
                      <a:picLocks noChangeAspect="1" noChangeArrowheads="1"/>
                    </pic:cNvPicPr>
                  </pic:nvPicPr>
                  <pic:blipFill>
                    <a:blip r:embed="rId32"/>
                    <a:stretch>
                      <a:fillRect/>
                    </a:stretch>
                  </pic:blipFill>
                  <pic:spPr bwMode="auto">
                    <a:xfrm>
                      <a:off x="0" y="0"/>
                      <a:ext cx="731520" cy="853135"/>
                    </a:xfrm>
                    <a:prstGeom prst="rect">
                      <a:avLst/>
                    </a:prstGeom>
                    <a:noFill/>
                    <a:ln w="9525">
                      <a:noFill/>
                      <a:headEnd/>
                      <a:tailEnd/>
                    </a:ln>
                  </pic:spPr>
                </pic:pic>
              </a:graphicData>
            </a:graphic>
          </wp:inline>
        </w:drawing>
      </w:r>
      <w:r>
        <w:t xml:space="preserve"> </w:t>
      </w:r>
      <w:r>
        <w:rPr>
          <w:i/>
          <w:iCs/>
        </w:rPr>
        <w:t>Admitted 1912 · Grant: 4 sections (2, 16, 32, 36) · Land Grant Permanent Fund ≈ $32.97 billion [as of Dec. 31, 2024] · Trustee: elected Commissioner of Public Lands · Verdict: Kept faith.</w:t>
      </w:r>
    </w:p>
    <w:p w14:paraId="64486321" w14:textId="77777777" w:rsidR="00DC02F5" w:rsidRDefault="00000000">
      <w:pPr>
        <w:pStyle w:val="BodyText"/>
      </w:pPr>
      <w:r>
        <w:rPr>
          <w:b/>
          <w:bCs/>
        </w:rPr>
        <w:t>Telling fact:</w:t>
      </w:r>
      <w:r>
        <w:t xml:space="preserve"> New Mexico’s founding deal didn’t just say “for schools” — it named a federal enforcer, and in 1919 the United States actually sued the state to stop a diversion, and won.</w:t>
      </w:r>
    </w:p>
    <w:p w14:paraId="480FD483" w14:textId="77777777" w:rsidR="00DC02F5" w:rsidRDefault="00000000">
      <w:pPr>
        <w:pStyle w:val="BodyText"/>
      </w:pPr>
      <w:r>
        <w:t xml:space="preserve">By 1910 Congress had watched the giveaway. It had seen Nebraska and Kansas school grants vanish into speculators’ hands at a dollar an acre, and it had just spent Theodore Roosevelt’s political capital prosecuting the Oregon land-fraud ring all the way up to a sitting U.S. senator. So when it wrote the enabling act for New Mexico and Arizona, it drafted Section 10 as if it did not intend to be embarrassed twice. The granted land — quadrupled, sections 2, 16, 32, and 36, because the dry Southwest needed four times the acreage to throw off the same revenue — was declared held “in trust,” in those exact common-law words. The proceeds of the land carried the same trust. Any disposition outside the named purposes was </w:t>
      </w:r>
      <w:r>
        <w:rPr>
          <w:i/>
          <w:iCs/>
        </w:rPr>
        <w:t>defined</w:t>
      </w:r>
      <w:r>
        <w:t>, automatically, as a breach of trust. Any sale not made at advertised public auction, at the county seat, above appraised value, was declared null and void, “any provision of the constitution or laws of the said State to the contrary notwithstanding.” And then the last clause: it became the affirmative duty of the Attorney General of the United States to sue the state to enforce the trust. No earlier admission act, and no later one, packed those four guards together.</w:t>
      </w:r>
    </w:p>
    <w:p w14:paraId="2258722B" w14:textId="77777777" w:rsidR="00DC02F5" w:rsidRDefault="00000000">
      <w:pPr>
        <w:pStyle w:val="BodyText"/>
      </w:pPr>
      <w:r>
        <w:t xml:space="preserve">New Mexico took the deal seriously on its own side, too. Its 1911 constitution accepted the terms as a binding compact, walled the </w:t>
      </w:r>
      <w:r>
        <w:lastRenderedPageBreak/>
        <w:t>money into a separate and inviolate Land Grant Permanent Fund, and made one of the boldest structural choices in the country: it put the whole trust in the hands of a single statewide elected official — the Commissioner of Public Lands — accountable to the voters every four years. One name on the ballot, all the fiduciary authority, written into the constitution itself.</w:t>
      </w:r>
    </w:p>
    <w:p w14:paraId="3620A786" w14:textId="77777777" w:rsidR="00DC02F5" w:rsidRDefault="00000000">
      <w:pPr>
        <w:pStyle w:val="BodyText"/>
      </w:pPr>
      <w:r>
        <w:t xml:space="preserve">The enforcer clause wasn’t decoration. In 1915 the legislature let the Commissioner spend three percent of land income advertising “the resources and advantages of the state” — on the theory that promotion would lift land values and, eventually, enrich the trust. The United States sued, and in </w:t>
      </w:r>
      <w:r>
        <w:rPr>
          <w:i/>
          <w:iCs/>
        </w:rPr>
        <w:t>Ervien v. United States</w:t>
      </w:r>
      <w:r>
        <w:t xml:space="preserve"> (1919) the Supreme Court shut it down cold: the grant’s enumeration of purposes is, in the Court’s words, “special and exact,” and it is exclusive. A century later the corpus stands near $32.97 billion [as of Dec. 31, 2024] and sends more than $1.3 billion a year to schools and other beneficiaries — about ninety percent of it riding on Permian Basin oil and gas.</w:t>
      </w:r>
    </w:p>
    <w:p w14:paraId="1DC79999" w14:textId="77777777" w:rsidR="00DC02F5" w:rsidRDefault="00000000">
      <w:pPr>
        <w:pStyle w:val="BodyText"/>
      </w:pPr>
      <w:r>
        <w:rPr>
          <w:b/>
          <w:bCs/>
        </w:rPr>
        <w:t>Pull-quote:</w:t>
      </w:r>
      <w:r>
        <w:t xml:space="preserve"> </w:t>
      </w:r>
      <w:r>
        <w:rPr>
          <w:i/>
          <w:iCs/>
        </w:rPr>
        <w:t>“The dedication, we repeat, was special and exact, precluding any supplementary or aiding sense . . . .” — Ervien v. United States, 251 U.S. 41, 47 (1919)</w:t>
      </w:r>
    </w:p>
    <w:p w14:paraId="0D5C34DD" w14:textId="77777777" w:rsidR="00DC02F5" w:rsidRDefault="00000000">
      <w:pPr>
        <w:pStyle w:val="BodyText"/>
      </w:pPr>
      <w:r>
        <w:rPr>
          <w:b/>
          <w:bCs/>
        </w:rPr>
        <w:t>Lesson:</w:t>
      </w:r>
      <w:r>
        <w:t xml:space="preserve"> Enforceable text plus a named enforcer is why this trust could be defended in court when others couldn’t. (See Ch. 5 and Ch. 6.) — </w:t>
      </w:r>
      <w:r>
        <w:rPr>
          <w:i/>
          <w:iCs/>
        </w:rPr>
        <w:t>Sources/notes:</w:t>
      </w:r>
      <w:r>
        <w:t xml:space="preserve"> NM-Arizona Enabling Act of 1910, §§ 6, 10; N.M. Const. arts. XII, XIII, XXI; Ervien v. United States, 251 U.S. 41 (1919); Lassen v. Arizona (1967); State ex rel. King v. Lyons (2011); NM State Investment Council (≈$32.97B market value [as of Dec. 31, 2024]).</w:t>
      </w:r>
    </w:p>
    <w:p w14:paraId="2564B131" w14:textId="77777777" w:rsidR="00DC02F5" w:rsidRDefault="00000000">
      <w:r>
        <w:pict w14:anchorId="0BAD57DA">
          <v:rect id="_x0000_i1046" style="width:0;height:1.5pt" o:hralign="center" o:hrstd="t" o:hr="t"/>
        </w:pict>
      </w:r>
    </w:p>
    <w:p w14:paraId="22EE7367" w14:textId="77777777" w:rsidR="00DC02F5" w:rsidRDefault="00000000">
      <w:r>
        <w:br w:type="page"/>
      </w:r>
    </w:p>
    <w:p w14:paraId="30CDFEA6" w14:textId="77777777" w:rsidR="00DC02F5" w:rsidRDefault="00000000">
      <w:pPr>
        <w:pStyle w:val="Heading2"/>
      </w:pPr>
      <w:bookmarkStart w:id="112" w:name="Xa3c5a31839fc93e8f8187c29da05ff13f9cb701"/>
      <w:bookmarkStart w:id="113" w:name="_Toc231774253"/>
      <w:bookmarkEnd w:id="110"/>
      <w:r>
        <w:lastRenderedPageBreak/>
        <w:t>North Dakota — The Bridge That Held, and Then Struck Oil</w:t>
      </w:r>
      <w:bookmarkEnd w:id="113"/>
    </w:p>
    <w:p w14:paraId="69AF040A" w14:textId="77777777" w:rsidR="00DC02F5" w:rsidRDefault="00000000">
      <w:r>
        <w:rPr>
          <w:noProof/>
        </w:rPr>
        <w:drawing>
          <wp:inline distT="0" distB="0" distL="0" distR="0" wp14:anchorId="14100836" wp14:editId="4617B411">
            <wp:extent cx="731520" cy="853135"/>
            <wp:effectExtent l="0" t="0" r="0" b="0"/>
            <wp:docPr id="147" name="Picture" descr="QRFLOAT"/>
            <wp:cNvGraphicFramePr/>
            <a:graphic xmlns:a="http://schemas.openxmlformats.org/drawingml/2006/main">
              <a:graphicData uri="http://schemas.openxmlformats.org/drawingml/2006/picture">
                <pic:pic xmlns:pic="http://schemas.openxmlformats.org/drawingml/2006/picture">
                  <pic:nvPicPr>
                    <pic:cNvPr id="148" name="Picture" descr="C:/Users/drdav/My%20Drive/Claude%20Cowork/_tools/_web_cache/qr_us-nd_c4b92892a10a_1200x_q90.jpg"/>
                    <pic:cNvPicPr>
                      <a:picLocks noChangeAspect="1" noChangeArrowheads="1"/>
                    </pic:cNvPicPr>
                  </pic:nvPicPr>
                  <pic:blipFill>
                    <a:blip r:embed="rId33"/>
                    <a:stretch>
                      <a:fillRect/>
                    </a:stretch>
                  </pic:blipFill>
                  <pic:spPr bwMode="auto">
                    <a:xfrm>
                      <a:off x="0" y="0"/>
                      <a:ext cx="731520" cy="853135"/>
                    </a:xfrm>
                    <a:prstGeom prst="rect">
                      <a:avLst/>
                    </a:prstGeom>
                    <a:noFill/>
                    <a:ln w="9525">
                      <a:noFill/>
                      <a:headEnd/>
                      <a:tailEnd/>
                    </a:ln>
                  </pic:spPr>
                </pic:pic>
              </a:graphicData>
            </a:graphic>
          </wp:inline>
        </w:drawing>
      </w:r>
      <w:r>
        <w:t xml:space="preserve"> </w:t>
      </w:r>
      <w:r>
        <w:rPr>
          <w:i/>
          <w:iCs/>
        </w:rPr>
        <w:t xml:space="preserve">Admitted 1889 (first of the Omnibus quartet) - Grant: 2 sections (16 &amp; 36) - Common Schools Trust Fund </w:t>
      </w:r>
      <w:r>
        <w:rPr>
          <w:b/>
          <w:bCs/>
          <w:i/>
          <w:iCs/>
        </w:rPr>
        <w:t>$7.94 billion</w:t>
      </w:r>
      <w:r>
        <w:rPr>
          <w:i/>
          <w:iCs/>
        </w:rPr>
        <w:t xml:space="preserve"> [as of Dec. 11, 2025] - Trustee: five-officer constitutional Board of University and School Lands - Verdict: Kept faith.</w:t>
      </w:r>
    </w:p>
    <w:p w14:paraId="7A3AD663" w14:textId="77777777" w:rsidR="00DC02F5" w:rsidRDefault="00000000">
      <w:pPr>
        <w:pStyle w:val="BodyText"/>
      </w:pPr>
      <w:r>
        <w:rPr>
          <w:b/>
          <w:bCs/>
        </w:rPr>
        <w:t>Telling fact:</w:t>
      </w:r>
      <w:r>
        <w:t xml:space="preserve"> North Dakota wrote a five-officer trustee board into its constitution — putting the Attorney General and the schools’ own Superintendent in the trustee room — and a 1960 amendment reserving all minerals turned out, when the Bakken came online, to be worth billions.</w:t>
      </w:r>
    </w:p>
    <w:p w14:paraId="3E3F7D3D" w14:textId="77777777" w:rsidR="00DC02F5" w:rsidRDefault="00000000">
      <w:pPr>
        <w:pStyle w:val="BodyText"/>
      </w:pPr>
      <w:r>
        <w:t>North Dakota’s story isn’t a scandal. It’s a structure that held — and a useful one to study precisely because nothing dramatic was stolen. When Congress admitted North Dakota under the 1889 Omnibus Act, it added machinery the antebellum acts had usually left to the states. The 1859 Oregon act had said the land was granted “for the use of schools” and left the fund-building to the state. The 1889 act did more of that work in federal text: it ordered the proceeds held as permanent funds with only the interest spendable, required public-sale-only disposition, and declared any non-conforming disposition “null and void” — the precursor to the famous null-and-void clause of the 1910 New Mexico act, twenty-one years early. North Dakota is the bridge between the early compact form and the high-water mark.</w:t>
      </w:r>
    </w:p>
    <w:p w14:paraId="24B46EF2" w14:textId="77777777" w:rsidR="00DC02F5" w:rsidRDefault="00000000">
      <w:pPr>
        <w:pStyle w:val="BodyText"/>
      </w:pPr>
      <w:r>
        <w:t xml:space="preserve">The state then out-built its own federal floor. Most ex-officio land states used a three-officer board — governor, secretary of state, treasurer. North Dakota wrote a </w:t>
      </w:r>
      <w:r>
        <w:rPr>
          <w:i/>
          <w:iCs/>
        </w:rPr>
        <w:t>five</w:t>
      </w:r>
      <w:r>
        <w:t xml:space="preserve">-officer board into Article IX and made it constitutional: governor, secretary of state, treasurer, plus the </w:t>
      </w:r>
      <w:r>
        <w:lastRenderedPageBreak/>
        <w:t>Attorney General (folding enforcement counsel into the room) and the Superintendent of Public Instruction (a beneficiary’s voice at the table). The state’s courts and attorneys general then treated that board as a real trustee for a century, narrowly construing every attempted encroachment — county-road prescription claims, veterans’ lease preferences, special assessments — and protecting corpus each time.</w:t>
      </w:r>
    </w:p>
    <w:p w14:paraId="3910EEF7" w14:textId="77777777" w:rsidR="00DC02F5" w:rsidRDefault="00000000">
      <w:pPr>
        <w:pStyle w:val="BodyText"/>
      </w:pPr>
      <w:r>
        <w:t xml:space="preserve">Then geology rewarded the discipline. The 1960 amendment reserving all minerals — oil, gas, coal, uranium — in every sale of trust land meant that when hydraulic fracturing turned the Bakken into a producing play, the school trust kept the subsurface even where the surface had long since been sold. A fund measured in the low hundreds of millions in the early 2000s has compounded mineral royalties and lease bonuses into the multi-billion range: the Department of Trust Lands reported a Common Schools Trust Fund balance of </w:t>
      </w:r>
      <w:r>
        <w:rPr>
          <w:b/>
          <w:bCs/>
        </w:rPr>
        <w:t>$7.94 billion</w:t>
      </w:r>
      <w:r>
        <w:t xml:space="preserve"> [as of Dec. 11, 2025] to the Board of University and School Lands, up from $7 billion at the end of the prior fiscal year. North Dakota’s recovery was made possible by oil — the Bakken did for this trust what timber and grazing never could — and the fund now ranks among the highest per pupil in the nation. The trust’s real test is what happens when the asset suddenly becomes valuable. North Dakota’s held.</w:t>
      </w:r>
    </w:p>
    <w:p w14:paraId="59AC4448" w14:textId="77777777" w:rsidR="00DC02F5" w:rsidRDefault="00000000">
      <w:pPr>
        <w:pStyle w:val="BodyText"/>
      </w:pPr>
      <w:r>
        <w:rPr>
          <w:b/>
          <w:bCs/>
        </w:rPr>
        <w:t>Then→now:</w:t>
      </w:r>
      <w:r>
        <w:t xml:space="preserve"> A fund in the low hundreds of millions circa 2000 → </w:t>
      </w:r>
      <w:r>
        <w:rPr>
          <w:b/>
          <w:bCs/>
        </w:rPr>
        <w:t>$7.94 billion</w:t>
      </w:r>
      <w:r>
        <w:t xml:space="preserve"> [as of Dec. 11, 2025], after fifteen years of compounding Bakken royalties against a constitutionally dedicated revenue stream.</w:t>
      </w:r>
    </w:p>
    <w:p w14:paraId="40C47418" w14:textId="77777777" w:rsidR="00DC02F5" w:rsidRDefault="00000000">
      <w:pPr>
        <w:pStyle w:val="BodyText"/>
      </w:pPr>
      <w:r>
        <w:rPr>
          <w:b/>
          <w:bCs/>
        </w:rPr>
        <w:t>Lesson:</w:t>
      </w:r>
      <w:r>
        <w:t xml:space="preserve"> A board built to be both fiduciary and beneficiary-aware, plus a mineral reservation locked in before the boom, is how a trust grows instead of erodes. (See Ch. 5.) — </w:t>
      </w:r>
      <w:r>
        <w:rPr>
          <w:i/>
          <w:iCs/>
        </w:rPr>
        <w:t>Sources/notes:</w:t>
      </w:r>
      <w:r>
        <w:t xml:space="preserve"> Omnibus Enabling Act of 1889 §§ 4, 10-11; N.D. Const. art. IX §§ 1-3, 1960 mineral-reservation amendment; State ex rel. Bd. of Univ. &amp; Sch. Lands v. McMillan (1903); ND Dept. of Trust Lands, report to the Board of University and School Lands, Dec. 11, 2025 ($7.94 billion).</w:t>
      </w:r>
    </w:p>
    <w:p w14:paraId="4BA692D0" w14:textId="77777777" w:rsidR="00DC02F5" w:rsidRDefault="00000000">
      <w:r>
        <w:lastRenderedPageBreak/>
        <w:pict w14:anchorId="1663CFB6">
          <v:rect id="_x0000_i1047" style="width:0;height:1.5pt" o:hralign="center" o:hrstd="t" o:hr="t"/>
        </w:pict>
      </w:r>
    </w:p>
    <w:p w14:paraId="505B0416" w14:textId="77777777" w:rsidR="00DC02F5" w:rsidRDefault="00000000">
      <w:r>
        <w:br w:type="page"/>
      </w:r>
    </w:p>
    <w:p w14:paraId="4EB8A79E" w14:textId="77777777" w:rsidR="00DC02F5" w:rsidRDefault="00000000">
      <w:pPr>
        <w:pStyle w:val="Heading2"/>
      </w:pPr>
      <w:bookmarkStart w:id="114" w:name="X5f0e284dc2fd627bb9c9f14c8fd5440537d1a8d"/>
      <w:bookmarkStart w:id="115" w:name="_Toc231774254"/>
      <w:bookmarkEnd w:id="112"/>
      <w:r>
        <w:lastRenderedPageBreak/>
        <w:t>Ohio — The Template That Wrote Itself a Loophole</w:t>
      </w:r>
      <w:bookmarkEnd w:id="115"/>
    </w:p>
    <w:p w14:paraId="1D033A42" w14:textId="77777777" w:rsidR="00DC02F5" w:rsidRDefault="00000000">
      <w:r>
        <w:rPr>
          <w:noProof/>
        </w:rPr>
        <w:drawing>
          <wp:inline distT="0" distB="0" distL="0" distR="0" wp14:anchorId="0E24434D" wp14:editId="20368DB5">
            <wp:extent cx="731520" cy="853135"/>
            <wp:effectExtent l="0" t="0" r="0" b="0"/>
            <wp:docPr id="151" name="Picture" descr="QRFLOAT"/>
            <wp:cNvGraphicFramePr/>
            <a:graphic xmlns:a="http://schemas.openxmlformats.org/drawingml/2006/main">
              <a:graphicData uri="http://schemas.openxmlformats.org/drawingml/2006/picture">
                <pic:pic xmlns:pic="http://schemas.openxmlformats.org/drawingml/2006/picture">
                  <pic:nvPicPr>
                    <pic:cNvPr id="152" name="Picture" descr="C:/Users/drdav/My%20Drive/Claude%20Cowork/_tools/_web_cache/qr_us-oh_bab5d16f9c13_1200x_q90.jpg"/>
                    <pic:cNvPicPr>
                      <a:picLocks noChangeAspect="1" noChangeArrowheads="1"/>
                    </pic:cNvPicPr>
                  </pic:nvPicPr>
                  <pic:blipFill>
                    <a:blip r:embed="rId34"/>
                    <a:stretch>
                      <a:fillRect/>
                    </a:stretch>
                  </pic:blipFill>
                  <pic:spPr bwMode="auto">
                    <a:xfrm>
                      <a:off x="0" y="0"/>
                      <a:ext cx="731520" cy="853135"/>
                    </a:xfrm>
                    <a:prstGeom prst="rect">
                      <a:avLst/>
                    </a:prstGeom>
                    <a:noFill/>
                    <a:ln w="9525">
                      <a:noFill/>
                      <a:headEnd/>
                      <a:tailEnd/>
                    </a:ln>
                  </pic:spPr>
                </pic:pic>
              </a:graphicData>
            </a:graphic>
          </wp:inline>
        </w:drawing>
      </w:r>
      <w:r>
        <w:t xml:space="preserve"> </w:t>
      </w:r>
      <w:r>
        <w:rPr>
          <w:i/>
          <w:iCs/>
        </w:rPr>
        <w:t>Admitted 1803 - Grant: 1 section (Section 16 only); 704,204 acres at admission - Residual state-managed school-trust acreage: small - Trustee: scattered – district school boards, the Treasurer, the education agency - Verdict: Broke the trust.</w:t>
      </w:r>
    </w:p>
    <w:p w14:paraId="1FDEB1FF" w14:textId="77777777" w:rsidR="00DC02F5" w:rsidRDefault="00000000">
      <w:pPr>
        <w:pStyle w:val="BodyText"/>
      </w:pPr>
      <w:r>
        <w:rPr>
          <w:b/>
          <w:bCs/>
        </w:rPr>
        <w:t>Telling fact:</w:t>
      </w:r>
      <w:r>
        <w:t xml:space="preserve"> Ohio is where the American school trust was invented — and where it was first sold off, then, in 1968, where the state amended its own constitution to convert the protected corpus into money the legislature could simply spend.</w:t>
      </w:r>
    </w:p>
    <w:p w14:paraId="3D5F4A12" w14:textId="77777777" w:rsidR="00DC02F5" w:rsidRDefault="00000000">
      <w:pPr>
        <w:pStyle w:val="BodyText"/>
      </w:pPr>
      <w:r>
        <w:t>Ohio is the original. The 1785 Land Ordinance reserved “lot No. 16 of every township for the maintenance of public schools,” and when Ohio was admitted in 1803 it was the first state to receive that grant in operating form. Every school-trust state that followed built on Ohio’s foundation. And Ohio is where the corpus first drained away — which makes it the cautionary opening to the whole national story.</w:t>
      </w:r>
    </w:p>
    <w:p w14:paraId="0BA9647E" w14:textId="77777777" w:rsidR="00DC02F5" w:rsidRDefault="00000000">
      <w:pPr>
        <w:pStyle w:val="BodyText"/>
      </w:pPr>
      <w:r>
        <w:t xml:space="preserve">The weakness was in the design from the start. The 1802 enabling act granted the land “to the inhabitants of such township” — not to the State of Ohio as a corporate trustee. That sounded democratic; in practice it scattered authority across hundreds of part-time township officers with no single fiduciary guarding the whole. There was no irreducible-fund clause, no named trust board, no full-value floor under sales. So the land left public hands the way water leaves a cracked basin — slow, steady, and at agricultural prices for timber and mineral ground. The losses came not by one dramatic seizure but by a hundred small fire-sales, township by township, decade after decade, until the residual state-managed acreage collapsed to a fraction of one percent of the 704,204 acres granted at admission. Where the state did </w:t>
      </w:r>
      <w:r>
        <w:lastRenderedPageBreak/>
        <w:t>lock up cheap value for the long term, it sometimes did so on perpetual or near-perpetual terms — the kind of ninety-nine-year lease that hands a public asset to a private party for a token rent and forgets about it.</w:t>
      </w:r>
    </w:p>
    <w:p w14:paraId="7C80E1FA" w14:textId="77777777" w:rsidR="00DC02F5" w:rsidRDefault="00000000">
      <w:pPr>
        <w:pStyle w:val="BodyText"/>
      </w:pPr>
      <w:r>
        <w:t xml:space="preserve">The courts and the legislature flailed at it. The 1917 Garver Act tried to centralize and reserve minerals — and the legislature carved special exceptions almost immediately, letting subsurface value pass with the surface. The 1932 </w:t>
      </w:r>
      <w:r>
        <w:rPr>
          <w:i/>
          <w:iCs/>
        </w:rPr>
        <w:t>Tracy</w:t>
      </w:r>
      <w:r>
        <w:t xml:space="preserve"> decision let trust rentals be spent on drainage assessments instead of schools. Then came the decisive move. In 1968, after Congress freed Ohio from the original-township restrictions, voters amended Article VI to strike the language preserving the principal “inviolate and undiminished” and replace it with principal to be “used or disposed of in such manner as the General Assembly shall prescribe by law.” That was lawful. It was also the conversion, on the face of the constitution, of a protected endowment into a spendable appropriation. Ohio is the canonical example of a state that dismantled its own trust by the book.</w:t>
      </w:r>
    </w:p>
    <w:p w14:paraId="776A3A77" w14:textId="77777777" w:rsidR="00DC02F5" w:rsidRDefault="00000000">
      <w:pPr>
        <w:pStyle w:val="BodyText"/>
      </w:pPr>
      <w:r>
        <w:rPr>
          <w:b/>
          <w:bCs/>
        </w:rPr>
        <w:t>Then→now:</w:t>
      </w:r>
      <w:r>
        <w:t xml:space="preserve"> A 704,204-acre school grant in 1803 → roughly a thousand acres still managed as trust land, and a principal-protection clause repealed by the people’s own vote in 1968.</w:t>
      </w:r>
    </w:p>
    <w:p w14:paraId="4151D0CE" w14:textId="77777777" w:rsidR="00DC02F5" w:rsidRDefault="00000000">
      <w:pPr>
        <w:pStyle w:val="BodyText"/>
      </w:pPr>
      <w:r>
        <w:rPr>
          <w:b/>
          <w:bCs/>
        </w:rPr>
        <w:t>Lesson:</w:t>
      </w:r>
      <w:r>
        <w:t xml:space="preserve"> A trust with no floor under its sale price, no single guardian, and no lock the legislature can’t pick will be sold cheap and then, in the end, redefined out of existence. (See Ch. 4, “Fire-sale liquidation.”) — </w:t>
      </w:r>
      <w:r>
        <w:rPr>
          <w:i/>
          <w:iCs/>
        </w:rPr>
        <w:t>Sources/notes:</w:t>
      </w:r>
      <w:r>
        <w:t xml:space="preserve"> </w:t>
      </w:r>
      <w:r>
        <w:rPr>
          <w:i/>
          <w:iCs/>
        </w:rPr>
        <w:t>State ex rel. Upper Scioto Drainage &amp; Conservancy Dist. v. Tracy</w:t>
      </w:r>
      <w:r>
        <w:t>, 125 Ohio St. 399, 181 N.E. 811 (1932); Land Ordinance of 1785; Ohio Enabling Act of 1802 § 7; Ohio Auditor, Official Ohio Lands Book (704,204 acres); Garver Act (1917); State ex rel. Upper Scioto Drainage v. Tracy (1932); Ohio Const. art. VI § 1 (1968 amendment); Pub. L. 90-304.</w:t>
      </w:r>
    </w:p>
    <w:p w14:paraId="7AC44620" w14:textId="77777777" w:rsidR="00DC02F5" w:rsidRDefault="00000000">
      <w:r>
        <w:pict w14:anchorId="67E71D16">
          <v:rect id="_x0000_i1048" style="width:0;height:1.5pt" o:hralign="center" o:hrstd="t" o:hr="t"/>
        </w:pict>
      </w:r>
    </w:p>
    <w:p w14:paraId="56C32AEA" w14:textId="77777777" w:rsidR="00DC02F5" w:rsidRDefault="00000000">
      <w:r>
        <w:lastRenderedPageBreak/>
        <w:br w:type="page"/>
      </w:r>
    </w:p>
    <w:p w14:paraId="1852456D" w14:textId="77777777" w:rsidR="00DC02F5" w:rsidRDefault="00000000">
      <w:pPr>
        <w:pStyle w:val="Heading2"/>
      </w:pPr>
      <w:bookmarkStart w:id="116" w:name="X7226a7d195431b776ecc8f4532457dd43c952d9"/>
      <w:bookmarkStart w:id="117" w:name="_Toc231774255"/>
      <w:bookmarkEnd w:id="114"/>
      <w:r>
        <w:lastRenderedPageBreak/>
        <w:t>Oklahoma — Half Land, Half Ledger, All Sacred Trust</w:t>
      </w:r>
      <w:bookmarkEnd w:id="117"/>
    </w:p>
    <w:p w14:paraId="273E2816" w14:textId="77777777" w:rsidR="00DC02F5" w:rsidRDefault="00000000">
      <w:r>
        <w:rPr>
          <w:noProof/>
        </w:rPr>
        <w:drawing>
          <wp:inline distT="0" distB="0" distL="0" distR="0" wp14:anchorId="2853C802" wp14:editId="312CC799">
            <wp:extent cx="731520" cy="853135"/>
            <wp:effectExtent l="0" t="0" r="0" b="0"/>
            <wp:docPr id="155" name="Picture" descr="QRFLOAT"/>
            <wp:cNvGraphicFramePr/>
            <a:graphic xmlns:a="http://schemas.openxmlformats.org/drawingml/2006/main">
              <a:graphicData uri="http://schemas.openxmlformats.org/drawingml/2006/picture">
                <pic:pic xmlns:pic="http://schemas.openxmlformats.org/drawingml/2006/picture">
                  <pic:nvPicPr>
                    <pic:cNvPr id="156" name="Picture" descr="C:/Users/drdav/My%20Drive/Claude%20Cowork/_tools/_web_cache/qr_us-ok_08a7508d093e_1200x_q90.jpg"/>
                    <pic:cNvPicPr>
                      <a:picLocks noChangeAspect="1" noChangeArrowheads="1"/>
                    </pic:cNvPicPr>
                  </pic:nvPicPr>
                  <pic:blipFill>
                    <a:blip r:embed="rId35"/>
                    <a:stretch>
                      <a:fillRect/>
                    </a:stretch>
                  </pic:blipFill>
                  <pic:spPr bwMode="auto">
                    <a:xfrm>
                      <a:off x="0" y="0"/>
                      <a:ext cx="731520" cy="853135"/>
                    </a:xfrm>
                    <a:prstGeom prst="rect">
                      <a:avLst/>
                    </a:prstGeom>
                    <a:noFill/>
                    <a:ln w="9525">
                      <a:noFill/>
                      <a:headEnd/>
                      <a:tailEnd/>
                    </a:ln>
                  </pic:spPr>
                </pic:pic>
              </a:graphicData>
            </a:graphic>
          </wp:inline>
        </w:drawing>
      </w:r>
      <w:r>
        <w:t xml:space="preserve"> </w:t>
      </w:r>
      <w:r>
        <w:rPr>
          <w:i/>
          <w:iCs/>
        </w:rPr>
        <w:t>Admitted 1907 - Grant: sections 16 &amp; 36 across the western half; a $5 million cash payment in lieu for the eastern (Indian Territory) half - Corpus figure not stated here; CLO reports approximately 740,000 surface acres and 1.1 million mineral acres under management - Trustee: Commissioners of the Land Office (five elected officials, ex officio) - Verdict: Kept faith.</w:t>
      </w:r>
    </w:p>
    <w:p w14:paraId="1694A465" w14:textId="77777777" w:rsidR="00DC02F5" w:rsidRDefault="00000000">
      <w:pPr>
        <w:pStyle w:val="BodyText"/>
      </w:pPr>
      <w:r>
        <w:rPr>
          <w:b/>
          <w:bCs/>
        </w:rPr>
        <w:t>Telling fact:</w:t>
      </w:r>
      <w:r>
        <w:t xml:space="preserve"> Oklahoma is the only state Congress ever handed a </w:t>
      </w:r>
      <w:r>
        <w:rPr>
          <w:i/>
          <w:iCs/>
        </w:rPr>
        <w:t>cash</w:t>
      </w:r>
      <w:r>
        <w:t xml:space="preserve"> school endowment for half its territory — $5 million in lieu of land — because by 1907 the eastern half had already been allotted, parcel by parcel, to citizens of the Five Tribes.</w:t>
      </w:r>
    </w:p>
    <w:p w14:paraId="5F736658" w14:textId="77777777" w:rsidR="00DC02F5" w:rsidRDefault="00000000">
      <w:pPr>
        <w:pStyle w:val="BodyText"/>
      </w:pPr>
      <w:r>
        <w:t>When Congress built Oklahoma’s school trust, the public domain it was working from had already been spoken for. Across the western half — the former Oklahoma Territory — it could grant the usual sections 16 and 36. But the eastern half, the old Indian Territory, was not Congress’s to give: under the Curtis Act and the allotment agreements it had passed to members of the Cherokee, Choctaw, Chickasaw, Creek, and Seminole Nations. So Congress did something it had never done before and never did again: it wrote a check. The 1906 enabling act substituted $5 million, to be held and invested by the state expressly “in trust,” for the school sections the eastern half could not supply. Oklahoma’s endowment was, from birth, half land and half ledger entry.</w:t>
      </w:r>
    </w:p>
    <w:p w14:paraId="692A2BE3" w14:textId="77777777" w:rsidR="00DC02F5" w:rsidRDefault="00000000">
      <w:pPr>
        <w:pStyle w:val="BodyText"/>
      </w:pPr>
      <w:r>
        <w:t xml:space="preserve">The federal language on the land grant was modest — “for the use and benefit of the common schools,” not the full in-trust-and-enforce triad of the 1910 New Mexico act four years later. But Oklahoma’s own constitution more than made up the difference. It accepted the grants </w:t>
      </w:r>
      <w:r>
        <w:lastRenderedPageBreak/>
        <w:t>as “a sacred trust,” made the Permanent Common School Fund “forever inviolate” with the state obliged to reimburse any loss, and seated the trustee body — the Commissioners of the Land Office — in five statewide elected officials, including, notably, the Superintendent of Public Instruction, a beneficiary’s voice inside the trustee circle.</w:t>
      </w:r>
    </w:p>
    <w:p w14:paraId="11E28F37" w14:textId="77777777" w:rsidR="00DC02F5" w:rsidRDefault="00000000">
      <w:pPr>
        <w:pStyle w:val="BodyText"/>
      </w:pPr>
      <w:r>
        <w:t xml:space="preserve">The courts then did the heavy lifting. In </w:t>
      </w:r>
      <w:r>
        <w:rPr>
          <w:i/>
          <w:iCs/>
        </w:rPr>
        <w:t>School District No. 23 of Okfuskee County v. Commissioners of the Land Office</w:t>
      </w:r>
      <w:r>
        <w:t xml:space="preserve"> (1933), the court ruled that oil-and-gas proceeds from school sections must be impounded as permanent-fund corpus, not spent as current income — a rule that, in a state where the surface was often sold but the minerals retained, has built the modern fund more than any other. And in the landmark </w:t>
      </w:r>
      <w:r>
        <w:rPr>
          <w:i/>
          <w:iCs/>
        </w:rPr>
        <w:t>Oklahoma Education Association v. Nigh</w:t>
      </w:r>
      <w:r>
        <w:t xml:space="preserve"> (1982), the court struck a batch of statutes that capped lease rentals and gave incumbent lessees a re-lease advantage, holding that the enabling act and the constitution together create </w:t>
      </w:r>
      <w:r>
        <w:rPr>
          <w:b/>
          <w:bCs/>
        </w:rPr>
        <w:t>“an irrevocable compact”</w:t>
      </w:r>
      <w:r>
        <w:t xml:space="preserve"> and a “sacred trust” — and that no statute may divert trust value to non-beneficiaries, however sympathetic. </w:t>
      </w:r>
      <w:r>
        <w:rPr>
          <w:i/>
          <w:iCs/>
        </w:rPr>
        <w:t>Nigh</w:t>
      </w:r>
      <w:r>
        <w:t xml:space="preserve"> is Oklahoma’s anti-subsidy decision, the case the Attorney General cites whenever someone asks the trust to give something away.</w:t>
      </w:r>
    </w:p>
    <w:p w14:paraId="3B9CEC19" w14:textId="77777777" w:rsidR="00DC02F5" w:rsidRDefault="00000000">
      <w:pPr>
        <w:pStyle w:val="BodyText"/>
      </w:pPr>
      <w:r>
        <w:rPr>
          <w:b/>
          <w:bCs/>
        </w:rPr>
        <w:t>Pull-quote:</w:t>
      </w:r>
      <w:r>
        <w:t xml:space="preserve"> </w:t>
      </w:r>
      <w:r>
        <w:rPr>
          <w:i/>
          <w:iCs/>
        </w:rPr>
        <w:t>The Enabling Act and the constitution create “an irrevocable compact” and a “sacred trust” — no statute may diminish the state’s duty to the beneficiaries. — Oklahoma Education Association v. Nigh (1982)</w:t>
      </w:r>
    </w:p>
    <w:p w14:paraId="0E1A60FD" w14:textId="77777777" w:rsidR="00DC02F5" w:rsidRDefault="00000000">
      <w:pPr>
        <w:pStyle w:val="BodyText"/>
      </w:pPr>
      <w:r>
        <w:rPr>
          <w:b/>
          <w:bCs/>
        </w:rPr>
        <w:t>Lesson:</w:t>
      </w:r>
      <w:r>
        <w:t xml:space="preserve"> Strong state law and a court willing to call subsidies what they are can hold a trust together even when the federal text is compact — and even when half the endowment is only money. (See Ch. 5.) — </w:t>
      </w:r>
      <w:r>
        <w:rPr>
          <w:i/>
          <w:iCs/>
        </w:rPr>
        <w:t>Sources/notes:</w:t>
      </w:r>
      <w:r>
        <w:t xml:space="preserve"> </w:t>
      </w:r>
      <w:r>
        <w:rPr>
          <w:i/>
          <w:iCs/>
        </w:rPr>
        <w:t>School Dist. No. 23 of Okfuskee County v. Comm’rs of the Land Office</w:t>
      </w:r>
      <w:r>
        <w:t>, 166 Okla. 226, 27 P.2d 149 (1933); Oklahoma Enabling Act of 1906 § 7; Okla. Const. art. VI § 32, art. XI §§ 1-2; Sch. Dist. No. 23 of Okfuskee Cty. v. Comm’rs (1933); Oklahoma Education Ass’n v. Nigh, 642 P.2d 230 (1982); CLO FY2022 distribution $122,474,890.</w:t>
      </w:r>
    </w:p>
    <w:p w14:paraId="25077E96" w14:textId="77777777" w:rsidR="00DC02F5" w:rsidRDefault="00000000">
      <w:r>
        <w:lastRenderedPageBreak/>
        <w:pict w14:anchorId="1DF20E61">
          <v:rect id="_x0000_i1049" style="width:0;height:1.5pt" o:hralign="center" o:hrstd="t" o:hr="t"/>
        </w:pict>
      </w:r>
    </w:p>
    <w:p w14:paraId="2B900E92" w14:textId="77777777" w:rsidR="00DC02F5" w:rsidRDefault="00000000">
      <w:r>
        <w:br w:type="page"/>
      </w:r>
    </w:p>
    <w:p w14:paraId="508BB4DB" w14:textId="77777777" w:rsidR="00DC02F5" w:rsidRDefault="00000000">
      <w:pPr>
        <w:pStyle w:val="Heading2"/>
      </w:pPr>
      <w:bookmarkStart w:id="118" w:name="X64f4b7a175fac1c331652e4074a59b57edbcff3"/>
      <w:bookmarkStart w:id="119" w:name="_Toc231774256"/>
      <w:bookmarkEnd w:id="116"/>
      <w:r>
        <w:lastRenderedPageBreak/>
        <w:t>Oregon — The Sale That the Seller Made to Itself</w:t>
      </w:r>
      <w:bookmarkEnd w:id="119"/>
    </w:p>
    <w:p w14:paraId="1AA609C8" w14:textId="77777777" w:rsidR="00DC02F5" w:rsidRDefault="00000000">
      <w:r>
        <w:rPr>
          <w:noProof/>
        </w:rPr>
        <w:drawing>
          <wp:inline distT="0" distB="0" distL="0" distR="0" wp14:anchorId="6A1E51E3" wp14:editId="28386994">
            <wp:extent cx="731520" cy="853135"/>
            <wp:effectExtent l="0" t="0" r="0" b="0"/>
            <wp:docPr id="159" name="Picture" descr="QRFLOAT"/>
            <wp:cNvGraphicFramePr/>
            <a:graphic xmlns:a="http://schemas.openxmlformats.org/drawingml/2006/main">
              <a:graphicData uri="http://schemas.openxmlformats.org/drawingml/2006/picture">
                <pic:pic xmlns:pic="http://schemas.openxmlformats.org/drawingml/2006/picture">
                  <pic:nvPicPr>
                    <pic:cNvPr id="160" name="Picture" descr="C:/Users/drdav/My%20Drive/Claude%20Cowork/_tools/_web_cache/qr_us-or_2183bc25da6b_1200x_q90.jpg"/>
                    <pic:cNvPicPr>
                      <a:picLocks noChangeAspect="1" noChangeArrowheads="1"/>
                    </pic:cNvPicPr>
                  </pic:nvPicPr>
                  <pic:blipFill>
                    <a:blip r:embed="rId36"/>
                    <a:stretch>
                      <a:fillRect/>
                    </a:stretch>
                  </pic:blipFill>
                  <pic:spPr bwMode="auto">
                    <a:xfrm>
                      <a:off x="0" y="0"/>
                      <a:ext cx="731520" cy="853135"/>
                    </a:xfrm>
                    <a:prstGeom prst="rect">
                      <a:avLst/>
                    </a:prstGeom>
                    <a:noFill/>
                    <a:ln w="9525">
                      <a:noFill/>
                      <a:headEnd/>
                      <a:tailEnd/>
                    </a:ln>
                  </pic:spPr>
                </pic:pic>
              </a:graphicData>
            </a:graphic>
          </wp:inline>
        </w:drawing>
      </w:r>
      <w:r>
        <w:t xml:space="preserve"> </w:t>
      </w:r>
      <w:r>
        <w:rPr>
          <w:i/>
          <w:iCs/>
        </w:rPr>
        <w:t xml:space="preserve">Admitted 1859 - Grant: 2 sections (16 &amp; 36); nearly 3.4 million acres - Common School Fund audited fund balance </w:t>
      </w:r>
      <w:r>
        <w:rPr>
          <w:b/>
          <w:bCs/>
          <w:i/>
          <w:iCs/>
        </w:rPr>
        <w:t>$2,585,199,612</w:t>
      </w:r>
      <w:r>
        <w:rPr>
          <w:i/>
          <w:iCs/>
        </w:rPr>
        <w:t xml:space="preserve"> [as of June 30, 2025]; about </w:t>
      </w:r>
      <w:r>
        <w:rPr>
          <w:b/>
          <w:bCs/>
          <w:i/>
          <w:iCs/>
        </w:rPr>
        <w:t>681,000 trust acres</w:t>
      </w:r>
      <w:r>
        <w:rPr>
          <w:i/>
          <w:iCs/>
        </w:rPr>
        <w:t xml:space="preserve"> remaining - Trustee: State Land Board – Governor, Secretary of State, Treasurer, ex officio - Verdict: Broke the trust (contested; in active litigation).</w:t>
      </w:r>
    </w:p>
    <w:p w14:paraId="6ED1F76C" w14:textId="77777777" w:rsidR="00DC02F5" w:rsidRDefault="00000000">
      <w:pPr>
        <w:pStyle w:val="BodyText"/>
      </w:pPr>
      <w:r>
        <w:rPr>
          <w:b/>
          <w:bCs/>
        </w:rPr>
        <w:t>Telling fact:</w:t>
      </w:r>
      <w:r>
        <w:t xml:space="preserve"> Long before the Elliott, Oregon’s school lands were looted in the open by robber barons and forged claims; and in our own time, to get the Elliott State Forest off the schools’ books, the state valued it on an “investment-value” appraisal of about $99.6 million — built on the assumption that almost no timber could ever be cut — while advocates put the timber’s fair market value near $1 billion, then paid that depressed figure to itself.</w:t>
      </w:r>
    </w:p>
    <w:p w14:paraId="080DEC2A" w14:textId="77777777" w:rsidR="00DC02F5" w:rsidRDefault="00000000">
      <w:pPr>
        <w:pStyle w:val="BodyText"/>
      </w:pPr>
      <w:r>
        <w:t>On paper Oregon’s school trust is one of the most complete in the country: a doubled federal grant, a constitution that walls the Common School Fund off as “separate, and irreducible,” and the state’s three highest elected officials sitting as trustees. And within a single generation much of it was hauled into private hands by forged signatures, perjured affidavits, and bribery. The 1887 “Infamous Act” fixed school-land prices at $1.25 an acre — agricultural prices for standing Cascade timber — and locked the trustees into selling at that rate. Brokers hired “dummy” entrymen off the Portland waterfront to sign 320-acre claims and flipped the patents to timber speculators. The federal prosecutions that followed under Theodore Roosevelt produced twenty-one convictions and reached United States Senator John H. Mitchell, who was convicted in 1905 and died awaiting appeal — one of the very few sitting senators ever convicted of a felony.</w:t>
      </w:r>
    </w:p>
    <w:p w14:paraId="1929B98A" w14:textId="77777777" w:rsidR="00DC02F5" w:rsidRDefault="00000000">
      <w:pPr>
        <w:pStyle w:val="BodyText"/>
      </w:pPr>
      <w:r>
        <w:lastRenderedPageBreak/>
        <w:t>The modern chapter is the Elliott State Forest, and it is the directed-seizure pattern in twenty-first-century dress. After endangered-species litigation choked off the harvest, the forest started costing the fund instead of feeding it, and in 2017 the Land Board moved to “decouple” it — to pay the Common School Fund for the forest’s value and then transfer it out from under the constitutional trust. Here is the move that makes it a sham rather than a sale: the public record used an “investment-value” appraisal of roughly $99.6 million, an appraisal that assumed timber harvest would be severely restricted forever, while a later legislative package supplied $221 million in public funding to complete the decoupling. Advocates for School Trust Lands contend the timber’s fair market value runs roughly $1.0 to $1.3 billion, and that the transaction was self-dealing — the state, sitting as trustee, sold the asset to the state, sitting as buyer, at a price the state had depressed. This is not a compensated buyout. It is the seller setting a low number and then paying it to itself, with the schools as the party left short.</w:t>
      </w:r>
    </w:p>
    <w:p w14:paraId="70BF9209" w14:textId="77777777" w:rsidR="00DC02F5" w:rsidRDefault="00000000">
      <w:pPr>
        <w:pStyle w:val="BodyText"/>
      </w:pPr>
      <w:r>
        <w:t xml:space="preserve">The accountability question is live. On January 28, 2026, the Oregon Court of Appeals held that schoolchildren and their districts have </w:t>
      </w:r>
      <w:r>
        <w:rPr>
          <w:i/>
          <w:iCs/>
        </w:rPr>
        <w:t>standing</w:t>
      </w:r>
      <w:r>
        <w:t xml:space="preserve"> to enforce the trustee’s fiduciary duties against the state — a procedural win, not a merits ruling, but the door that lets the Coos County case (</w:t>
      </w:r>
      <w:r>
        <w:rPr>
          <w:i/>
          <w:iCs/>
        </w:rPr>
        <w:t>Siuslaw School District 97J v. State</w:t>
      </w:r>
      <w:r>
        <w:t>, 24CV38372) test whether the decoupling was a breach. And the trustee structure points to why the breach was possible: Oregon’s founders put the Governor — the state’s top politician — in the trustee’s chair instead of giving the trust independent legal oversight, so the trust’s fate gets decided in the same room where the rest of the state’s political sausage gets made.</w:t>
      </w:r>
    </w:p>
    <w:p w14:paraId="0052583D" w14:textId="77777777" w:rsidR="00DC02F5" w:rsidRDefault="00000000">
      <w:pPr>
        <w:pStyle w:val="BodyText"/>
      </w:pPr>
      <w:r>
        <w:rPr>
          <w:b/>
          <w:bCs/>
        </w:rPr>
        <w:t>Pull-quote:</w:t>
      </w:r>
      <w:r>
        <w:t xml:space="preserve"> </w:t>
      </w:r>
      <w:r>
        <w:rPr>
          <w:i/>
          <w:iCs/>
        </w:rPr>
        <w:t>A “buyout” priced by the buyer, on an appraisal the buyer wrote, paid by the buyer to itself, is not compensation. It is the breach wearing the costume of a sale.</w:t>
      </w:r>
    </w:p>
    <w:p w14:paraId="720FBE1A" w14:textId="77777777" w:rsidR="00DC02F5" w:rsidRDefault="00000000">
      <w:pPr>
        <w:pStyle w:val="BodyText"/>
      </w:pPr>
      <w:r>
        <w:rPr>
          <w:b/>
          <w:bCs/>
        </w:rPr>
        <w:lastRenderedPageBreak/>
        <w:t>Lesson:</w:t>
      </w:r>
      <w:r>
        <w:t xml:space="preserve"> A trustee who is also the buyer will find a number that suits the buyer — which is why “fair value” has to be tested by someone who isn’t the state. (See Ch. 4, the Elliott sham, and Ch. 6.) — </w:t>
      </w:r>
      <w:r>
        <w:rPr>
          <w:i/>
          <w:iCs/>
        </w:rPr>
        <w:t>Sources/notes:</w:t>
      </w:r>
      <w:r>
        <w:t xml:space="preserve"> Oregon Admission Act of 1859; Or. Const. art. VIII §§ 2, 5; F.G. Young, Oregon Historical Quarterly (1910); </w:t>
      </w:r>
      <w:r>
        <w:rPr>
          <w:i/>
          <w:iCs/>
        </w:rPr>
        <w:t>Cascadia Wildlands v. Dep’t of State Lands</w:t>
      </w:r>
      <w:r>
        <w:t>, 365 Or. 750 (2019); Advocates for School Trust Lands v. State, 346 Or. App. 668 (2026); Margaret Bird, public testimony to the Oregon State Land Board (Dec. 2022) (the contested $1.0–1.3 billion fair-market valuation); DSL Common School Fund reports.</w:t>
      </w:r>
    </w:p>
    <w:p w14:paraId="60FCD026" w14:textId="77777777" w:rsidR="00DC02F5" w:rsidRDefault="00000000">
      <w:r>
        <w:pict w14:anchorId="17370CC3">
          <v:rect id="_x0000_i1050" style="width:0;height:1.5pt" o:hralign="center" o:hrstd="t" o:hr="t"/>
        </w:pict>
      </w:r>
    </w:p>
    <w:p w14:paraId="5DCA2ED3" w14:textId="77777777" w:rsidR="00DC02F5" w:rsidRDefault="00000000">
      <w:pPr>
        <w:pStyle w:val="Heading3"/>
      </w:pPr>
      <w:bookmarkStart w:id="120" w:name="the-last-thirty-years-the-elliott"/>
      <w:r>
        <w:t>The last thirty years: the Elliott</w:t>
      </w:r>
    </w:p>
    <w:p w14:paraId="30733982" w14:textId="77777777" w:rsidR="00DC02F5" w:rsidRDefault="00000000">
      <w:r>
        <w:t>If any single place shows what became of the gift in our own time, it is the Elliott State Forest, the working heart of Oregon’s Common School Fund. For most of the twentieth century the Elliott did exactly what trust land is supposed to do: its timber was harvested, and the revenue flowed to the schools. Then, beginning in the 1990s, litigation over the northern spotted owl and the marbled murrelet sharply curtailed harvest, and the forest that had earned for the children began, on the state’s books, to lose money. What a faithful trustee owes a temporarily unprofitable asset is patience and management. What Oregon did instead was decide to get rid of it.</w:t>
      </w:r>
    </w:p>
    <w:p w14:paraId="4F71F66F" w14:textId="77777777" w:rsidR="00DC02F5" w:rsidRDefault="00000000">
      <w:pPr>
        <w:pStyle w:val="BodyText"/>
      </w:pPr>
      <w:r>
        <w:t xml:space="preserve">In 2016 the State Land Board moved to sell the Elliott outright — to privatize the schools’ forest for roughly $220.8 million, the sale ceiling reflected in the public Elliott record. Public outrage stopped the sale. But the objective survived the reversal. The plan that followed was subtler: “decouple” the forest from the Common School Fund — transfer it to Oregon State University as a research forest and compensate the fund with bonds, at an “investment value” the state itself set at about $99.6 million. On December 11, 2022, the day before the Land Board voted, Margaret Bird’s public testimony treated </w:t>
      </w:r>
      <w:r>
        <w:lastRenderedPageBreak/>
        <w:t>decoupling as a sale under another name. A trustee that takes the trust’s primary asset, hands it to an outside arrangement at a price the trustee chose, and substitutes a stream of general-fund bonds for the asset’s earnings has sold the asset — the bookkeeping is just more elaborate. The Board voted to proceed. A year later OSU withdrew, and still the structure kept moving through other channels.</w:t>
      </w:r>
    </w:p>
    <w:p w14:paraId="6207E1BB" w14:textId="77777777" w:rsidR="00DC02F5" w:rsidRDefault="00000000">
      <w:pPr>
        <w:pStyle w:val="BodyText"/>
      </w:pPr>
      <w:r>
        <w:t xml:space="preserve">In 2024 the beneficiaries went to court — </w:t>
      </w:r>
      <w:r>
        <w:rPr>
          <w:i/>
          <w:iCs/>
        </w:rPr>
        <w:t>Advocates for School Trust Lands v. State of Oregon</w:t>
      </w:r>
      <w:r>
        <w:t xml:space="preserve"> — and the State answered with the sentence that, more than any other, told the authors this book had to be written now: that it </w:t>
      </w:r>
      <w:r>
        <w:rPr>
          <w:i/>
          <w:iCs/>
        </w:rPr>
        <w:t>“does not owe Plaintiffs the duties alleged.”</w:t>
      </w:r>
      <w:r>
        <w:rPr>
          <w:vertAlign w:val="superscript"/>
        </w:rPr>
        <w:t>2</w:t>
      </w:r>
      <w:r>
        <w:t xml:space="preserve"> In a court of law, the trustee denied the trust. On January 28, 2026, the Oregon Court of Appeals held that the schoolchildren had standing to make the State answer for it. The case continues as this book goes to press. Oregon is not the worst chapter in this book. It is the most clarifying — because it is happening in full daylight, with the documents in the open, and because the State has said out loud what other trustees only do quietly.</w:t>
      </w:r>
    </w:p>
    <w:p w14:paraId="636BA1DE" w14:textId="77777777" w:rsidR="00DC02F5" w:rsidRDefault="00000000">
      <w:r>
        <w:br w:type="page"/>
      </w:r>
    </w:p>
    <w:p w14:paraId="332DA0CF" w14:textId="77777777" w:rsidR="00DC02F5" w:rsidRDefault="00000000">
      <w:pPr>
        <w:pStyle w:val="Heading2"/>
      </w:pPr>
      <w:bookmarkStart w:id="121" w:name="X709288ddcd85848cc8687643a1b6c7079f222d5"/>
      <w:bookmarkStart w:id="122" w:name="_Toc231774257"/>
      <w:bookmarkEnd w:id="118"/>
      <w:bookmarkEnd w:id="120"/>
      <w:r>
        <w:lastRenderedPageBreak/>
        <w:t>South Dakota — The Trust the Courts Took Seriously</w:t>
      </w:r>
      <w:bookmarkEnd w:id="122"/>
    </w:p>
    <w:p w14:paraId="787EF2E6" w14:textId="77777777" w:rsidR="00DC02F5" w:rsidRDefault="00000000">
      <w:r>
        <w:rPr>
          <w:noProof/>
        </w:rPr>
        <w:drawing>
          <wp:inline distT="0" distB="0" distL="0" distR="0" wp14:anchorId="35F15EF2" wp14:editId="07D4360C">
            <wp:extent cx="731520" cy="853135"/>
            <wp:effectExtent l="0" t="0" r="0" b="0"/>
            <wp:docPr id="164" name="Picture" descr="QRFLOAT"/>
            <wp:cNvGraphicFramePr/>
            <a:graphic xmlns:a="http://schemas.openxmlformats.org/drawingml/2006/main">
              <a:graphicData uri="http://schemas.openxmlformats.org/drawingml/2006/picture">
                <pic:pic xmlns:pic="http://schemas.openxmlformats.org/drawingml/2006/picture">
                  <pic:nvPicPr>
                    <pic:cNvPr id="165" name="Picture" descr="C:/Users/drdav/My%20Drive/Claude%20Cowork/_tools/_web_cache/qr_us-sd_8396c1f470e6_1200x_q90.jpg"/>
                    <pic:cNvPicPr>
                      <a:picLocks noChangeAspect="1" noChangeArrowheads="1"/>
                    </pic:cNvPicPr>
                  </pic:nvPicPr>
                  <pic:blipFill>
                    <a:blip r:embed="rId37"/>
                    <a:stretch>
                      <a:fillRect/>
                    </a:stretch>
                  </pic:blipFill>
                  <pic:spPr bwMode="auto">
                    <a:xfrm>
                      <a:off x="0" y="0"/>
                      <a:ext cx="731520" cy="853135"/>
                    </a:xfrm>
                    <a:prstGeom prst="rect">
                      <a:avLst/>
                    </a:prstGeom>
                    <a:noFill/>
                    <a:ln w="9525">
                      <a:noFill/>
                      <a:headEnd/>
                      <a:tailEnd/>
                    </a:ln>
                  </pic:spPr>
                </pic:pic>
              </a:graphicData>
            </a:graphic>
          </wp:inline>
        </w:drawing>
      </w:r>
      <w:r>
        <w:t xml:space="preserve"> </w:t>
      </w:r>
      <w:r>
        <w:rPr>
          <w:i/>
          <w:iCs/>
        </w:rPr>
        <w:t xml:space="preserve">Admitted 1889 (Omnibus quartet) - Grant: 2 sections (16 &amp; 36), about 3.5 million acres - School and Public Lands Fund ending fair value </w:t>
      </w:r>
      <w:r>
        <w:rPr>
          <w:b/>
          <w:bCs/>
          <w:i/>
          <w:iCs/>
        </w:rPr>
        <w:t>$430,690,564</w:t>
      </w:r>
      <w:r>
        <w:rPr>
          <w:i/>
          <w:iCs/>
        </w:rPr>
        <w:t xml:space="preserve"> [as of June 30, 2025] - Trustee: elected Commissioner of School and Public Lands - Verdict: Kept faith.</w:t>
      </w:r>
    </w:p>
    <w:p w14:paraId="39394942" w14:textId="77777777" w:rsidR="00DC02F5" w:rsidRDefault="00000000">
      <w:pPr>
        <w:pStyle w:val="BodyText"/>
      </w:pPr>
      <w:r>
        <w:rPr>
          <w:b/>
          <w:bCs/>
        </w:rPr>
        <w:t>Telling fact:</w:t>
      </w:r>
      <w:r>
        <w:t xml:space="preserve"> When South Dakota wrote its constitution, it forbade selling a single acre of school land for less than ten dollars — and when a governor later tried to dump $9 million in the fund’s bonds at a discount to chase a higher yield, the state’s highest court told him no.</w:t>
      </w:r>
    </w:p>
    <w:p w14:paraId="65BC2B70" w14:textId="77777777" w:rsidR="00DC02F5" w:rsidRDefault="00000000">
      <w:pPr>
        <w:pStyle w:val="BodyText"/>
      </w:pPr>
      <w:r>
        <w:t>South Dakota came into the Union in 1889 holding two advantages most states never had: a federal grant that was unusually protective for its era, and a state constitution that treated the grant like a real trust rather than a gift. Congress, in the Omnibus Enabling Act that admitted the Dakotas, Montana, and Washington together, did more than hand over sections 16 and 36 in every township. It set a floor under their sale price — no acre to go for less than ten dollars — and required that the proceeds sit in a permanent fund spending only its interest. That ten-dollar floor was no accident. It was the work of William Henry Harrison Beadle, a surveyor-general turned schoolman who had watched other states fritter away their endowments at a dollar and a quarter an acre, and who lobbied to write a hard minimum into not just South Dakota’s constitution but, by congressional requirement, those of Idaho, Montana, North Dakota, and Washington as well. South Dakotans later put Beadle’s statue in the U.S. Capitol for it.</w:t>
      </w:r>
    </w:p>
    <w:p w14:paraId="7EDB45F2" w14:textId="77777777" w:rsidR="00DC02F5" w:rsidRDefault="00000000">
      <w:pPr>
        <w:pStyle w:val="BodyText"/>
      </w:pPr>
      <w:r>
        <w:t xml:space="preserve">What made the difference, though, was the state’s own Article VIII — twenty-odd sections that called each endowment a “trust fund held by </w:t>
      </w:r>
      <w:r>
        <w:lastRenderedPageBreak/>
        <w:t xml:space="preserve">the state,” with income “inviolably applied” to schools. And South Dakota’s judges believed it. Within six years of statehood the supreme court was already saying that when the state handles school money it acts as a trustee, not a sovereign, bound to the “utmost fidelity.” In 1957, in </w:t>
      </w:r>
      <w:r>
        <w:rPr>
          <w:i/>
          <w:iCs/>
        </w:rPr>
        <w:t>Schelle v. Foss</w:t>
      </w:r>
      <w:r>
        <w:t xml:space="preserve">, the court blocked Governor Joseph Foss from selling off federal bonds the fund held at a discount to reinvest in higher-coupon local bonds — even a temporary, well-argued dent in the principal was still a dent, and the trust forbade it. In 1959 the court struck down a scheme that let sitting lessees match the top bid at auction, ruling that a “public sale” had to mean genuine open competition. And in 1985, after the legislature closed the University of South Dakota at Springfield and handed its 40,000 trust acres to the prison system for nothing, </w:t>
      </w:r>
      <w:r>
        <w:rPr>
          <w:i/>
          <w:iCs/>
        </w:rPr>
        <w:t>Kanaly v. State</w:t>
      </w:r>
      <w:r>
        <w:t xml:space="preserve"> ordered the state to pay the trust full market value. The legislature could close the school; it could not raid the endowment to do it.</w:t>
      </w:r>
    </w:p>
    <w:p w14:paraId="3D174216" w14:textId="77777777" w:rsidR="00DC02F5" w:rsidRDefault="00000000">
      <w:pPr>
        <w:pStyle w:val="BodyText"/>
      </w:pPr>
      <w:r>
        <w:rPr>
          <w:b/>
          <w:bCs/>
        </w:rPr>
        <w:t>Then→now:</w:t>
      </w:r>
      <w:r>
        <w:t xml:space="preserve"> A trust other states let bleed out → a </w:t>
      </w:r>
      <w:r>
        <w:rPr>
          <w:b/>
          <w:bCs/>
        </w:rPr>
        <w:t>$430,690,564</w:t>
      </w:r>
      <w:r>
        <w:t xml:space="preserve"> fund [as of June 30, 2025], that returned </w:t>
      </w:r>
      <w:r>
        <w:rPr>
          <w:b/>
          <w:bCs/>
        </w:rPr>
        <w:t>$15,590,737.54</w:t>
      </w:r>
      <w:r>
        <w:t xml:space="preserve"> to common schools in FY2025, defended by a 130-year unbroken line of court decisions.</w:t>
      </w:r>
    </w:p>
    <w:p w14:paraId="404F127F" w14:textId="77777777" w:rsidR="00DC02F5" w:rsidRDefault="00000000">
      <w:pPr>
        <w:pStyle w:val="BodyText"/>
      </w:pPr>
      <w:r>
        <w:rPr>
          <w:b/>
          <w:bCs/>
        </w:rPr>
        <w:t>Lesson:</w:t>
      </w:r>
      <w:r>
        <w:t xml:space="preserve"> A price floor in the founding document, plus a court willing to call the state a trustee to its face, is how a nineteenth-century endowment survives into the twenty-first. (See Ch. 5, “Kept &amp; Rebuilt.”)</w:t>
      </w:r>
    </w:p>
    <w:p w14:paraId="34855712" w14:textId="77777777" w:rsidR="00DC02F5" w:rsidRDefault="00000000">
      <w:pPr>
        <w:pStyle w:val="BodyText"/>
      </w:pPr>
      <w:r>
        <w:rPr>
          <w:i/>
          <w:iCs/>
        </w:rPr>
        <w:t>Sources/notes:</w:t>
      </w:r>
      <w:r>
        <w:t xml:space="preserve"> Omnibus Enabling Act of Feb. 22, 1889, 25 Stat. 676, secs. 10-11; S.D. Const. art. VIII secs. 7, 11; </w:t>
      </w:r>
      <w:r>
        <w:rPr>
          <w:i/>
          <w:iCs/>
        </w:rPr>
        <w:t>State v. Ruth</w:t>
      </w:r>
      <w:r>
        <w:t xml:space="preserve"> (1896); </w:t>
      </w:r>
      <w:r>
        <w:rPr>
          <w:i/>
          <w:iCs/>
        </w:rPr>
        <w:t>Schelle v. Foss</w:t>
      </w:r>
      <w:r>
        <w:t xml:space="preserve"> (1957); </w:t>
      </w:r>
      <w:r>
        <w:rPr>
          <w:i/>
          <w:iCs/>
        </w:rPr>
        <w:t>Matthews v. Linn</w:t>
      </w:r>
      <w:r>
        <w:t xml:space="preserve"> (1959); </w:t>
      </w:r>
      <w:r>
        <w:rPr>
          <w:i/>
          <w:iCs/>
        </w:rPr>
        <w:t>Kanaly v. State</w:t>
      </w:r>
      <w:r>
        <w:t xml:space="preserve"> (1985); SD Investment Council FY2025 Annual Report (fund ending fair value $430,690,564 [as of June 30, 2025]; FY2025 returned to public schools $15,590,737.54). Beadle’s floor is </w:t>
      </w:r>
      <w:r>
        <w:rPr>
          <w:b/>
          <w:bCs/>
        </w:rPr>
        <w:t>$10/acre</w:t>
      </w:r>
      <w:r>
        <w:t>, not $1.25; the Beadle Capitol statue and the “Beadle Club” of schoolmen who pushed the protections are the human hook.</w:t>
      </w:r>
    </w:p>
    <w:p w14:paraId="7A6A2B92" w14:textId="77777777" w:rsidR="00DC02F5" w:rsidRDefault="00000000">
      <w:r>
        <w:lastRenderedPageBreak/>
        <w:pict w14:anchorId="732A0C73">
          <v:rect id="_x0000_i1051" style="width:0;height:1.5pt" o:hralign="center" o:hrstd="t" o:hr="t"/>
        </w:pict>
      </w:r>
    </w:p>
    <w:p w14:paraId="56167EAB" w14:textId="77777777" w:rsidR="00DC02F5" w:rsidRDefault="00000000">
      <w:r>
        <w:br w:type="page"/>
      </w:r>
    </w:p>
    <w:p w14:paraId="38063F10" w14:textId="77777777" w:rsidR="00DC02F5" w:rsidRDefault="00000000">
      <w:pPr>
        <w:pStyle w:val="Heading2"/>
      </w:pPr>
      <w:bookmarkStart w:id="123" w:name="X1fb5a2b5e1437f8e8b536da20b302182306808f"/>
      <w:bookmarkStart w:id="124" w:name="_Toc231774258"/>
      <w:bookmarkEnd w:id="121"/>
      <w:r>
        <w:lastRenderedPageBreak/>
        <w:t>Tennessee — The Trust That Talked Itself Out of Protection</w:t>
      </w:r>
      <w:bookmarkEnd w:id="124"/>
    </w:p>
    <w:p w14:paraId="62AE1397" w14:textId="77777777" w:rsidR="00DC02F5" w:rsidRDefault="00000000">
      <w:r>
        <w:rPr>
          <w:noProof/>
        </w:rPr>
        <w:drawing>
          <wp:inline distT="0" distB="0" distL="0" distR="0" wp14:anchorId="2F2C8A6B" wp14:editId="5AC70169">
            <wp:extent cx="731520" cy="853135"/>
            <wp:effectExtent l="0" t="0" r="0" b="0"/>
            <wp:docPr id="168" name="Picture" descr="QRFLOAT"/>
            <wp:cNvGraphicFramePr/>
            <a:graphic xmlns:a="http://schemas.openxmlformats.org/drawingml/2006/main">
              <a:graphicData uri="http://schemas.openxmlformats.org/drawingml/2006/picture">
                <pic:pic xmlns:pic="http://schemas.openxmlformats.org/drawingml/2006/picture">
                  <pic:nvPicPr>
                    <pic:cNvPr id="169" name="Picture" descr="C:/Users/drdav/My%20Drive/Claude%20Cowork/_tools/_web_cache/qr_us-tn_4c380839c719_1200x_q90.jpg"/>
                    <pic:cNvPicPr>
                      <a:picLocks noChangeAspect="1" noChangeArrowheads="1"/>
                    </pic:cNvPicPr>
                  </pic:nvPicPr>
                  <pic:blipFill>
                    <a:blip r:embed="rId38"/>
                    <a:stretch>
                      <a:fillRect/>
                    </a:stretch>
                  </pic:blipFill>
                  <pic:spPr bwMode="auto">
                    <a:xfrm>
                      <a:off x="0" y="0"/>
                      <a:ext cx="731520" cy="853135"/>
                    </a:xfrm>
                    <a:prstGeom prst="rect">
                      <a:avLst/>
                    </a:prstGeom>
                    <a:noFill/>
                    <a:ln w="9525">
                      <a:noFill/>
                      <a:headEnd/>
                      <a:tailEnd/>
                    </a:ln>
                  </pic:spPr>
                </pic:pic>
              </a:graphicData>
            </a:graphic>
          </wp:inline>
        </w:drawing>
      </w:r>
      <w:r>
        <w:t xml:space="preserve"> </w:t>
      </w:r>
      <w:r>
        <w:rPr>
          <w:i/>
          <w:iCs/>
        </w:rPr>
        <w:t>Admitted 1796 (no usable section-16 grant; former federal territory ceded by North Carolina) · Grant: belated, via the 1806 Compact — two 100,000-acre college tracts plus 640 acres per six-mile square “where claims allowed” · Trust fund: dismantled at the constitutional level in 1978 · Trustee: the General Assembly · Verdict: Lost (by repeal).</w:t>
      </w:r>
    </w:p>
    <w:p w14:paraId="4B326C55" w14:textId="77777777" w:rsidR="00DC02F5" w:rsidRDefault="00000000">
      <w:pPr>
        <w:pStyle w:val="BodyText"/>
      </w:pPr>
      <w:r>
        <w:rPr>
          <w:b/>
          <w:bCs/>
        </w:rPr>
        <w:t>Telling fact:</w:t>
      </w:r>
      <w:r>
        <w:t xml:space="preserve"> For 143 years Tennessee’s constitution protected a permanent school fund whose principal could “never be diminished.” In 1978 the voters simply deleted the clause — and no one ever publicly accounted for what happened to the money it had guarded.</w:t>
      </w:r>
    </w:p>
    <w:p w14:paraId="6872E8F8" w14:textId="77777777" w:rsidR="00DC02F5" w:rsidRDefault="00000000">
      <w:pPr>
        <w:pStyle w:val="BodyText"/>
      </w:pPr>
      <w:r>
        <w:t xml:space="preserve">Tennessee sits crooked in any lineup of school-trust states. It came in before the section-16 template hardened, and the land that might have carried such a grant had already been picked clean by old North Carolina military warrants. The fix arrived ten years late, in the Compact of 1806, which set aside two hundred-thousand-acre tracts to seed two colleges — one in East Tennessee, one in </w:t>
      </w:r>
      <w:r>
        <w:rPr>
          <w:b/>
          <w:bCs/>
        </w:rPr>
        <w:t>Middle</w:t>
      </w:r>
      <w:r>
        <w:t xml:space="preserve"> Tennessee — plus a sprinkle of common-school land “where existing claims allowed.” Very little of that common-school land was ever actually laid off; the warrants had swallowed the good ground. And the college tracts were sold off through the nineteenth century to capitalize specific institutions — the East Tennessee tract became the seed of the University of Tennessee, the Middle Tennessee tract went to what became the University of Nashville — rather than to build a lasting endowment.</w:t>
      </w:r>
    </w:p>
    <w:p w14:paraId="1B60681C" w14:textId="77777777" w:rsidR="00DC02F5" w:rsidRDefault="00000000">
      <w:pPr>
        <w:pStyle w:val="BodyText"/>
      </w:pPr>
      <w:r>
        <w:t xml:space="preserve">So Tennessee built its own. The 1835 constitution created a permanent common-school fund “the principal of which shall never be </w:t>
      </w:r>
      <w:r>
        <w:lastRenderedPageBreak/>
        <w:t>diminished by legislative appropriation,” its interest “inviolably appropriated” to schools. This was classic fiduciary language, manufactured out of state assets because no federal corpus existed to protect — and it held for well over a century, surviving the 1870 rewrite intact. Then, in 1978, a constitutional revision swept it away. The new clause says only that the state “recognizes the inherent value of education and encourages its support.” It is a duty to provide schools, not a wall around a fund. The perpetual-fund language, the principal-protection language, the inviolable-interest language all simply vanished. The historical record does not show any public reckoning of what became of the corpus the old language had guarded — whether it was spent, absorbed, or quietly run down. Tennessee elected, in one ballot measure, to stop protecting a school endowment at the constitutional level, and it has never reversed course.</w:t>
      </w:r>
    </w:p>
    <w:p w14:paraId="5C86B0DE" w14:textId="77777777" w:rsidR="00DC02F5" w:rsidRDefault="00000000">
      <w:pPr>
        <w:pStyle w:val="BodyText"/>
      </w:pPr>
      <w:r>
        <w:t xml:space="preserve">What replaced trust enforcement was adequacy litigation. The </w:t>
      </w:r>
      <w:r>
        <w:rPr>
          <w:i/>
          <w:iCs/>
        </w:rPr>
        <w:t>Tennessee Small School Systems v. McWherter</w:t>
      </w:r>
      <w:r>
        <w:t xml:space="preserve"> trilogy (1993–2002) forced the legislature to equalize funding across rich and poor districts, and the funding formula has since cycled from the Basic Education Program to today’s student-based TISA formula — all of it general-revenue money, none of it a corpus. There is, by design, no school-trust corpus left to fight over.</w:t>
      </w:r>
    </w:p>
    <w:p w14:paraId="363C256B" w14:textId="77777777" w:rsidR="00DC02F5" w:rsidRDefault="00000000">
      <w:pPr>
        <w:pStyle w:val="BodyText"/>
      </w:pPr>
      <w:r>
        <w:rPr>
          <w:b/>
          <w:bCs/>
        </w:rPr>
        <w:t>Pull-quote:</w:t>
      </w:r>
      <w:r>
        <w:t xml:space="preserve"> </w:t>
      </w:r>
      <w:r>
        <w:rPr>
          <w:i/>
          <w:iCs/>
        </w:rPr>
        <w:t>“The principal of which shall never be diminished by legislative appropriation.” — Tennessee Constitution of 1835, deleted by the voters in 1978.</w:t>
      </w:r>
    </w:p>
    <w:p w14:paraId="3C743B82" w14:textId="77777777" w:rsidR="00DC02F5" w:rsidRDefault="00000000">
      <w:pPr>
        <w:pStyle w:val="BodyText"/>
      </w:pPr>
      <w:r>
        <w:rPr>
          <w:b/>
          <w:bCs/>
        </w:rPr>
        <w:t>Lesson:</w:t>
      </w:r>
      <w:r>
        <w:t xml:space="preserve"> Constitutional fiduciary language, once removed, does not reassemble itself. Protection is hard to build and one ballot measure to lose. (See Ch. 6, “Lessons.”)</w:t>
      </w:r>
    </w:p>
    <w:p w14:paraId="521BC88F" w14:textId="77777777" w:rsidR="00DC02F5" w:rsidRDefault="00000000">
      <w:pPr>
        <w:pStyle w:val="BodyText"/>
      </w:pPr>
      <w:r>
        <w:rPr>
          <w:i/>
          <w:iCs/>
        </w:rPr>
        <w:t>Sources/notes:</w:t>
      </w:r>
      <w:r>
        <w:t xml:space="preserve"> Act of June 1, 1796, 1 Stat. 491; Compact of 1806, 2 Stat. 381; Tenn. Const. of 1835 art. XI sec. X; 1978 amendment to art. XI sec. 12; </w:t>
      </w:r>
      <w:r>
        <w:rPr>
          <w:i/>
          <w:iCs/>
        </w:rPr>
        <w:t>Small Schools</w:t>
      </w:r>
      <w:r>
        <w:t xml:space="preserve"> trilogy. The second college tract was </w:t>
      </w:r>
      <w:r>
        <w:rPr>
          <w:b/>
          <w:bCs/>
        </w:rPr>
        <w:t>Middle</w:t>
      </w:r>
      <w:r>
        <w:t xml:space="preserve"> </w:t>
      </w:r>
      <w:r>
        <w:lastRenderedPageBreak/>
        <w:t>Tennessee (Nashville), not West Tennessee; this draft keeps that correction.</w:t>
      </w:r>
    </w:p>
    <w:p w14:paraId="0EEA0A17" w14:textId="77777777" w:rsidR="00DC02F5" w:rsidRDefault="00000000">
      <w:r>
        <w:pict w14:anchorId="1F8E117B">
          <v:rect id="_x0000_i1052" style="width:0;height:1.5pt" o:hralign="center" o:hrstd="t" o:hr="t"/>
        </w:pict>
      </w:r>
    </w:p>
    <w:p w14:paraId="4391DCA9" w14:textId="77777777" w:rsidR="00DC02F5" w:rsidRDefault="00000000">
      <w:r>
        <w:br w:type="page"/>
      </w:r>
    </w:p>
    <w:p w14:paraId="4DCB2419" w14:textId="77777777" w:rsidR="00DC02F5" w:rsidRDefault="00000000">
      <w:pPr>
        <w:pStyle w:val="Heading2"/>
      </w:pPr>
      <w:bookmarkStart w:id="125" w:name="X86d40a6e3b830d9711a73df5249a796369b204d"/>
      <w:bookmarkStart w:id="126" w:name="_Toc231774259"/>
      <w:bookmarkEnd w:id="123"/>
      <w:r>
        <w:lastRenderedPageBreak/>
        <w:t>Texas — The Sovereign That Kept Its Own Land</w:t>
      </w:r>
      <w:bookmarkEnd w:id="126"/>
    </w:p>
    <w:p w14:paraId="0534B1B8" w14:textId="77777777" w:rsidR="00DC02F5" w:rsidRDefault="00000000">
      <w:r>
        <w:rPr>
          <w:noProof/>
        </w:rPr>
        <w:drawing>
          <wp:inline distT="0" distB="0" distL="0" distR="0" wp14:anchorId="28416A96" wp14:editId="70A2BA3B">
            <wp:extent cx="731520" cy="853135"/>
            <wp:effectExtent l="0" t="0" r="0" b="0"/>
            <wp:docPr id="172" name="Picture" descr="QRFLOAT"/>
            <wp:cNvGraphicFramePr/>
            <a:graphic xmlns:a="http://schemas.openxmlformats.org/drawingml/2006/main">
              <a:graphicData uri="http://schemas.openxmlformats.org/drawingml/2006/picture">
                <pic:pic xmlns:pic="http://schemas.openxmlformats.org/drawingml/2006/picture">
                  <pic:nvPicPr>
                    <pic:cNvPr id="173" name="Picture" descr="C:/Users/drdav/My%20Drive/Claude%20Cowork/_tools/_web_cache/qr_us-tx_610e27447abe_1200x_q90.jpg"/>
                    <pic:cNvPicPr>
                      <a:picLocks noChangeAspect="1" noChangeArrowheads="1"/>
                    </pic:cNvPicPr>
                  </pic:nvPicPr>
                  <pic:blipFill>
                    <a:blip r:embed="rId39"/>
                    <a:stretch>
                      <a:fillRect/>
                    </a:stretch>
                  </pic:blipFill>
                  <pic:spPr bwMode="auto">
                    <a:xfrm>
                      <a:off x="0" y="0"/>
                      <a:ext cx="731520" cy="853135"/>
                    </a:xfrm>
                    <a:prstGeom prst="rect">
                      <a:avLst/>
                    </a:prstGeom>
                    <a:noFill/>
                    <a:ln w="9525">
                      <a:noFill/>
                      <a:headEnd/>
                      <a:tailEnd/>
                    </a:ln>
                  </pic:spPr>
                </pic:pic>
              </a:graphicData>
            </a:graphic>
          </wp:inline>
        </w:drawing>
      </w:r>
      <w:r>
        <w:t xml:space="preserve"> </w:t>
      </w:r>
      <w:r>
        <w:rPr>
          <w:i/>
          <w:iCs/>
        </w:rPr>
        <w:t xml:space="preserve">Admitted 1845 (annexed as a republic; retained its own public domain) - Grant: none from Congress – Texas kept about 175 million acres and dedicated half the public domain to schools - Permanent School Fund about </w:t>
      </w:r>
      <w:r>
        <w:rPr>
          <w:b/>
          <w:bCs/>
          <w:i/>
          <w:iCs/>
        </w:rPr>
        <w:t>$60.6 billion net</w:t>
      </w:r>
      <w:r>
        <w:rPr>
          <w:i/>
          <w:iCs/>
        </w:rPr>
        <w:t xml:space="preserve"> [as of Aug. 31, 2025] - Trustee: an elected State Board of Education and an elected Land Commissioner - Verdict: Built a trust with no federal land (and built the biggest one of all).</w:t>
      </w:r>
    </w:p>
    <w:p w14:paraId="5192A321" w14:textId="77777777" w:rsidR="00DC02F5" w:rsidRDefault="00000000">
      <w:pPr>
        <w:pStyle w:val="BodyText"/>
      </w:pPr>
      <w:r>
        <w:rPr>
          <w:b/>
          <w:bCs/>
        </w:rPr>
        <w:t>Telling fact:</w:t>
      </w:r>
      <w:r>
        <w:t xml:space="preserve"> Texas is the one state that refused the federal school-land deal entirely — it walked into the Union owning its own ground — and it now runs the largest education endowment in the United States, larger than any private university’s.</w:t>
      </w:r>
    </w:p>
    <w:p w14:paraId="0189072D" w14:textId="77777777" w:rsidR="00DC02F5" w:rsidRDefault="00000000">
      <w:pPr>
        <w:pStyle w:val="BodyText"/>
      </w:pPr>
      <w:r>
        <w:t>Every other public-land state got its school endowment the same way: the federal government acquired the territory, surveyed it, and granted specified sections back to the new state. The United States was the settlor; the state was the trustee. Texas did none of that. It had been an independent republic for nine years, recognized by the United States, Britain, France, and the Netherlands, and when it joined the Union in 1845 the annexation deal let it keep “all the vacant and unappropriated lands lying within its limits” — roughly 175 million acres — to pay its own debts and then dispose of as it saw fit. No section 16, no section 36, no “in trust” clause from Congress. The federal government acquired no public land in Texas at all.</w:t>
      </w:r>
    </w:p>
    <w:p w14:paraId="00E50931" w14:textId="77777777" w:rsidR="00DC02F5" w:rsidRDefault="00000000">
      <w:pPr>
        <w:pStyle w:val="BodyText"/>
      </w:pPr>
      <w:r>
        <w:t xml:space="preserve">The seed money, oddly, was federal anyway: the Compromise of 1850 paid Texas $10 million in U.S. bonds to drop its claims on land out toward New Mexico and Wyoming, and in 1854 the legislature parked $2 million of those bonds in a “Special School Fund.” The real engine, though, was written into the 1876 Constitution, which dedicated “one </w:t>
      </w:r>
      <w:r>
        <w:lastRenderedPageBreak/>
        <w:t>half of the public domain of the State” to a Permanent School Fund — the largest single dedication of public land to schools in the nation’s history — and reserved to the fund the alternate sections of any land granted to railroads, producing the checkerboard of state-owned ground across West Texas and the Panhandle. Then the geology did the rest. Spindletop in 1901, the Permian Basin, and a 1939 law that handed the fund the mineral estate under every Texas riverbed, lake, and tideland turned a land trust into a mineral trust. When the U.S. Supreme Court ruled in 1960 that Texas alone among Gulf states could claim submerged land three marine leagues out — a quirk of its republic-era boundary — the offshore royalties flowed straight to the schools.</w:t>
      </w:r>
    </w:p>
    <w:p w14:paraId="6D9E46FC" w14:textId="77777777" w:rsidR="00DC02F5" w:rsidRDefault="00000000">
      <w:pPr>
        <w:pStyle w:val="BodyText"/>
      </w:pPr>
      <w:r>
        <w:t>Texas guards all this with two separately elected fiduciaries: a fifteen-member State Board of Education over the financial assets and a single Land Commissioner over the land and minerals — the only state to split the trusteeship between two elected constitutional officers. A 2021 reform created a Permanent School Fund Corporation to unify the investing, but the dual-trustee structure survives in the constitution. The fund is even used to guarantee local school-district bonds, lending its AAA credit so districts borrow cheaply — a use no other state’s endowment matches at this scale.</w:t>
      </w:r>
    </w:p>
    <w:p w14:paraId="6C1620FF" w14:textId="77777777" w:rsidR="00DC02F5" w:rsidRDefault="00000000">
      <w:pPr>
        <w:pStyle w:val="BodyText"/>
      </w:pPr>
      <w:r>
        <w:rPr>
          <w:b/>
          <w:bCs/>
        </w:rPr>
        <w:t>Then→now:</w:t>
      </w:r>
      <w:r>
        <w:t xml:space="preserve"> A republic’s 175 million acres → a Permanent School Fund of roughly </w:t>
      </w:r>
      <w:r>
        <w:rPr>
          <w:b/>
          <w:bCs/>
        </w:rPr>
        <w:t>$60.6 billion</w:t>
      </w:r>
      <w:r>
        <w:t xml:space="preserve"> [as of Aug. 31, 2025], with billions distributed to the Available School Fund each biennium.</w:t>
      </w:r>
    </w:p>
    <w:p w14:paraId="27FCDA70" w14:textId="77777777" w:rsidR="00DC02F5" w:rsidRDefault="00000000">
      <w:pPr>
        <w:pStyle w:val="BodyText"/>
      </w:pPr>
      <w:r>
        <w:rPr>
          <w:b/>
          <w:bCs/>
        </w:rPr>
        <w:t>Lesson:</w:t>
      </w:r>
      <w:r>
        <w:t xml:space="preserve"> A school trust does not require a federal grant. It requires a settlor with land, a constitution that dedicates it, and the discipline to leave the principal alone. State text can do everything the federal compact did elsewhere. (See Ch. 2, “Trust Without the Land.”)</w:t>
      </w:r>
    </w:p>
    <w:p w14:paraId="2A54C1A5" w14:textId="77777777" w:rsidR="00DC02F5" w:rsidRDefault="00000000">
      <w:pPr>
        <w:pStyle w:val="BodyText"/>
      </w:pPr>
      <w:r>
        <w:rPr>
          <w:i/>
          <w:iCs/>
        </w:rPr>
        <w:t>Sources/notes:</w:t>
      </w:r>
      <w:r>
        <w:t xml:space="preserve"> Joint Resolution for Annexing Texas (1845); Compromise of 1850; Tex. Const. art. VII secs. 1-5; </w:t>
      </w:r>
      <w:r>
        <w:rPr>
          <w:i/>
          <w:iCs/>
        </w:rPr>
        <w:t>United States v. Louisiana</w:t>
      </w:r>
      <w:r>
        <w:t xml:space="preserve"> (1960); </w:t>
      </w:r>
      <w:r>
        <w:rPr>
          <w:i/>
          <w:iCs/>
        </w:rPr>
        <w:lastRenderedPageBreak/>
        <w:t>Edgewood ISD v. Kirby</w:t>
      </w:r>
      <w:r>
        <w:t xml:space="preserve"> (1989); </w:t>
      </w:r>
      <w:r>
        <w:rPr>
          <w:i/>
          <w:iCs/>
        </w:rPr>
        <w:t>Morath</w:t>
      </w:r>
      <w:r>
        <w:t xml:space="preserve"> (2016). Present-day corpus stated as about $60.6B net [as of Aug. 31, 2025], per the Texas Permanent School Fund Corporation FY2025 Annual Comprehensive Financial Report and TEA disclosure. The </w:t>
      </w:r>
      <w:r>
        <w:rPr>
          <w:i/>
          <w:iCs/>
        </w:rPr>
        <w:t>Edgewood</w:t>
      </w:r>
      <w:r>
        <w:t xml:space="preserve"> line is an adequacy duty, not a trust-corpus case, and is kept distinct.</w:t>
      </w:r>
    </w:p>
    <w:p w14:paraId="1095B14F" w14:textId="77777777" w:rsidR="00DC02F5" w:rsidRDefault="00000000">
      <w:r>
        <w:pict w14:anchorId="2DCF5D0D">
          <v:rect id="_x0000_i1053" style="width:0;height:1.5pt" o:hralign="center" o:hrstd="t" o:hr="t"/>
        </w:pict>
      </w:r>
    </w:p>
    <w:p w14:paraId="59BFD96C" w14:textId="77777777" w:rsidR="00DC02F5" w:rsidRDefault="00000000">
      <w:r>
        <w:br w:type="page"/>
      </w:r>
    </w:p>
    <w:p w14:paraId="3004E724" w14:textId="77777777" w:rsidR="00DC02F5" w:rsidRDefault="00000000">
      <w:pPr>
        <w:pStyle w:val="Heading2"/>
      </w:pPr>
      <w:bookmarkStart w:id="127" w:name="utah---the-fall-and-the-rebuilding"/>
      <w:bookmarkStart w:id="128" w:name="_Toc231774260"/>
      <w:bookmarkEnd w:id="125"/>
      <w:r>
        <w:lastRenderedPageBreak/>
        <w:t>Utah - The Fall and the Rebuilding</w:t>
      </w:r>
      <w:bookmarkEnd w:id="128"/>
    </w:p>
    <w:p w14:paraId="472420ED" w14:textId="77777777" w:rsidR="00DC02F5" w:rsidRDefault="00000000">
      <w:r>
        <w:rPr>
          <w:i/>
          <w:iCs/>
        </w:rPr>
        <w:t xml:space="preserve">Admitted 1896 (first 4-section grant: sections 2, 16, 32, 36) - Grant: about 5.8 million school acres, about 7.5 million across all trusts - Permanent funds totaling about </w:t>
      </w:r>
      <w:r>
        <w:rPr>
          <w:b/>
          <w:bCs/>
          <w:i/>
          <w:iCs/>
        </w:rPr>
        <w:t>$3.3 billion</w:t>
      </w:r>
      <w:r>
        <w:rPr>
          <w:i/>
          <w:iCs/>
        </w:rPr>
        <w:t xml:space="preserve"> in FY2025 official performance reporting - Trustee: SITLA (land) + SITFO (investments), statutory - Verdict: Lost and recovered.</w:t>
      </w:r>
    </w:p>
    <w:p w14:paraId="500FFD90" w14:textId="77777777" w:rsidR="00DC02F5" w:rsidRDefault="00000000">
      <w:pPr>
        <w:pStyle w:val="BodyText"/>
      </w:pPr>
      <w:r>
        <w:rPr>
          <w:b/>
          <w:bCs/>
        </w:rPr>
        <w:t>Telling fact:</w:t>
      </w:r>
      <w:r>
        <w:t xml:space="preserve"> In a single year, 1983, Utah drained roughly two-thirds of the permanent school fund - and then an education coalition spent the next decade building one of the strongest trust recoveries in the West.</w:t>
      </w:r>
    </w:p>
    <w:p w14:paraId="107F5282" w14:textId="77777777" w:rsidR="00DC02F5" w:rsidRDefault="00000000">
      <w:pPr>
        <w:pStyle w:val="BodyText"/>
      </w:pPr>
      <w:r>
        <w:t>Utah got the strongest federal grant Congress had yet written: four sections per township, plus explicit permanent-fund protection. Its 1896 constitution went further, pledging the state’s own treasury to guarantee the fund “against loss or diversion.” A convention delegate named Eichnor insisted on that guaranty over objections that it was redundant. The events of the 1980s proved him right.</w:t>
      </w:r>
    </w:p>
    <w:p w14:paraId="7F8D0CDB" w14:textId="77777777" w:rsidR="00DC02F5" w:rsidRDefault="00000000">
      <w:pPr>
        <w:pStyle w:val="BodyText"/>
      </w:pPr>
      <w:r>
        <w:t>For its first eight decades the trust drifted. By the 1930s more than half the original acreage had been sold, often cheaply. And when the 1983 raid came, the state liquidated trust investments at a loss to do it — a second injury layered on the first. The crisis that came next is documented beyond doubt.</w:t>
      </w:r>
    </w:p>
    <w:p w14:paraId="61332046" w14:textId="77777777" w:rsidR="00DC02F5" w:rsidRDefault="00000000">
      <w:pPr>
        <w:pStyle w:val="BodyText"/>
      </w:pPr>
      <w:r>
        <w:t xml:space="preserve">In </w:t>
      </w:r>
      <w:r>
        <w:rPr>
          <w:i/>
          <w:iCs/>
        </w:rPr>
        <w:t>Jensen v. Dinehart</w:t>
      </w:r>
      <w:r>
        <w:t xml:space="preserve"> (1982), the Utah Supreme Court majority ruled for the State Auditor and held that mineral proceeds from school sections could be placed in the expendable Uniform School Fund. Justice Dallin Oaks dissented in part. His dissent drew the line that has since been vindicated: lands received under the 1894 Enabling Act were held in trust, and their mineral proceeds belonged in the permanent fund. The majority’s decision opened the door the trust needed shut. The federal government had also tried to claim the uranium beneath the school sections as its own; the states fought that claim and won, keeping the mineral rights that came with the grant. In the 1983 session, with Utah </w:t>
      </w:r>
      <w:r>
        <w:lastRenderedPageBreak/>
        <w:t>in recession, the legislature withdrew about $37.5 million from the State School Fund. The corpus fell from about $53.5 million to about $18.6 million. Governor Scott Matheson stood behind the raid, and Speaker Norman Bangerter’s threats to the court are remembered as part of the episode; the lesson the recovery taught is the one this book keeps returning to — the trust always needs the stronger attorney, and the public must swamp the governor when he calls to pressure a court.</w:t>
      </w:r>
    </w:p>
    <w:p w14:paraId="0169FADF" w14:textId="77777777" w:rsidR="00DC02F5" w:rsidRDefault="00000000">
      <w:pPr>
        <w:pStyle w:val="BodyText"/>
      </w:pPr>
      <w:r>
        <w:t>That was the fall. The rebuilding came from a constituency. The recovery was led by Margaret Bird and a broad education coalition: the State Board of Education, the Utah Education Association, school boards, principals, parent organizations, and legislators, especially Representative Mel Brown. The coalition had already fought Governor Scott Matheson’s Project BOLD, which concealed a proposal to rewrite the Enabling Act so the grant would run to the state rather than for the schools. The reform that followed created SITLA in 1994 as an independent fiduciary agency with a statutory duty of undivided loyalty. Later came SITFO for investments, a trust-lands advocacy office, and the School LAND Trust Program, which sends money visibly to schools through parent-majority councils.</w:t>
      </w:r>
    </w:p>
    <w:p w14:paraId="59C9DD88" w14:textId="77777777" w:rsidR="00DC02F5" w:rsidRDefault="00000000">
      <w:pPr>
        <w:pStyle w:val="BodyText"/>
      </w:pPr>
      <w:r>
        <w:rPr>
          <w:b/>
          <w:bCs/>
        </w:rPr>
        <w:t>Then-&gt;now:</w:t>
      </w:r>
      <w:r>
        <w:t xml:space="preserve"> A corpus drained to about $18.6 million in 1983 -&gt; permanent funds totaling about </w:t>
      </w:r>
      <w:r>
        <w:rPr>
          <w:b/>
          <w:bCs/>
        </w:rPr>
        <w:t>$3.3 billion</w:t>
      </w:r>
      <w:r>
        <w:t xml:space="preserve"> in FY2025 official performance reporting, with FY2025 distributions over </w:t>
      </w:r>
      <w:r>
        <w:rPr>
          <w:b/>
          <w:bCs/>
        </w:rPr>
        <w:t>$118 million</w:t>
      </w:r>
      <w:r>
        <w:t xml:space="preserve">, including over </w:t>
      </w:r>
      <w:r>
        <w:rPr>
          <w:b/>
          <w:bCs/>
        </w:rPr>
        <w:t>$111 million</w:t>
      </w:r>
      <w:r>
        <w:t xml:space="preserve"> to K-12 public education.</w:t>
      </w:r>
    </w:p>
    <w:p w14:paraId="30447DCE" w14:textId="77777777" w:rsidR="00DC02F5" w:rsidRDefault="00000000">
      <w:pPr>
        <w:pStyle w:val="BodyText"/>
      </w:pPr>
      <w:r>
        <w:rPr>
          <w:b/>
          <w:bCs/>
        </w:rPr>
        <w:t>Lesson:</w:t>
      </w:r>
      <w:r>
        <w:t xml:space="preserve"> Utah is both warning and proof. Strong language did not stop the raid when no constituency could stop it. A visible, organized beneficiary public helped rebuild the trust and made the next raid harder. (See Ch. 8.)</w:t>
      </w:r>
    </w:p>
    <w:p w14:paraId="4E9B0D25" w14:textId="77777777" w:rsidR="00DC02F5" w:rsidRDefault="00000000">
      <w:pPr>
        <w:pStyle w:val="BodyText"/>
      </w:pPr>
      <w:r>
        <w:rPr>
          <w:i/>
          <w:iCs/>
        </w:rPr>
        <w:t>Sources/notes:</w:t>
      </w:r>
      <w:r>
        <w:t xml:space="preserve"> </w:t>
      </w:r>
      <w:r>
        <w:rPr>
          <w:i/>
          <w:iCs/>
        </w:rPr>
        <w:t>Jensen v. Dinehart</w:t>
      </w:r>
      <w:r>
        <w:t xml:space="preserve">, 645 P.2d 32 (Utah 1982); Utah Enabling Act of 1894, sec. 6; Utah Const. art. X sec. 5(2)(e); Title 53C (SITLA, 1994); Title 53D (SITFO 2014, LTPAO 2018); School LAND Trust </w:t>
      </w:r>
      <w:r>
        <w:lastRenderedPageBreak/>
        <w:t xml:space="preserve">Program (1999); Amendment B (2024); Utah Trust Lands FY2025 performance reporting. On </w:t>
      </w:r>
      <w:r>
        <w:rPr>
          <w:i/>
          <w:iCs/>
        </w:rPr>
        <w:t>Jensen v. Dinehart</w:t>
      </w:r>
      <w:r>
        <w:t>: the majority allowed Uniform School Fund treatment for mineral proceeds while Justice Oaks dissented for Enabling Act lands — a trust loss, not a win. Recovery led by Margaret Bird and the education coalition, with the PTA an essential partner. The Project BOLD documentary account remains to be pinned to the archive packet. A further claim that sale proceeds did not always reach the permanent fund is unproved and is omitted here.</w:t>
      </w:r>
    </w:p>
    <w:p w14:paraId="2D541EF5" w14:textId="77777777" w:rsidR="00DC02F5" w:rsidRDefault="00000000">
      <w:r>
        <w:pict w14:anchorId="073179B1">
          <v:rect id="_x0000_i1054" style="width:0;height:1.5pt" o:hralign="center" o:hrstd="t" o:hr="t"/>
        </w:pict>
      </w:r>
    </w:p>
    <w:p w14:paraId="0F3460AB" w14:textId="77777777" w:rsidR="00DC02F5" w:rsidRDefault="00000000">
      <w:pPr>
        <w:pStyle w:val="Heading3"/>
      </w:pPr>
      <w:bookmarkStart w:id="129" w:name="Xd7f81f87d785ad3381212c065af092376914e75"/>
      <w:r>
        <w:t>The last fifty years: fall, reform, and a fresh test</w:t>
      </w:r>
    </w:p>
    <w:p w14:paraId="676D346B" w14:textId="77777777" w:rsidR="00DC02F5" w:rsidRDefault="00000000">
      <w:r>
        <w:rPr>
          <w:noProof/>
        </w:rPr>
        <w:drawing>
          <wp:inline distT="0" distB="0" distL="0" distR="0" wp14:anchorId="10163719" wp14:editId="3F4C6B9C">
            <wp:extent cx="731520" cy="853135"/>
            <wp:effectExtent l="0" t="0" r="0" b="0"/>
            <wp:docPr id="176" name="Picture" descr="QRFLOAT"/>
            <wp:cNvGraphicFramePr/>
            <a:graphic xmlns:a="http://schemas.openxmlformats.org/drawingml/2006/main">
              <a:graphicData uri="http://schemas.openxmlformats.org/drawingml/2006/picture">
                <pic:pic xmlns:pic="http://schemas.openxmlformats.org/drawingml/2006/picture">
                  <pic:nvPicPr>
                    <pic:cNvPr id="177" name="Picture" descr="C:/Users/drdav/My%20Drive/Claude%20Cowork/_tools/_web_cache/qr_us-ut_f14e9045f694_1200x_q90.jpg"/>
                    <pic:cNvPicPr>
                      <a:picLocks noChangeAspect="1" noChangeArrowheads="1"/>
                    </pic:cNvPicPr>
                  </pic:nvPicPr>
                  <pic:blipFill>
                    <a:blip r:embed="rId40"/>
                    <a:stretch>
                      <a:fillRect/>
                    </a:stretch>
                  </pic:blipFill>
                  <pic:spPr bwMode="auto">
                    <a:xfrm>
                      <a:off x="0" y="0"/>
                      <a:ext cx="731520" cy="853135"/>
                    </a:xfrm>
                    <a:prstGeom prst="rect">
                      <a:avLst/>
                    </a:prstGeom>
                    <a:noFill/>
                    <a:ln w="9525">
                      <a:noFill/>
                      <a:headEnd/>
                      <a:tailEnd/>
                    </a:ln>
                  </pic:spPr>
                </pic:pic>
              </a:graphicData>
            </a:graphic>
          </wp:inline>
        </w:drawing>
      </w:r>
      <w:r>
        <w:t xml:space="preserve"> Utah is this book’s proof that a broken trust can be rebuilt - and its warning that the work is never finished. For most of a century Utah managed its school lands the way many western states did: as a source of cheap favors, leased and sold below value, with the schools as an afterthought. The turn came from inside. Over some fifteen years beginning in the 1980s, an education coalition led by Margaret Bird assembled the evidence and the political will to reform the system - the State Board of Education, the Utah Education Association under Lily Eskelsen, the school boards, parent organizations, and Representative Mel Brown, who carried the reform when it counted. Bird spent the better part of those fifteen years compiling the data that made the case.</w:t>
      </w:r>
    </w:p>
    <w:p w14:paraId="6380E4D4" w14:textId="77777777" w:rsidR="00DC02F5" w:rsidRDefault="00000000">
      <w:pPr>
        <w:pStyle w:val="BodyText"/>
      </w:pPr>
      <w:r>
        <w:t xml:space="preserve">Two things broke the logjam. The first was public pressure around federal monument designations and school sections trapped inside protected boundaries. The 1998 Utah Schools and Lands Exchange Act / Grand Staircase exchange record included a $50 million cash </w:t>
      </w:r>
      <w:r>
        <w:lastRenderedPageBreak/>
        <w:t>component for the schools. The second was structural and lasting: in 1994 Utah created an independent trust-lands administration with a single fiduciary mandate, walled off from ordinary budget pressure. Freed to manage for the beneficiaries alone, the permanent fund grew into the billions, and Utah became a model other states cite.</w:t>
      </w:r>
    </w:p>
    <w:p w14:paraId="62D791CC" w14:textId="77777777" w:rsidR="00DC02F5" w:rsidRDefault="00000000">
      <w:pPr>
        <w:pStyle w:val="BodyText"/>
      </w:pPr>
      <w:r>
        <w:t>Which is what makes Utah’s present moment the right place to end the modern story. As this book goes to press, public advocacy materials report that Utah’s trust-lands board is preparing to sell a 50,608-acre block of school land in the Book Cliffs - not at open auction, but directly to a sister state agency under 2024 H.B. 262. Public appropriations records trace the purchase money to a $50 million legislative appropriation earmarked for the land purchase from the Trust Lands Administration; the complete official transaction record was still being assembled as this book went to press. Whether Utah stays in the honorable column is, right now, an open question - which is the truest lesson of all: the duty does not expire, the temptation does not end, and the only thing that ever protected the gift was someone willing to watch.</w:t>
      </w:r>
    </w:p>
    <w:p w14:paraId="030137D3" w14:textId="77777777" w:rsidR="00DC02F5" w:rsidRDefault="00000000">
      <w:r>
        <w:br w:type="page"/>
      </w:r>
    </w:p>
    <w:p w14:paraId="60C73EAA" w14:textId="77777777" w:rsidR="00DC02F5" w:rsidRDefault="00000000">
      <w:pPr>
        <w:pStyle w:val="Heading2"/>
      </w:pPr>
      <w:bookmarkStart w:id="130" w:name="X9ba134c504c27359b7ddba47a23989927ccc424"/>
      <w:bookmarkStart w:id="131" w:name="_Toc231774261"/>
      <w:bookmarkEnd w:id="127"/>
      <w:bookmarkEnd w:id="129"/>
      <w:r>
        <w:lastRenderedPageBreak/>
        <w:t>Washington - The State That Wrote the Enforcement In</w:t>
      </w:r>
      <w:bookmarkEnd w:id="131"/>
    </w:p>
    <w:p w14:paraId="56BBF59F" w14:textId="77777777" w:rsidR="00DC02F5" w:rsidRDefault="00000000">
      <w:r>
        <w:rPr>
          <w:noProof/>
        </w:rPr>
        <w:drawing>
          <wp:inline distT="0" distB="0" distL="0" distR="0" wp14:anchorId="71C91BFB" wp14:editId="4B4363FE">
            <wp:extent cx="731520" cy="853135"/>
            <wp:effectExtent l="0" t="0" r="0" b="0"/>
            <wp:docPr id="181" name="Picture" descr="QRFLOAT"/>
            <wp:cNvGraphicFramePr/>
            <a:graphic xmlns:a="http://schemas.openxmlformats.org/drawingml/2006/main">
              <a:graphicData uri="http://schemas.openxmlformats.org/drawingml/2006/picture">
                <pic:pic xmlns:pic="http://schemas.openxmlformats.org/drawingml/2006/picture">
                  <pic:nvPicPr>
                    <pic:cNvPr id="182" name="Picture" descr="C:/Users/drdav/My%20Drive/Claude%20Cowork/_tools/_web_cache/qr_us-wa_38c978bc0e5e_1200x_q90.jpg"/>
                    <pic:cNvPicPr>
                      <a:picLocks noChangeAspect="1" noChangeArrowheads="1"/>
                    </pic:cNvPicPr>
                  </pic:nvPicPr>
                  <pic:blipFill>
                    <a:blip r:embed="rId41"/>
                    <a:stretch>
                      <a:fillRect/>
                    </a:stretch>
                  </pic:blipFill>
                  <pic:spPr bwMode="auto">
                    <a:xfrm>
                      <a:off x="0" y="0"/>
                      <a:ext cx="731520" cy="853135"/>
                    </a:xfrm>
                    <a:prstGeom prst="rect">
                      <a:avLst/>
                    </a:prstGeom>
                    <a:noFill/>
                    <a:ln w="9525">
                      <a:noFill/>
                      <a:headEnd/>
                      <a:tailEnd/>
                    </a:ln>
                  </pic:spPr>
                </pic:pic>
              </a:graphicData>
            </a:graphic>
          </wp:inline>
        </w:drawing>
      </w:r>
      <w:r>
        <w:t xml:space="preserve"> </w:t>
      </w:r>
      <w:r>
        <w:rPr>
          <w:i/>
          <w:iCs/>
        </w:rPr>
        <w:t>Admitted 1889 (Omnibus quartet) - Grant: 2 sections (16 &amp; 36), about 2.38 million original acres - about 3 million acres of trust land today, about 1.8 million in the Common School Trust - Trustee: elected Commissioner of Public Lands (heads DNR) - Verdict: Kept faith.</w:t>
      </w:r>
    </w:p>
    <w:p w14:paraId="03CABAE5" w14:textId="77777777" w:rsidR="00DC02F5" w:rsidRDefault="00000000">
      <w:pPr>
        <w:pStyle w:val="BodyText"/>
      </w:pPr>
      <w:r>
        <w:rPr>
          <w:b/>
          <w:bCs/>
        </w:rPr>
        <w:t>Telling fact:</w:t>
      </w:r>
      <w:r>
        <w:t xml:space="preserve"> Washington’s constitution made trust protection visible: granted lands are held in trust, cannot be disposed of without full market value, and are managed by an elected Commissioner of Public Lands.</w:t>
      </w:r>
    </w:p>
    <w:p w14:paraId="13708669" w14:textId="77777777" w:rsidR="00DC02F5" w:rsidRDefault="00000000">
      <w:pPr>
        <w:pStyle w:val="BodyText"/>
      </w:pPr>
      <w:r>
        <w:t>Washington entered under the 1889 Omnibus Act with the Dakotas and Montana. The federal act granted sections 16 and 36 for common schools and required protective terms around sale and disposition. What set Washington apart was what the state wrote around that grant before statehood. Article IX, sec. 1 opens with the famous education sentence: “It is the paramount duty of the state to make ample provision for the education of all children.” Article IX, sec. 3 locks the permanent common school fund. Article XVI, the School and Granted Lands article, declares that public lands granted to the state are held in trust and cannot be disposed of unless full market value is paid or safely secured. The framers also chose a single elected Commissioner of Public Lands, making the trustee visible in a way a board often is not.</w:t>
      </w:r>
    </w:p>
    <w:p w14:paraId="5EE12BDB" w14:textId="77777777" w:rsidR="00DC02F5" w:rsidRDefault="00000000">
      <w:pPr>
        <w:pStyle w:val="BodyText"/>
      </w:pPr>
      <w:r>
        <w:t xml:space="preserve">The trust-land doctrine that grew out of Article XVI is among the best-developed in the country. In </w:t>
      </w:r>
      <w:r>
        <w:rPr>
          <w:i/>
          <w:iCs/>
        </w:rPr>
        <w:t>United States v. 111.2 Acres</w:t>
      </w:r>
      <w:r>
        <w:t xml:space="preserve"> (1968), a federal court told the Bureau of Reclamation it could not take an easement across Washington school land for free - the trust was “real, </w:t>
      </w:r>
      <w:r>
        <w:lastRenderedPageBreak/>
        <w:t xml:space="preserve">not illusory,” and even the United States, having created the trust, had to pay full value. In </w:t>
      </w:r>
      <w:r>
        <w:rPr>
          <w:i/>
          <w:iCs/>
        </w:rPr>
        <w:t>County of Skamania v. State</w:t>
      </w:r>
      <w:r>
        <w:t xml:space="preserve"> (1984), the state supreme court struck down a timber-contract bailout that shifted private losses onto schoolchildren. As recently as 2022, in </w:t>
      </w:r>
      <w:r>
        <w:rPr>
          <w:i/>
          <w:iCs/>
        </w:rPr>
        <w:t>Conservation Northwest</w:t>
      </w:r>
      <w:r>
        <w:t>, the court held that the trust runs to the enumerated school and institutional beneficiaries, not to the general public, and that the Commissioner has real management discretion.</w:t>
      </w:r>
    </w:p>
    <w:p w14:paraId="7F5C55DC" w14:textId="77777777" w:rsidR="00DC02F5" w:rsidRDefault="00000000">
      <w:pPr>
        <w:pStyle w:val="BodyText"/>
      </w:pPr>
      <w:r>
        <w:t xml:space="preserve">Running on a separate track is Washington’s far more famous funding litigation. </w:t>
      </w:r>
      <w:r>
        <w:rPr>
          <w:i/>
          <w:iCs/>
        </w:rPr>
        <w:t>Seattle School District No. 1</w:t>
      </w:r>
      <w:r>
        <w:t xml:space="preserve"> (1978) and </w:t>
      </w:r>
      <w:r>
        <w:rPr>
          <w:i/>
          <w:iCs/>
        </w:rPr>
        <w:t>McCleary v. State</w:t>
      </w:r>
      <w:r>
        <w:t xml:space="preserve"> (2012) concern the paramount-duty school-funding clause, not the trust-land corpus. The two doctrines share a constitution; they should not be confused.</w:t>
      </w:r>
    </w:p>
    <w:p w14:paraId="1456C8F1" w14:textId="77777777" w:rsidR="00DC02F5" w:rsidRDefault="00000000">
      <w:pPr>
        <w:pStyle w:val="BodyText"/>
      </w:pPr>
      <w:r>
        <w:rPr>
          <w:b/>
          <w:bCs/>
        </w:rPr>
        <w:t>Then-&gt;now:</w:t>
      </w:r>
      <w:r>
        <w:t xml:space="preserve"> A federal school grant reinforced by state constitutional trust text -&gt; a trust enforced against timber companies and the federal government alike.</w:t>
      </w:r>
    </w:p>
    <w:p w14:paraId="60678E4E" w14:textId="77777777" w:rsidR="00DC02F5" w:rsidRDefault="00000000">
      <w:pPr>
        <w:pStyle w:val="BodyText"/>
      </w:pPr>
      <w:r>
        <w:rPr>
          <w:b/>
          <w:bCs/>
        </w:rPr>
        <w:t>Lesson:</w:t>
      </w:r>
      <w:r>
        <w:t xml:space="preserve"> Washington’s strength is not that another trust had to be invented. Its strength is that the state made the trustee, value rule, and enforcement path visible. (See Ch. 8.)</w:t>
      </w:r>
    </w:p>
    <w:p w14:paraId="7FCB2E7C" w14:textId="77777777" w:rsidR="00DC02F5" w:rsidRDefault="00000000">
      <w:pPr>
        <w:pStyle w:val="BodyText"/>
      </w:pPr>
      <w:r>
        <w:rPr>
          <w:i/>
          <w:iCs/>
        </w:rPr>
        <w:t>Sources/notes:</w:t>
      </w:r>
      <w:r>
        <w:t xml:space="preserve"> Omnibus Enabling Act (1889) secs. 10-11; Wash. Const. art. IX secs. 1, 3, art. XVI sec. 1; </w:t>
      </w:r>
      <w:r>
        <w:rPr>
          <w:i/>
          <w:iCs/>
        </w:rPr>
        <w:t>United States v. 111.2 Acres</w:t>
      </w:r>
      <w:r>
        <w:t xml:space="preserve"> (1968); </w:t>
      </w:r>
      <w:r>
        <w:rPr>
          <w:i/>
          <w:iCs/>
        </w:rPr>
        <w:t>County of Skamania v. State</w:t>
      </w:r>
      <w:r>
        <w:t xml:space="preserve"> (1984); </w:t>
      </w:r>
      <w:r>
        <w:rPr>
          <w:i/>
          <w:iCs/>
        </w:rPr>
        <w:t>Conservation Northwest</w:t>
      </w:r>
      <w:r>
        <w:t xml:space="preserve"> (2022); </w:t>
      </w:r>
      <w:r>
        <w:rPr>
          <w:i/>
          <w:iCs/>
        </w:rPr>
        <w:t>Seattle School District No. 1</w:t>
      </w:r>
      <w:r>
        <w:t xml:space="preserve"> (1978); </w:t>
      </w:r>
      <w:r>
        <w:rPr>
          <w:i/>
          <w:iCs/>
        </w:rPr>
        <w:t>McCleary v. State</w:t>
      </w:r>
      <w:r>
        <w:t xml:space="preserve"> (2012). The </w:t>
      </w:r>
      <w:r>
        <w:rPr>
          <w:i/>
          <w:iCs/>
        </w:rPr>
        <w:t>McCleary</w:t>
      </w:r>
      <w:r>
        <w:t xml:space="preserve"> “paramount duty” line is a school-funding doctrine, not a trust-lands doctrine, and is distinguished here. </w:t>
      </w:r>
      <w:r>
        <w:rPr>
          <w:i/>
          <w:iCs/>
        </w:rPr>
        <w:t>Skamania</w:t>
      </w:r>
      <w:r>
        <w:t xml:space="preserve"> enforced undivided loyalty.</w:t>
      </w:r>
    </w:p>
    <w:p w14:paraId="30C33752" w14:textId="77777777" w:rsidR="00DC02F5" w:rsidRDefault="00000000">
      <w:r>
        <w:pict w14:anchorId="735FF231">
          <v:rect id="_x0000_i1055" style="width:0;height:1.5pt" o:hralign="center" o:hrstd="t" o:hr="t"/>
        </w:pict>
      </w:r>
    </w:p>
    <w:p w14:paraId="4C2E0A66" w14:textId="77777777" w:rsidR="00DC02F5" w:rsidRDefault="00000000">
      <w:r>
        <w:br w:type="page"/>
      </w:r>
    </w:p>
    <w:p w14:paraId="1D51BB15" w14:textId="77777777" w:rsidR="00DC02F5" w:rsidRDefault="00000000">
      <w:pPr>
        <w:pStyle w:val="Heading2"/>
      </w:pPr>
      <w:bookmarkStart w:id="132" w:name="Xcf339999e7e18dde0bdde25b80d10f3431dd343"/>
      <w:bookmarkStart w:id="133" w:name="_Toc231774262"/>
      <w:bookmarkEnd w:id="130"/>
      <w:r>
        <w:lastRenderedPageBreak/>
        <w:t>Wisconsin — The Honest Clerk Who Lent the Children’s Money Cheap</w:t>
      </w:r>
      <w:bookmarkEnd w:id="133"/>
    </w:p>
    <w:p w14:paraId="6382C7CE" w14:textId="77777777" w:rsidR="00DC02F5" w:rsidRDefault="00000000">
      <w:r>
        <w:rPr>
          <w:noProof/>
        </w:rPr>
        <w:drawing>
          <wp:inline distT="0" distB="0" distL="0" distR="0" wp14:anchorId="42DB49B9" wp14:editId="71A804DD">
            <wp:extent cx="731520" cy="853135"/>
            <wp:effectExtent l="0" t="0" r="0" b="0"/>
            <wp:docPr id="185" name="Picture" descr="QRFLOAT"/>
            <wp:cNvGraphicFramePr/>
            <a:graphic xmlns:a="http://schemas.openxmlformats.org/drawingml/2006/main">
              <a:graphicData uri="http://schemas.openxmlformats.org/drawingml/2006/picture">
                <pic:pic xmlns:pic="http://schemas.openxmlformats.org/drawingml/2006/picture">
                  <pic:nvPicPr>
                    <pic:cNvPr id="186" name="Picture" descr="C:/Users/drdav/My%20Drive/Claude%20Cowork/_tools/_web_cache/qr_us-wi_41b721950592_1200x_q90.jpg"/>
                    <pic:cNvPicPr>
                      <a:picLocks noChangeAspect="1" noChangeArrowheads="1"/>
                    </pic:cNvPicPr>
                  </pic:nvPicPr>
                  <pic:blipFill>
                    <a:blip r:embed="rId42"/>
                    <a:stretch>
                      <a:fillRect/>
                    </a:stretch>
                  </pic:blipFill>
                  <pic:spPr bwMode="auto">
                    <a:xfrm>
                      <a:off x="0" y="0"/>
                      <a:ext cx="731520" cy="853135"/>
                    </a:xfrm>
                    <a:prstGeom prst="rect">
                      <a:avLst/>
                    </a:prstGeom>
                    <a:noFill/>
                    <a:ln w="9525">
                      <a:noFill/>
                      <a:headEnd/>
                      <a:tailEnd/>
                    </a:ln>
                  </pic:spPr>
                </pic:pic>
              </a:graphicData>
            </a:graphic>
          </wp:inline>
        </w:drawing>
      </w:r>
      <w:r>
        <w:t xml:space="preserve"> </w:t>
      </w:r>
      <w:r>
        <w:rPr>
          <w:i/>
          <w:iCs/>
        </w:rPr>
        <w:t xml:space="preserve">Admitted 1848 · Grant: ONE section (16 only) per township, ~1 million acres (with the broader trust grant reaching ~4 million acres across all funds) · Common School Fund principal over </w:t>
      </w:r>
      <w:r>
        <w:rPr>
          <w:b/>
          <w:bCs/>
          <w:i/>
          <w:iCs/>
        </w:rPr>
        <w:t>$1.6 billion</w:t>
      </w:r>
      <w:r>
        <w:rPr>
          <w:i/>
          <w:iCs/>
        </w:rPr>
        <w:t xml:space="preserve"> [as of Aug. 2025] · Trustee: ex-officio board of Secretary of State, Treasurer, and Attorney General · Verdict: Kept faith.</w:t>
      </w:r>
    </w:p>
    <w:p w14:paraId="2B380600" w14:textId="77777777" w:rsidR="00DC02F5" w:rsidRDefault="00000000">
      <w:pPr>
        <w:pStyle w:val="BodyText"/>
      </w:pPr>
      <w:r>
        <w:rPr>
          <w:b/>
          <w:bCs/>
        </w:rPr>
        <w:t>Telling fact:</w:t>
      </w:r>
      <w:r>
        <w:t xml:space="preserve"> Wisconsin got the same early federal grant Ohio squandered — and put the </w:t>
      </w:r>
      <w:r>
        <w:rPr>
          <w:i/>
          <w:iCs/>
        </w:rPr>
        <w:t>Attorney General</w:t>
      </w:r>
      <w:r>
        <w:t>, not the Governor, on the trustee board, the one officer most inclined to sue the state itself when it strayed. But Wisconsin does not make its lands earn; it lends the children’s money to its own towns at a fraction of the market return.</w:t>
      </w:r>
    </w:p>
    <w:p w14:paraId="1F4AF183" w14:textId="77777777" w:rsidR="00DC02F5" w:rsidRDefault="00000000">
      <w:pPr>
        <w:pStyle w:val="BodyText"/>
      </w:pPr>
      <w:r>
        <w:t>Wisconsin received the same early section-sixteen grant Ohio did: a single section per township “for the use of schools.” Ohio depleted its endowment almost to nothing. Wisconsin built a Common School Fund now past $1.6 billion that distributes a record $73.5 million a year to school libraries. The duty was the same; the state’s stewardship made the difference. (A note on the acreage: the section-16 grant covered close to one million acres, while the broader trust grant — school, university, normal, and agricultural funds combined — reached about four million; the two figures describe different things and should not be read as a contradiction.)</w:t>
      </w:r>
    </w:p>
    <w:p w14:paraId="191FFB52" w14:textId="77777777" w:rsidR="00DC02F5" w:rsidRDefault="00000000">
      <w:pPr>
        <w:pStyle w:val="BodyText"/>
      </w:pPr>
      <w:r>
        <w:t xml:space="preserve">The 1848 constitution did two structural things Ohio’s did not. Article X, § 2 made the fund’s principal irreducible — proceeds segregated, only income spent — so even when the lands were sold cheap in the 1850s, the </w:t>
      </w:r>
      <w:r>
        <w:rPr>
          <w:i/>
          <w:iCs/>
        </w:rPr>
        <w:t>cash</w:t>
      </w:r>
      <w:r>
        <w:t xml:space="preserve"> was preserved. And Article X, § 7 named the trustees in the text itself and, unusually, gave the third seat to the Attorney </w:t>
      </w:r>
      <w:r>
        <w:lastRenderedPageBreak/>
        <w:t>General rather than the Governor. The implication was that fiduciary duty, not political will, would set the standard of care, with the state’s chief legal officer permanently at the table to enforce trust law against the state’s other branches. Over 175 years that choice has paid off repeatedly.</w:t>
      </w:r>
    </w:p>
    <w:p w14:paraId="7AF92C43" w14:textId="77777777" w:rsidR="00DC02F5" w:rsidRDefault="00000000">
      <w:pPr>
        <w:pStyle w:val="BodyText"/>
      </w:pPr>
      <w:r>
        <w:t>It was needed early. The 1850s brought the “Forty Thieves” and Governor Barstow’s administration, and an 1856 committee found “gross irregularity and perhaps fraud” in school-land management. The spectacular bribery was railroad land, not school land, but the speculative climate sold school sections cheap. The fund survived because the constitution barred spending the principal. After 1871 the State Trust Fund Loan Program turned the cash corpus into a public-credit institution, lending to municipalities and school districts — without a single default in a century and a half, more than $1.1 billion in loans across FY2016–25 alone.</w:t>
      </w:r>
    </w:p>
    <w:p w14:paraId="4423FE60" w14:textId="77777777" w:rsidR="00DC02F5" w:rsidRDefault="00000000">
      <w:pPr>
        <w:pStyle w:val="BodyText"/>
      </w:pPr>
      <w:r>
        <w:t>But the loan program has a quieter face that the glowing version omits. The fund lends to local governments cheaply — a portfolio averaging roughly 3.7%, with older loans down at 2.5–3.5% — while the private-debt investments the fund could otherwise hold now pay 9 to 11%. The board’s own minutes note the opportunity cost: lending the children’s money cheap is a public good for borrowing towns, but it is a below-market return for the beneficiaries. Both things are true at once, and an honest ledger records both.</w:t>
      </w:r>
    </w:p>
    <w:p w14:paraId="33E2826A" w14:textId="77777777" w:rsidR="00DC02F5" w:rsidRDefault="00000000">
      <w:pPr>
        <w:pStyle w:val="BodyText"/>
      </w:pPr>
      <w:r>
        <w:rPr>
          <w:b/>
          <w:bCs/>
        </w:rPr>
        <w:t>Then→now:</w:t>
      </w:r>
      <w:r>
        <w:t xml:space="preserve"> The same early grant Ohio squandered → a $1.6-billion-plus fund and a record </w:t>
      </w:r>
      <w:r>
        <w:rPr>
          <w:b/>
          <w:bCs/>
        </w:rPr>
        <w:t>$73.5 million</w:t>
      </w:r>
      <w:r>
        <w:t xml:space="preserve"> school-library distribution in 2026 reporting.</w:t>
      </w:r>
    </w:p>
    <w:p w14:paraId="13B1F8AC" w14:textId="77777777" w:rsidR="00DC02F5" w:rsidRDefault="00000000">
      <w:pPr>
        <w:pStyle w:val="BodyText"/>
      </w:pPr>
      <w:r>
        <w:rPr>
          <w:b/>
          <w:bCs/>
        </w:rPr>
        <w:t>Lesson:</w:t>
      </w:r>
      <w:r>
        <w:t xml:space="preserve"> Design beats endowment. An irreducible-principal clause, the Attorney General on the board, and trustees who behave like trustees can turn an early federal grant into a billion-dollar fund — though </w:t>
      </w:r>
      <w:r>
        <w:lastRenderedPageBreak/>
        <w:t>“cheap loans to towns” is also “below-market returns to children,” and the honest clerk notes the cost. (See Ch. 5, “Kept &amp; Rebuilt.”)</w:t>
      </w:r>
    </w:p>
    <w:p w14:paraId="2D9DA1FF" w14:textId="77777777" w:rsidR="00DC02F5" w:rsidRDefault="00000000">
      <w:pPr>
        <w:pStyle w:val="BodyText"/>
      </w:pPr>
      <w:r>
        <w:rPr>
          <w:i/>
          <w:iCs/>
        </w:rPr>
        <w:t>Sources/notes:</w:t>
      </w:r>
      <w:r>
        <w:t xml:space="preserve"> Enabling Act of Aug. 6, 1846, 9 Stat. 56; admission Act of May 29, 1848; Wis. Const. art. X secs. 2, 7, 8; State Trust Fund Loan Program (1871); </w:t>
      </w:r>
      <w:r>
        <w:rPr>
          <w:i/>
          <w:iCs/>
        </w:rPr>
        <w:t>State ex rel. Commissioners of Public Lands v. Anderson</w:t>
      </w:r>
      <w:r>
        <w:t xml:space="preserve"> (1973); BCPL Common School Fund reports. Wisconsin received </w:t>
      </w:r>
      <w:r>
        <w:rPr>
          <w:b/>
          <w:bCs/>
        </w:rPr>
        <w:t>one section (16 only)</w:t>
      </w:r>
      <w:r>
        <w:t>; the section-16 acreage and broader all-trust acreage are reconciled here. The cheap-loan / opportunity-cost critique is included to keep the otherwise favorable story balanced.</w:t>
      </w:r>
    </w:p>
    <w:p w14:paraId="135C805E" w14:textId="77777777" w:rsidR="00DC02F5" w:rsidRDefault="00000000">
      <w:r>
        <w:pict w14:anchorId="55CF7723">
          <v:rect id="_x0000_i1056" style="width:0;height:1.5pt" o:hralign="center" o:hrstd="t" o:hr="t"/>
        </w:pict>
      </w:r>
    </w:p>
    <w:p w14:paraId="5EB5499F" w14:textId="77777777" w:rsidR="00DC02F5" w:rsidRDefault="00000000">
      <w:r>
        <w:br w:type="page"/>
      </w:r>
    </w:p>
    <w:p w14:paraId="6BD650CB" w14:textId="77777777" w:rsidR="00DC02F5" w:rsidRDefault="00000000">
      <w:pPr>
        <w:pStyle w:val="Heading2"/>
      </w:pPr>
      <w:bookmarkStart w:id="134" w:name="Xa0347788bd507684c95e67ec7f84bfd05604a5b"/>
      <w:bookmarkStart w:id="135" w:name="_Toc231774263"/>
      <w:bookmarkEnd w:id="132"/>
      <w:r>
        <w:lastRenderedPageBreak/>
        <w:t>Wyoming — The Modest Acreage That Geology Made Rich</w:t>
      </w:r>
      <w:bookmarkEnd w:id="135"/>
    </w:p>
    <w:p w14:paraId="17E67B80" w14:textId="77777777" w:rsidR="00DC02F5" w:rsidRDefault="00000000">
      <w:r>
        <w:rPr>
          <w:noProof/>
        </w:rPr>
        <w:drawing>
          <wp:inline distT="0" distB="0" distL="0" distR="0" wp14:anchorId="131A6670" wp14:editId="76D89FAA">
            <wp:extent cx="731520" cy="853135"/>
            <wp:effectExtent l="0" t="0" r="0" b="0"/>
            <wp:docPr id="189" name="Picture" descr="QRFLOAT"/>
            <wp:cNvGraphicFramePr/>
            <a:graphic xmlns:a="http://schemas.openxmlformats.org/drawingml/2006/main">
              <a:graphicData uri="http://schemas.openxmlformats.org/drawingml/2006/picture">
                <pic:pic xmlns:pic="http://schemas.openxmlformats.org/drawingml/2006/picture">
                  <pic:nvPicPr>
                    <pic:cNvPr id="190" name="Picture" descr="C:/Users/drdav/My%20Drive/Claude%20Cowork/_tools/_web_cache/qr_us-wy_f8dfcc1714b5_1200x_q90.jpg"/>
                    <pic:cNvPicPr>
                      <a:picLocks noChangeAspect="1" noChangeArrowheads="1"/>
                    </pic:cNvPicPr>
                  </pic:nvPicPr>
                  <pic:blipFill>
                    <a:blip r:embed="rId43"/>
                    <a:stretch>
                      <a:fillRect/>
                    </a:stretch>
                  </pic:blipFill>
                  <pic:spPr bwMode="auto">
                    <a:xfrm>
                      <a:off x="0" y="0"/>
                      <a:ext cx="731520" cy="853135"/>
                    </a:xfrm>
                    <a:prstGeom prst="rect">
                      <a:avLst/>
                    </a:prstGeom>
                    <a:noFill/>
                    <a:ln w="9525">
                      <a:noFill/>
                      <a:headEnd/>
                      <a:tailEnd/>
                    </a:ln>
                  </pic:spPr>
                </pic:pic>
              </a:graphicData>
            </a:graphic>
          </wp:inline>
        </w:drawing>
      </w:r>
      <w:r>
        <w:t xml:space="preserve"> </w:t>
      </w:r>
      <w:r>
        <w:rPr>
          <w:i/>
          <w:iCs/>
        </w:rPr>
        <w:t xml:space="preserve">Admitted 1890 - Grant: 2 sections (16 &amp; 36), about 3.47 million acres - about 3.5 million surface acres retained today, plus about 3.9 million mineral acres - Common School Permanent Land Fund about </w:t>
      </w:r>
      <w:r>
        <w:rPr>
          <w:b/>
          <w:bCs/>
          <w:i/>
          <w:iCs/>
        </w:rPr>
        <w:t>$6.3 billion</w:t>
      </w:r>
      <w:r>
        <w:rPr>
          <w:i/>
          <w:iCs/>
        </w:rPr>
        <w:t xml:space="preserve"> [as of June 30, 2025], per the Wyoming State Treasurer’s monthly performance report - Trustee: five-member ex-officio Board of Land Commissioners - Verdict: Kept faith.</w:t>
      </w:r>
    </w:p>
    <w:p w14:paraId="001CABCE" w14:textId="77777777" w:rsidR="00DC02F5" w:rsidRDefault="00000000">
      <w:pPr>
        <w:pStyle w:val="BodyText"/>
      </w:pPr>
      <w:r>
        <w:rPr>
          <w:b/>
          <w:bCs/>
        </w:rPr>
        <w:t>Telling fact:</w:t>
      </w:r>
      <w:r>
        <w:t xml:space="preserve"> Wyoming still holds essentially all the school land it got in 1890 — and because oil, gas, coal, and trona sit under it, and because it has the smallest student population in the country to share among, that modest acreage pays out more per student than any other state’s trust.</w:t>
      </w:r>
    </w:p>
    <w:p w14:paraId="66F7AA31" w14:textId="77777777" w:rsidR="00DC02F5" w:rsidRDefault="00000000">
      <w:pPr>
        <w:pStyle w:val="BodyText"/>
      </w:pPr>
      <w:r>
        <w:t>Wyoming is the near-inverse of Oregon. Oregon’s once-large endowment was hauled into private hands and shrank to a fraction of its grant; Wyoming kept almost all of its 3.47 million acres and, on the strength of what lies beneath them, grew a Common School Permanent Land Fund of roughly $6.3 billion [as of June 30, 2025]. The federal Admission Act of 1890 was purposive, not fiduciary — the doubled section-16-and-36 grant “for the support of common schools,” but no express “in trust” language. The architectural weight, as in Oregon, lived in the state constitution, ratified eight months before Congress accepted it.</w:t>
      </w:r>
    </w:p>
    <w:p w14:paraId="46490806" w14:textId="77777777" w:rsidR="00DC02F5" w:rsidRDefault="00000000">
      <w:pPr>
        <w:pStyle w:val="BodyText"/>
      </w:pPr>
      <w:r>
        <w:t xml:space="preserve">Two provisions carry the load. Article 7, § 6 declares the public school fund “forever inviolate” and adds Wyoming’s most distinctive sentence: the state pledges to “make good any losses” to the fund — a state-treasury backstop stronger than Oregon’s or Colorado’s. And </w:t>
      </w:r>
      <w:r>
        <w:lastRenderedPageBreak/>
        <w:t>Article 18, § 3 puts the trust in the hands of a five-member ex-officio board: the Governor, Secretary of State, Treasurer, Auditor, and Superintendent of Public Instruction, all statewide-elected. Where Oregon used three officers, Wyoming used five, broadening the political accountability the framers were betting on as the enforcement mechanism.</w:t>
      </w:r>
    </w:p>
    <w:p w14:paraId="7AC59775" w14:textId="77777777" w:rsidR="00DC02F5" w:rsidRDefault="00000000">
      <w:pPr>
        <w:pStyle w:val="BodyText"/>
      </w:pPr>
      <w:r>
        <w:t xml:space="preserve">Wyoming’s trust jurisprudence is narrower than its framework suggests. The leading school case, the </w:t>
      </w:r>
      <w:r>
        <w:rPr>
          <w:i/>
          <w:iCs/>
        </w:rPr>
        <w:t>Campbell County</w:t>
      </w:r>
      <w:r>
        <w:t xml:space="preserve"> adequacy line (1995–2008), runs under the education clause, not the trust clause. And on the land side, </w:t>
      </w:r>
      <w:r>
        <w:rPr>
          <w:i/>
          <w:iCs/>
        </w:rPr>
        <w:t>Riedel v. Anderson</w:t>
      </w:r>
      <w:r>
        <w:t xml:space="preserve"> (2003) held that neither the Admission Act nor the constitution created an express trust </w:t>
      </w:r>
      <w:r>
        <w:rPr>
          <w:i/>
          <w:iCs/>
        </w:rPr>
        <w:t>in the school lands themselves</w:t>
      </w:r>
      <w:r>
        <w:t xml:space="preserve"> — the land-side trust is statutory, which a legislature can reshape in ways an express constitutional trust cannot. Its companion case, </w:t>
      </w:r>
      <w:r>
        <w:rPr>
          <w:i/>
          <w:iCs/>
        </w:rPr>
        <w:t>Merbanco</w:t>
      </w:r>
      <w:r>
        <w:t xml:space="preserve">, held that Article 18 requires public auction for </w:t>
      </w:r>
      <w:r>
        <w:rPr>
          <w:i/>
          <w:iCs/>
        </w:rPr>
        <w:t>sales</w:t>
      </w:r>
      <w:r>
        <w:t xml:space="preserve"> of school land but not for value-for-value </w:t>
      </w:r>
      <w:r>
        <w:rPr>
          <w:i/>
          <w:iCs/>
        </w:rPr>
        <w:t>exchanges</w:t>
      </w:r>
      <w:r>
        <w:t xml:space="preserve"> — which is how the immensely valuable school section at Teton Village, ringed by resort development, could be swapped out of the trust without ever going to open auction. The courts use trust language while bounding its operational bite.</w:t>
      </w:r>
    </w:p>
    <w:p w14:paraId="09505613" w14:textId="77777777" w:rsidR="00DC02F5" w:rsidRDefault="00000000">
      <w:pPr>
        <w:pStyle w:val="BodyText"/>
      </w:pPr>
      <w:r>
        <w:t xml:space="preserve">The fund is best understood through the rock. Against a 3.5-million-acre surface base sit 3.9 million mineral acres, and severance and royalty revenue — not land sales — built the $6.3 billion corpus. (A caution that matters: this is the Common School Permanent Land Fund, the school trust; it is easy to confuse with the separate Permanent Mineral Trust Fund, a severance-tax fund that is </w:t>
      </w:r>
      <w:r>
        <w:rPr>
          <w:i/>
          <w:iCs/>
        </w:rPr>
        <w:t>not</w:t>
      </w:r>
      <w:r>
        <w:t xml:space="preserve"> school-trust money.) Modern fights are governance fights: the 2022–25 Teton County permit sequence, in which the supreme court held the county could not enforce its land-use rules against state-land permittees; and the 2025–26 Pronghorn/Sidewinder wind-lease controversy, in which three of the five board members voted to begin canceling leases the board had earlier granted, over the Governor’s and Treasurer’s </w:t>
      </w:r>
      <w:r>
        <w:lastRenderedPageBreak/>
        <w:t>dissents. That 3-2 public vote is, for better or worse, the five-member elected board working exactly as the 1889 framers designed it to.</w:t>
      </w:r>
    </w:p>
    <w:p w14:paraId="6A02C009" w14:textId="77777777" w:rsidR="00DC02F5" w:rsidRDefault="00000000">
      <w:pPr>
        <w:pStyle w:val="BodyText"/>
      </w:pPr>
      <w:r>
        <w:rPr>
          <w:b/>
          <w:bCs/>
        </w:rPr>
        <w:t>Then→now:</w:t>
      </w:r>
      <w:r>
        <w:t xml:space="preserve"> A modest 3.47-million-acre grant, almost entirely retained → a roughly </w:t>
      </w:r>
      <w:r>
        <w:rPr>
          <w:b/>
          <w:bCs/>
        </w:rPr>
        <w:t>$6.3 billion</w:t>
      </w:r>
      <w:r>
        <w:t xml:space="preserve"> mineral-driven endowment [as of June 30, 2025], per the Wyoming State Treasurer’s monthly performance report.</w:t>
      </w:r>
    </w:p>
    <w:p w14:paraId="068E0EC3" w14:textId="77777777" w:rsidR="00DC02F5" w:rsidRDefault="00000000">
      <w:pPr>
        <w:pStyle w:val="BodyText"/>
      </w:pPr>
      <w:r>
        <w:rPr>
          <w:b/>
          <w:bCs/>
        </w:rPr>
        <w:t>Lesson:</w:t>
      </w:r>
      <w:r>
        <w:t xml:space="preserve"> Retention plus a state-treasury guaranty plus geology can outperform a much larger acreage that was sold off — but </w:t>
      </w:r>
      <w:r>
        <w:rPr>
          <w:i/>
          <w:iCs/>
        </w:rPr>
        <w:t>Riedel</w:t>
      </w:r>
      <w:r>
        <w:t>’s statutory-trust narrowing is a reminder that the land-side protection is only as strong as the legislature leaves it. (See Ch. 5, “Kept &amp; Rebuilt.”)</w:t>
      </w:r>
    </w:p>
    <w:p w14:paraId="12D8FB20" w14:textId="77777777" w:rsidR="00DC02F5" w:rsidRDefault="00000000">
      <w:pPr>
        <w:pStyle w:val="BodyText"/>
      </w:pPr>
      <w:r>
        <w:rPr>
          <w:i/>
          <w:iCs/>
        </w:rPr>
        <w:t>Sources/notes:</w:t>
      </w:r>
      <w:r>
        <w:t xml:space="preserve"> Wyoming Admission Act of July 10, 1890, 26 Stat. 222; Wyo. Const. art. 7 sec. 6, art. 18 sec. 3; </w:t>
      </w:r>
      <w:r>
        <w:rPr>
          <w:i/>
          <w:iCs/>
        </w:rPr>
        <w:t>Riedel v. Anderson</w:t>
      </w:r>
      <w:r>
        <w:t xml:space="preserve"> (2003); </w:t>
      </w:r>
      <w:r>
        <w:rPr>
          <w:i/>
          <w:iCs/>
        </w:rPr>
        <w:t>Merbanco</w:t>
      </w:r>
      <w:r>
        <w:t xml:space="preserve"> (2003); </w:t>
      </w:r>
      <w:r>
        <w:rPr>
          <w:i/>
          <w:iCs/>
        </w:rPr>
        <w:t>Teton County v. State</w:t>
      </w:r>
      <w:r>
        <w:t xml:space="preserve"> (2025 WY 48); Wyoming State Treasurer’s Office, Monthly Performance Report, June 30, 2025 (Common School Permanent Land Fund $6,286,864,324). Wyoming’s Common School Permanent Land Fund is kept distinct from the separate Permanent Mineral Trust Fund.</w:t>
      </w:r>
    </w:p>
    <w:p w14:paraId="2926BB84" w14:textId="77777777" w:rsidR="00DC02F5" w:rsidRDefault="00000000">
      <w:r>
        <w:pict w14:anchorId="6F7239D0">
          <v:rect id="_x0000_i1057" style="width:0;height:1.5pt" o:hralign="center" o:hrstd="t" o:hr="t"/>
        </w:pict>
      </w:r>
    </w:p>
    <w:p w14:paraId="4DF475F8" w14:textId="77777777" w:rsidR="00DC02F5" w:rsidRDefault="00000000">
      <w:r>
        <w:rPr>
          <w:i/>
          <w:iCs/>
        </w:rPr>
        <w:t>End of Part Two state dossiers.</w:t>
      </w:r>
    </w:p>
    <w:p w14:paraId="365E7BB8" w14:textId="77777777" w:rsidR="00DC02F5" w:rsidRDefault="00000000">
      <w:r>
        <w:br w:type="page"/>
      </w:r>
    </w:p>
    <w:p w14:paraId="61BD0667" w14:textId="77777777" w:rsidR="00DC02F5" w:rsidRDefault="00000000">
      <w:pPr>
        <w:pStyle w:val="Heading1"/>
      </w:pPr>
      <w:bookmarkStart w:id="136" w:name="a-note-on-method-and-sources"/>
      <w:bookmarkStart w:id="137" w:name="_Toc231774264"/>
      <w:bookmarkStart w:id="138" w:name="_Toc231774291"/>
      <w:bookmarkEnd w:id="65"/>
      <w:bookmarkEnd w:id="134"/>
      <w:r>
        <w:lastRenderedPageBreak/>
        <w:t>A Note on Method and Sources</w:t>
      </w:r>
      <w:bookmarkEnd w:id="137"/>
      <w:bookmarkEnd w:id="138"/>
    </w:p>
    <w:p w14:paraId="2BAB7EFA" w14:textId="77777777" w:rsidR="00DC02F5" w:rsidRDefault="00000000">
      <w:r>
        <w:t>This book aims to be trusted the way it asks the states to be trusted: it shows its work. Three commitments govern it.</w:t>
      </w:r>
    </w:p>
    <w:p w14:paraId="6D330353" w14:textId="77777777" w:rsidR="00DC02F5" w:rsidRDefault="00000000">
      <w:pPr>
        <w:pStyle w:val="BodyText"/>
      </w:pPr>
      <w:r>
        <w:rPr>
          <w:i/>
          <w:iCs/>
        </w:rPr>
        <w:t>Primary sources first.</w:t>
      </w:r>
      <w:r>
        <w:t xml:space="preserve"> The story rests on the founding statutes, the admission acts, the court opinions, and the contemporary record — not on secondary summaries or on the litigation papers of any one case. Where a lawsuit appears, it is part of the story, not the source of the truth.</w:t>
      </w:r>
    </w:p>
    <w:p w14:paraId="5913846E" w14:textId="77777777" w:rsidR="00DC02F5" w:rsidRDefault="00000000">
      <w:pPr>
        <w:pStyle w:val="BodyText"/>
      </w:pPr>
      <w:r>
        <w:rPr>
          <w:i/>
          <w:iCs/>
        </w:rPr>
        <w:t>Quotations are authenticated.</w:t>
      </w:r>
      <w:r>
        <w:t xml:space="preserve"> Every quoted line in this book has been checked against its primary source, with citation. A number of lines that circulate widely but could not be verified — including several attributed to founders who never wrote them — were set aside rather than risk repeating a myth in a book about telling the truth.</w:t>
      </w:r>
    </w:p>
    <w:p w14:paraId="5CCC64C6" w14:textId="77777777" w:rsidR="00DC02F5" w:rsidRDefault="00000000">
      <w:pPr>
        <w:pStyle w:val="BodyText"/>
      </w:pPr>
      <w:r>
        <w:rPr>
          <w:i/>
          <w:iCs/>
        </w:rPr>
        <w:t>Open figures are omitted, not faked.</w:t>
      </w:r>
      <w:r>
        <w:t xml:space="preserve"> Present-day dollar amounts and fund balances move. Where a dated source is not yet pinned, this draft uses general language and carries the research debt in the companion logs.</w:t>
      </w:r>
    </w:p>
    <w:p w14:paraId="2842E097" w14:textId="77777777" w:rsidR="00DC02F5" w:rsidRDefault="00000000">
      <w:r>
        <w:br w:type="page"/>
      </w:r>
    </w:p>
    <w:p w14:paraId="28AEC079" w14:textId="77777777" w:rsidR="00DC02F5" w:rsidRDefault="00000000">
      <w:pPr>
        <w:pStyle w:val="Heading1"/>
      </w:pPr>
      <w:bookmarkStart w:id="139" w:name="appendix-the-non-grant-states"/>
      <w:bookmarkStart w:id="140" w:name="_Toc231774265"/>
      <w:bookmarkStart w:id="141" w:name="_Toc231774292"/>
      <w:bookmarkEnd w:id="136"/>
      <w:r>
        <w:lastRenderedPageBreak/>
        <w:t>APPENDIX — The Non-Grant States</w:t>
      </w:r>
      <w:bookmarkEnd w:id="140"/>
      <w:bookmarkEnd w:id="141"/>
    </w:p>
    <w:p w14:paraId="531A9D99" w14:textId="77777777" w:rsidR="00DC02F5" w:rsidRDefault="00000000">
      <w:r>
        <w:rPr>
          <w:i/>
          <w:iCs/>
        </w:rPr>
        <w:t>The fuller narratives for these states are preserved in the book’s research archive and on each state’s living page online.</w:t>
      </w:r>
    </w:p>
    <w:p w14:paraId="3F1CE6E6" w14:textId="77777777" w:rsidR="00DC02F5" w:rsidRDefault="00000000">
      <w:pPr>
        <w:pStyle w:val="BodyText"/>
      </w:pPr>
      <w:r>
        <w:t>The main book spotlights the thirty-three states that received the federal school-land grant. These seventeen did not: the original thirteen, plus Vermont, Kentucky, Maine, and West Virginia. They still matter because they show what states built when no federal Section 16 trust arrived. Some created state school funds. Some built enforceable education clauses. Some did almost nothing with corpus but became important in school-finance law. They belong here as contrast, not as a second fifty-state book.</w:t>
      </w:r>
    </w:p>
    <w:tbl>
      <w:tblPr>
        <w:tblW w:w="5000" w:type="pct"/>
        <w:tblLayout w:type="fixed"/>
        <w:tblLook w:val="0020" w:firstRow="1" w:lastRow="0" w:firstColumn="0" w:lastColumn="0" w:noHBand="0" w:noVBand="0"/>
      </w:tblPr>
      <w:tblGrid>
        <w:gridCol w:w="1728"/>
        <w:gridCol w:w="1728"/>
        <w:gridCol w:w="1728"/>
        <w:gridCol w:w="1728"/>
      </w:tblGrid>
      <w:tr w:rsidR="00DC02F5" w14:paraId="6156AC62" w14:textId="77777777">
        <w:trPr>
          <w:tblHeader/>
        </w:trPr>
        <w:tc>
          <w:tcPr>
            <w:tcW w:w="1980" w:type="dxa"/>
          </w:tcPr>
          <w:p w14:paraId="52D2EA1C" w14:textId="77777777" w:rsidR="00DC02F5" w:rsidRDefault="00000000">
            <w:r>
              <w:t>State</w:t>
            </w:r>
          </w:p>
        </w:tc>
        <w:tc>
          <w:tcPr>
            <w:tcW w:w="1980" w:type="dxa"/>
          </w:tcPr>
          <w:p w14:paraId="006C04E0" w14:textId="77777777" w:rsidR="00DC02F5" w:rsidRDefault="00000000">
            <w:r>
              <w:t>Why no federal grant</w:t>
            </w:r>
          </w:p>
        </w:tc>
        <w:tc>
          <w:tcPr>
            <w:tcW w:w="1980" w:type="dxa"/>
          </w:tcPr>
          <w:p w14:paraId="4B03AA8A" w14:textId="77777777" w:rsidR="00DC02F5" w:rsidRDefault="00000000">
            <w:r>
              <w:t>Substitute school-funding system</w:t>
            </w:r>
          </w:p>
        </w:tc>
        <w:tc>
          <w:tcPr>
            <w:tcW w:w="1980" w:type="dxa"/>
          </w:tcPr>
          <w:p w14:paraId="66B24D91" w14:textId="77777777" w:rsidR="00DC02F5" w:rsidRDefault="00000000">
            <w:r>
              <w:t>Why it matters to the thesis</w:t>
            </w:r>
          </w:p>
        </w:tc>
      </w:tr>
      <w:tr w:rsidR="00DC02F5" w14:paraId="42B595BD" w14:textId="77777777">
        <w:tc>
          <w:tcPr>
            <w:tcW w:w="1980" w:type="dxa"/>
          </w:tcPr>
          <w:p w14:paraId="55201D57" w14:textId="77777777" w:rsidR="00DC02F5" w:rsidRDefault="00000000">
            <w:r>
              <w:t>Connecticut</w:t>
            </w:r>
          </w:p>
        </w:tc>
        <w:tc>
          <w:tcPr>
            <w:tcW w:w="1980" w:type="dxa"/>
          </w:tcPr>
          <w:p w14:paraId="4C128878" w14:textId="77777777" w:rsidR="00DC02F5" w:rsidRDefault="00000000">
            <w:r>
              <w:t>Original-13 state; no federal public-domain admission grant.</w:t>
            </w:r>
          </w:p>
        </w:tc>
        <w:tc>
          <w:tcPr>
            <w:tcW w:w="1980" w:type="dxa"/>
          </w:tcPr>
          <w:p w14:paraId="7E0A32B7" w14:textId="77777777" w:rsidR="00DC02F5" w:rsidRDefault="00000000">
            <w:r>
              <w:t>Sold the Western Reserve in 1795 and dedicated the $1.2M proceeds to a perpetual school fund.</w:t>
            </w:r>
          </w:p>
        </w:tc>
        <w:tc>
          <w:tcPr>
            <w:tcW w:w="1980" w:type="dxa"/>
          </w:tcPr>
          <w:p w14:paraId="68488F7D" w14:textId="77777777" w:rsidR="00DC02F5" w:rsidRDefault="00000000">
            <w:r>
              <w:t>Proof that a state-derived land sale could become a real school endowment, though the modern fund is no longer load-bearing.</w:t>
            </w:r>
          </w:p>
        </w:tc>
      </w:tr>
      <w:tr w:rsidR="00DC02F5" w14:paraId="32E1236A" w14:textId="77777777">
        <w:tc>
          <w:tcPr>
            <w:tcW w:w="1980" w:type="dxa"/>
          </w:tcPr>
          <w:p w14:paraId="4B3E39A5" w14:textId="77777777" w:rsidR="00DC02F5" w:rsidRDefault="00000000">
            <w:r>
              <w:t>Delaware</w:t>
            </w:r>
          </w:p>
        </w:tc>
        <w:tc>
          <w:tcPr>
            <w:tcW w:w="1980" w:type="dxa"/>
          </w:tcPr>
          <w:p w14:paraId="2D363B72" w14:textId="77777777" w:rsidR="00DC02F5" w:rsidRDefault="00000000">
            <w:r>
              <w:t>Original-13 state.</w:t>
            </w:r>
          </w:p>
        </w:tc>
        <w:tc>
          <w:tcPr>
            <w:tcW w:w="1980" w:type="dxa"/>
          </w:tcPr>
          <w:p w14:paraId="1493495A" w14:textId="77777777" w:rsidR="00DC02F5" w:rsidRDefault="00000000">
            <w:r>
              <w:t xml:space="preserve">Small statutory public-school fund; education duty mainly runs </w:t>
            </w:r>
            <w:r>
              <w:lastRenderedPageBreak/>
              <w:t>through state constitutional and statutory finance.</w:t>
            </w:r>
          </w:p>
        </w:tc>
        <w:tc>
          <w:tcPr>
            <w:tcW w:w="1980" w:type="dxa"/>
          </w:tcPr>
          <w:p w14:paraId="7171B95D" w14:textId="77777777" w:rsidR="00DC02F5" w:rsidRDefault="00000000">
            <w:r>
              <w:lastRenderedPageBreak/>
              <w:t xml:space="preserve">Shows how a state can have school-fund language without a </w:t>
            </w:r>
            <w:r>
              <w:lastRenderedPageBreak/>
              <w:t>meaningful land corpus behind it.</w:t>
            </w:r>
          </w:p>
        </w:tc>
      </w:tr>
      <w:tr w:rsidR="00DC02F5" w14:paraId="503BA93A" w14:textId="77777777">
        <w:tc>
          <w:tcPr>
            <w:tcW w:w="1980" w:type="dxa"/>
          </w:tcPr>
          <w:p w14:paraId="02187274" w14:textId="77777777" w:rsidR="00DC02F5" w:rsidRDefault="00000000">
            <w:r>
              <w:lastRenderedPageBreak/>
              <w:t>Georgia</w:t>
            </w:r>
          </w:p>
        </w:tc>
        <w:tc>
          <w:tcPr>
            <w:tcW w:w="1980" w:type="dxa"/>
          </w:tcPr>
          <w:p w14:paraId="7EEB708D" w14:textId="77777777" w:rsidR="00DC02F5" w:rsidRDefault="00000000">
            <w:r>
              <w:t>Original-13 state; later ceded western claims.</w:t>
            </w:r>
          </w:p>
        </w:tc>
        <w:tc>
          <w:tcPr>
            <w:tcW w:w="1980" w:type="dxa"/>
          </w:tcPr>
          <w:p w14:paraId="2949DC12" w14:textId="77777777" w:rsidR="00DC02F5" w:rsidRDefault="00000000">
            <w:r>
              <w:t>Poor School Fund / lottery-funded education supports; no federal section trust.</w:t>
            </w:r>
          </w:p>
        </w:tc>
        <w:tc>
          <w:tcPr>
            <w:tcW w:w="1980" w:type="dxa"/>
          </w:tcPr>
          <w:p w14:paraId="118C58E9" w14:textId="77777777" w:rsidR="00DC02F5" w:rsidRDefault="00000000">
            <w:r>
              <w:t>Supplies the opening’s stigma evidence: in Bryan County in 1847, 164 children were entitled to poor-school aid and no more than 16 attended.</w:t>
            </w:r>
          </w:p>
        </w:tc>
      </w:tr>
      <w:tr w:rsidR="00DC02F5" w14:paraId="6CB358FE" w14:textId="77777777">
        <w:tc>
          <w:tcPr>
            <w:tcW w:w="1980" w:type="dxa"/>
          </w:tcPr>
          <w:p w14:paraId="1BD7F3F5" w14:textId="77777777" w:rsidR="00DC02F5" w:rsidRDefault="00000000">
            <w:r>
              <w:t>Maryland</w:t>
            </w:r>
          </w:p>
        </w:tc>
        <w:tc>
          <w:tcPr>
            <w:tcW w:w="1980" w:type="dxa"/>
          </w:tcPr>
          <w:p w14:paraId="46B6C855" w14:textId="77777777" w:rsidR="00DC02F5" w:rsidRDefault="00000000">
            <w:r>
              <w:t>Original-13 state.</w:t>
            </w:r>
          </w:p>
        </w:tc>
        <w:tc>
          <w:tcPr>
            <w:tcW w:w="1980" w:type="dxa"/>
          </w:tcPr>
          <w:p w14:paraId="6D3045E9" w14:textId="77777777" w:rsidR="00DC02F5" w:rsidRDefault="00000000">
            <w:r>
              <w:t>Thorough-and-efficient school clause; modern Blueprint funding reform; no fiduciary land corpus.</w:t>
            </w:r>
          </w:p>
        </w:tc>
        <w:tc>
          <w:tcPr>
            <w:tcW w:w="1980" w:type="dxa"/>
          </w:tcPr>
          <w:p w14:paraId="6FF6DE19" w14:textId="77777777" w:rsidR="00DC02F5" w:rsidRDefault="00000000">
            <w:r>
              <w:t xml:space="preserve">Maryland helped write the national school-land idea but did not receive it. Its modern fights are adequacy fights, not </w:t>
            </w:r>
            <w:r>
              <w:lastRenderedPageBreak/>
              <w:t>trust-corpus fights.</w:t>
            </w:r>
          </w:p>
        </w:tc>
      </w:tr>
      <w:tr w:rsidR="00DC02F5" w14:paraId="46E0603E" w14:textId="77777777">
        <w:tc>
          <w:tcPr>
            <w:tcW w:w="1980" w:type="dxa"/>
          </w:tcPr>
          <w:p w14:paraId="376A087A" w14:textId="77777777" w:rsidR="00DC02F5" w:rsidRDefault="00000000">
            <w:r>
              <w:lastRenderedPageBreak/>
              <w:t>Massachusetts</w:t>
            </w:r>
          </w:p>
        </w:tc>
        <w:tc>
          <w:tcPr>
            <w:tcW w:w="1980" w:type="dxa"/>
          </w:tcPr>
          <w:p w14:paraId="79D40210" w14:textId="77777777" w:rsidR="00DC02F5" w:rsidRDefault="00000000">
            <w:r>
              <w:t>Original-13 state.</w:t>
            </w:r>
          </w:p>
        </w:tc>
        <w:tc>
          <w:tcPr>
            <w:tcW w:w="1980" w:type="dxa"/>
          </w:tcPr>
          <w:p w14:paraId="55602688" w14:textId="77777777" w:rsidR="00DC02F5" w:rsidRDefault="00000000">
            <w:r>
              <w:t xml:space="preserve">Adams education clause, town-school tradition, adequacy doctrine under </w:t>
            </w:r>
            <w:r>
              <w:rPr>
                <w:i/>
                <w:iCs/>
              </w:rPr>
              <w:t>McDuffy</w:t>
            </w:r>
            <w:r>
              <w:t>.</w:t>
            </w:r>
          </w:p>
        </w:tc>
        <w:tc>
          <w:tcPr>
            <w:tcW w:w="1980" w:type="dxa"/>
          </w:tcPr>
          <w:p w14:paraId="64B32006" w14:textId="77777777" w:rsidR="00DC02F5" w:rsidRDefault="00000000">
            <w:r>
              <w:t>Supplies the civic premise: public education as a condition of republican liberty, before Congress converted the premise into land.</w:t>
            </w:r>
          </w:p>
        </w:tc>
      </w:tr>
      <w:tr w:rsidR="00DC02F5" w14:paraId="23314E81" w14:textId="77777777">
        <w:tc>
          <w:tcPr>
            <w:tcW w:w="1980" w:type="dxa"/>
          </w:tcPr>
          <w:p w14:paraId="28D9111A" w14:textId="77777777" w:rsidR="00DC02F5" w:rsidRDefault="00000000">
            <w:r>
              <w:t>New Hampshire</w:t>
            </w:r>
          </w:p>
        </w:tc>
        <w:tc>
          <w:tcPr>
            <w:tcW w:w="1980" w:type="dxa"/>
          </w:tcPr>
          <w:p w14:paraId="2A71DF79" w14:textId="77777777" w:rsidR="00DC02F5" w:rsidRDefault="00000000">
            <w:r>
              <w:t>Original-13 state.</w:t>
            </w:r>
          </w:p>
        </w:tc>
        <w:tc>
          <w:tcPr>
            <w:tcW w:w="1980" w:type="dxa"/>
          </w:tcPr>
          <w:p w14:paraId="6D96F44E" w14:textId="77777777" w:rsidR="00DC02F5" w:rsidRDefault="00000000">
            <w:r>
              <w:t xml:space="preserve">Article 83 education duty; </w:t>
            </w:r>
            <w:r>
              <w:rPr>
                <w:i/>
                <w:iCs/>
              </w:rPr>
              <w:t>Claremont</w:t>
            </w:r>
            <w:r>
              <w:t xml:space="preserve"> line and current challenge to its enforceability.</w:t>
            </w:r>
          </w:p>
        </w:tc>
        <w:tc>
          <w:tcPr>
            <w:tcW w:w="1980" w:type="dxa"/>
          </w:tcPr>
          <w:p w14:paraId="53273BE3" w14:textId="77777777" w:rsidR="00DC02F5" w:rsidRDefault="00000000">
            <w:r>
              <w:t>A duty can sleep for two centuries, awaken in court, and then be challenged again. Text alone does not enforce itself.</w:t>
            </w:r>
          </w:p>
        </w:tc>
      </w:tr>
      <w:tr w:rsidR="00DC02F5" w14:paraId="062DFCB9" w14:textId="77777777">
        <w:tc>
          <w:tcPr>
            <w:tcW w:w="1980" w:type="dxa"/>
          </w:tcPr>
          <w:p w14:paraId="359D78F1" w14:textId="77777777" w:rsidR="00DC02F5" w:rsidRDefault="00000000">
            <w:r>
              <w:t>New Jersey</w:t>
            </w:r>
          </w:p>
        </w:tc>
        <w:tc>
          <w:tcPr>
            <w:tcW w:w="1980" w:type="dxa"/>
          </w:tcPr>
          <w:p w14:paraId="7535735D" w14:textId="77777777" w:rsidR="00DC02F5" w:rsidRDefault="00000000">
            <w:r>
              <w:t>Original-13 state.</w:t>
            </w:r>
          </w:p>
        </w:tc>
        <w:tc>
          <w:tcPr>
            <w:tcW w:w="1980" w:type="dxa"/>
          </w:tcPr>
          <w:p w14:paraId="1E97B15F" w14:textId="77777777" w:rsidR="00DC02F5" w:rsidRDefault="00000000">
            <w:r>
              <w:t xml:space="preserve">Perpetual School Fund from state sources plus strong </w:t>
            </w:r>
            <w:r>
              <w:lastRenderedPageBreak/>
              <w:t>education-clause litigation.</w:t>
            </w:r>
          </w:p>
        </w:tc>
        <w:tc>
          <w:tcPr>
            <w:tcW w:w="1980" w:type="dxa"/>
          </w:tcPr>
          <w:p w14:paraId="3C7C4348" w14:textId="77777777" w:rsidR="00DC02F5" w:rsidRDefault="00000000">
            <w:r>
              <w:lastRenderedPageBreak/>
              <w:t xml:space="preserve">Even strong perpetual-fund language is weaker when the same state </w:t>
            </w:r>
            <w:r>
              <w:lastRenderedPageBreak/>
              <w:t>constitution can amend it away; adequacy doctrine became the real engine.</w:t>
            </w:r>
          </w:p>
        </w:tc>
      </w:tr>
      <w:tr w:rsidR="00DC02F5" w14:paraId="33C299EE" w14:textId="77777777">
        <w:tc>
          <w:tcPr>
            <w:tcW w:w="1980" w:type="dxa"/>
          </w:tcPr>
          <w:p w14:paraId="2D44F756" w14:textId="77777777" w:rsidR="00DC02F5" w:rsidRDefault="00000000">
            <w:r>
              <w:lastRenderedPageBreak/>
              <w:t>New York</w:t>
            </w:r>
          </w:p>
        </w:tc>
        <w:tc>
          <w:tcPr>
            <w:tcW w:w="1980" w:type="dxa"/>
          </w:tcPr>
          <w:p w14:paraId="49D16593" w14:textId="77777777" w:rsidR="00DC02F5" w:rsidRDefault="00000000">
            <w:r>
              <w:t>Original-13 state.</w:t>
            </w:r>
          </w:p>
        </w:tc>
        <w:tc>
          <w:tcPr>
            <w:tcW w:w="1980" w:type="dxa"/>
          </w:tcPr>
          <w:p w14:paraId="01328F40" w14:textId="77777777" w:rsidR="00DC02F5" w:rsidRDefault="00000000">
            <w:r>
              <w:t>1805 Common School Fund from state lands; 1821/1846 lockbox provisions.</w:t>
            </w:r>
          </w:p>
        </w:tc>
        <w:tc>
          <w:tcPr>
            <w:tcW w:w="1980" w:type="dxa"/>
          </w:tcPr>
          <w:p w14:paraId="0BAE2B5F" w14:textId="77777777" w:rsidR="00DC02F5" w:rsidRDefault="00000000">
            <w:r>
              <w:t>New York worked out the permanent-fund pattern before many public-land states received their grants.</w:t>
            </w:r>
          </w:p>
        </w:tc>
      </w:tr>
      <w:tr w:rsidR="00DC02F5" w14:paraId="1158A1A8" w14:textId="77777777">
        <w:tc>
          <w:tcPr>
            <w:tcW w:w="1980" w:type="dxa"/>
          </w:tcPr>
          <w:p w14:paraId="4B980A34" w14:textId="77777777" w:rsidR="00DC02F5" w:rsidRDefault="00000000">
            <w:r>
              <w:t>North Carolina</w:t>
            </w:r>
          </w:p>
        </w:tc>
        <w:tc>
          <w:tcPr>
            <w:tcW w:w="1980" w:type="dxa"/>
          </w:tcPr>
          <w:p w14:paraId="22CC3AB5" w14:textId="77777777" w:rsidR="00DC02F5" w:rsidRDefault="00000000">
            <w:r>
              <w:t>Original-13 state.</w:t>
            </w:r>
          </w:p>
        </w:tc>
        <w:tc>
          <w:tcPr>
            <w:tcW w:w="1980" w:type="dxa"/>
          </w:tcPr>
          <w:p w14:paraId="0FF4EA67" w14:textId="77777777" w:rsidR="00DC02F5" w:rsidRDefault="00000000">
            <w:r>
              <w:t>State literary/school funds and modern adequacy litigation.</w:t>
            </w:r>
          </w:p>
        </w:tc>
        <w:tc>
          <w:tcPr>
            <w:tcW w:w="1980" w:type="dxa"/>
          </w:tcPr>
          <w:p w14:paraId="41D1312F" w14:textId="77777777" w:rsidR="00DC02F5" w:rsidRDefault="00000000">
            <w:r>
              <w:t>The school-fund clause is not self-executing; the contemporary lesson is remedy design, not corpus preservation.</w:t>
            </w:r>
          </w:p>
        </w:tc>
      </w:tr>
      <w:tr w:rsidR="00DC02F5" w14:paraId="077DCBF2" w14:textId="77777777">
        <w:tc>
          <w:tcPr>
            <w:tcW w:w="1980" w:type="dxa"/>
          </w:tcPr>
          <w:p w14:paraId="103E6BBF" w14:textId="77777777" w:rsidR="00DC02F5" w:rsidRDefault="00000000">
            <w:r>
              <w:t>Pennsylvania</w:t>
            </w:r>
          </w:p>
        </w:tc>
        <w:tc>
          <w:tcPr>
            <w:tcW w:w="1980" w:type="dxa"/>
          </w:tcPr>
          <w:p w14:paraId="45B83D54" w14:textId="77777777" w:rsidR="00DC02F5" w:rsidRDefault="00000000">
            <w:r>
              <w:t>Original-13 state.</w:t>
            </w:r>
          </w:p>
        </w:tc>
        <w:tc>
          <w:tcPr>
            <w:tcW w:w="1980" w:type="dxa"/>
          </w:tcPr>
          <w:p w14:paraId="4815892C" w14:textId="77777777" w:rsidR="00DC02F5" w:rsidRDefault="00000000">
            <w:r>
              <w:t xml:space="preserve">Education clause and modern </w:t>
            </w:r>
            <w:r>
              <w:rPr>
                <w:i/>
                <w:iCs/>
              </w:rPr>
              <w:lastRenderedPageBreak/>
              <w:t>William Penn</w:t>
            </w:r>
            <w:r>
              <w:t xml:space="preserve"> adequacy doctrine; no school-land corpus.</w:t>
            </w:r>
          </w:p>
        </w:tc>
        <w:tc>
          <w:tcPr>
            <w:tcW w:w="1980" w:type="dxa"/>
          </w:tcPr>
          <w:p w14:paraId="7D3C25A9" w14:textId="77777777" w:rsidR="00DC02F5" w:rsidRDefault="00000000">
            <w:r>
              <w:lastRenderedPageBreak/>
              <w:t xml:space="preserve">Shows a demand-side school duty: </w:t>
            </w:r>
            <w:r>
              <w:lastRenderedPageBreak/>
              <w:t>courts can require adequate schools without restoring a trust fund.</w:t>
            </w:r>
          </w:p>
        </w:tc>
      </w:tr>
      <w:tr w:rsidR="00DC02F5" w14:paraId="62038EEC" w14:textId="77777777">
        <w:tc>
          <w:tcPr>
            <w:tcW w:w="1980" w:type="dxa"/>
          </w:tcPr>
          <w:p w14:paraId="0005A6A9" w14:textId="77777777" w:rsidR="00DC02F5" w:rsidRDefault="00000000">
            <w:r>
              <w:lastRenderedPageBreak/>
              <w:t>Rhode Island</w:t>
            </w:r>
          </w:p>
        </w:tc>
        <w:tc>
          <w:tcPr>
            <w:tcW w:w="1980" w:type="dxa"/>
          </w:tcPr>
          <w:p w14:paraId="73D74728" w14:textId="77777777" w:rsidR="00DC02F5" w:rsidRDefault="00000000">
            <w:r>
              <w:t>Original-13 state.</w:t>
            </w:r>
          </w:p>
        </w:tc>
        <w:tc>
          <w:tcPr>
            <w:tcW w:w="1980" w:type="dxa"/>
          </w:tcPr>
          <w:p w14:paraId="24D1B85B" w14:textId="77777777" w:rsidR="00DC02F5" w:rsidRDefault="00000000">
            <w:r>
              <w:t>Small permanent school fund; courts largely noninterventionist on adequacy.</w:t>
            </w:r>
          </w:p>
        </w:tc>
        <w:tc>
          <w:tcPr>
            <w:tcW w:w="1980" w:type="dxa"/>
          </w:tcPr>
          <w:p w14:paraId="1C9A2ED6" w14:textId="77777777" w:rsidR="00DC02F5" w:rsidRDefault="00000000">
            <w:r>
              <w:t>Perpetuity language cannot carry a system if the fund is tiny and courts decline to enforce the broader duty.</w:t>
            </w:r>
          </w:p>
        </w:tc>
      </w:tr>
      <w:tr w:rsidR="00DC02F5" w14:paraId="0230E43F" w14:textId="77777777">
        <w:tc>
          <w:tcPr>
            <w:tcW w:w="1980" w:type="dxa"/>
          </w:tcPr>
          <w:p w14:paraId="3D8EE301" w14:textId="77777777" w:rsidR="00DC02F5" w:rsidRDefault="00000000">
            <w:r>
              <w:t>South Carolina</w:t>
            </w:r>
          </w:p>
        </w:tc>
        <w:tc>
          <w:tcPr>
            <w:tcW w:w="1980" w:type="dxa"/>
          </w:tcPr>
          <w:p w14:paraId="2DA76D17" w14:textId="77777777" w:rsidR="00DC02F5" w:rsidRDefault="00000000">
            <w:r>
              <w:t>Original-13 state.</w:t>
            </w:r>
          </w:p>
        </w:tc>
        <w:tc>
          <w:tcPr>
            <w:tcW w:w="1980" w:type="dxa"/>
          </w:tcPr>
          <w:p w14:paraId="0B10C906" w14:textId="77777777" w:rsidR="00DC02F5" w:rsidRDefault="00000000">
            <w:r>
              <w:t>Reconstructed public-school duty, adequacy cases, and no-aid/private-school funding litigation.</w:t>
            </w:r>
          </w:p>
        </w:tc>
        <w:tc>
          <w:tcPr>
            <w:tcW w:w="1980" w:type="dxa"/>
          </w:tcPr>
          <w:p w14:paraId="1DFCB177" w14:textId="77777777" w:rsidR="00DC02F5" w:rsidRDefault="00000000">
            <w:r>
              <w:t>Shows that a school duty can be politically weakened and later rebuilt; vigilance matters even without land.</w:t>
            </w:r>
          </w:p>
        </w:tc>
      </w:tr>
      <w:tr w:rsidR="00DC02F5" w14:paraId="137869DB" w14:textId="77777777">
        <w:tc>
          <w:tcPr>
            <w:tcW w:w="1980" w:type="dxa"/>
          </w:tcPr>
          <w:p w14:paraId="28B0F957" w14:textId="77777777" w:rsidR="00DC02F5" w:rsidRDefault="00000000">
            <w:r>
              <w:t>Virginia</w:t>
            </w:r>
          </w:p>
        </w:tc>
        <w:tc>
          <w:tcPr>
            <w:tcW w:w="1980" w:type="dxa"/>
          </w:tcPr>
          <w:p w14:paraId="285A37C8" w14:textId="77777777" w:rsidR="00DC02F5" w:rsidRDefault="00000000">
            <w:r>
              <w:t xml:space="preserve">Original-13 state; ceded the </w:t>
            </w:r>
            <w:r>
              <w:lastRenderedPageBreak/>
              <w:t>Northwest Territory that made the federal template possible.</w:t>
            </w:r>
          </w:p>
        </w:tc>
        <w:tc>
          <w:tcPr>
            <w:tcW w:w="1980" w:type="dxa"/>
          </w:tcPr>
          <w:p w14:paraId="281AAE7A" w14:textId="77777777" w:rsidR="00DC02F5" w:rsidRDefault="00000000">
            <w:r>
              <w:lastRenderedPageBreak/>
              <w:t xml:space="preserve">Literary Fund and education </w:t>
            </w:r>
            <w:r>
              <w:lastRenderedPageBreak/>
              <w:t>clause; adequacy door narrower than in some states.</w:t>
            </w:r>
          </w:p>
        </w:tc>
        <w:tc>
          <w:tcPr>
            <w:tcW w:w="1980" w:type="dxa"/>
          </w:tcPr>
          <w:p w14:paraId="22A4485A" w14:textId="77777777" w:rsidR="00DC02F5" w:rsidRDefault="00000000">
            <w:r>
              <w:lastRenderedPageBreak/>
              <w:t xml:space="preserve">Virginia supplied both </w:t>
            </w:r>
            <w:r>
              <w:lastRenderedPageBreak/>
              <w:t>land and argument upstream of the federal system without itself receiving the grant.</w:t>
            </w:r>
          </w:p>
        </w:tc>
      </w:tr>
      <w:tr w:rsidR="00DC02F5" w14:paraId="1CB393AA" w14:textId="77777777">
        <w:tc>
          <w:tcPr>
            <w:tcW w:w="1980" w:type="dxa"/>
          </w:tcPr>
          <w:p w14:paraId="0D81C324" w14:textId="77777777" w:rsidR="00DC02F5" w:rsidRDefault="00000000">
            <w:r>
              <w:lastRenderedPageBreak/>
              <w:t>Vermont</w:t>
            </w:r>
          </w:p>
        </w:tc>
        <w:tc>
          <w:tcPr>
            <w:tcW w:w="1980" w:type="dxa"/>
          </w:tcPr>
          <w:p w14:paraId="4627E19E" w14:textId="77777777" w:rsidR="00DC02F5" w:rsidRDefault="00000000">
            <w:r>
              <w:t>Entered from its own republic/claims, not federal public domain.</w:t>
            </w:r>
          </w:p>
        </w:tc>
        <w:tc>
          <w:tcPr>
            <w:tcW w:w="1980" w:type="dxa"/>
          </w:tcPr>
          <w:p w14:paraId="03074451" w14:textId="77777777" w:rsidR="00DC02F5" w:rsidRDefault="00000000">
            <w:r>
              <w:t>Town school-right lands and an enforceable state education clause.</w:t>
            </w:r>
          </w:p>
        </w:tc>
        <w:tc>
          <w:tcPr>
            <w:tcW w:w="1980" w:type="dxa"/>
          </w:tcPr>
          <w:p w14:paraId="48D489B4" w14:textId="77777777" w:rsidR="00DC02F5" w:rsidRDefault="00000000">
            <w:r>
              <w:t>The school-land idea was already in the air before 1785; Vermont proves the federal template ratified a broader civic pattern.</w:t>
            </w:r>
          </w:p>
        </w:tc>
      </w:tr>
      <w:tr w:rsidR="00DC02F5" w14:paraId="790F4C5A" w14:textId="77777777">
        <w:tc>
          <w:tcPr>
            <w:tcW w:w="1980" w:type="dxa"/>
          </w:tcPr>
          <w:p w14:paraId="3034A000" w14:textId="77777777" w:rsidR="00DC02F5" w:rsidRDefault="00000000">
            <w:r>
              <w:t>Kentucky</w:t>
            </w:r>
          </w:p>
        </w:tc>
        <w:tc>
          <w:tcPr>
            <w:tcW w:w="1980" w:type="dxa"/>
          </w:tcPr>
          <w:p w14:paraId="6DEADF29" w14:textId="77777777" w:rsidR="00DC02F5" w:rsidRDefault="00000000">
            <w:r>
              <w:t>Carved from Virginia; lands never federal public domain.</w:t>
            </w:r>
          </w:p>
        </w:tc>
        <w:tc>
          <w:tcPr>
            <w:tcW w:w="1980" w:type="dxa"/>
          </w:tcPr>
          <w:p w14:paraId="66802CD1" w14:textId="77777777" w:rsidR="00DC02F5" w:rsidRDefault="00000000">
            <w:r>
              <w:t>Common School Fund seeded in part by federal surplus cash, not land; strong lockbox language.</w:t>
            </w:r>
          </w:p>
        </w:tc>
        <w:tc>
          <w:tcPr>
            <w:tcW w:w="1980" w:type="dxa"/>
          </w:tcPr>
          <w:p w14:paraId="5E4430C1" w14:textId="77777777" w:rsidR="00DC02F5" w:rsidRDefault="00000000">
            <w:r>
              <w:t>A state can build trust-like protection from cash and state law, but it lacks the federal compact floor.</w:t>
            </w:r>
          </w:p>
        </w:tc>
      </w:tr>
      <w:tr w:rsidR="00DC02F5" w14:paraId="4EA48D20" w14:textId="77777777">
        <w:tc>
          <w:tcPr>
            <w:tcW w:w="1980" w:type="dxa"/>
          </w:tcPr>
          <w:p w14:paraId="5AF11CA5" w14:textId="77777777" w:rsidR="00DC02F5" w:rsidRDefault="00000000">
            <w:r>
              <w:lastRenderedPageBreak/>
              <w:t>Maine</w:t>
            </w:r>
          </w:p>
        </w:tc>
        <w:tc>
          <w:tcPr>
            <w:tcW w:w="1980" w:type="dxa"/>
          </w:tcPr>
          <w:p w14:paraId="6EE4BAD5" w14:textId="77777777" w:rsidR="00DC02F5" w:rsidRDefault="00000000">
            <w:r>
              <w:t>Separated from Massachusetts; no federal public domain.</w:t>
            </w:r>
          </w:p>
        </w:tc>
        <w:tc>
          <w:tcPr>
            <w:tcW w:w="1980" w:type="dxa"/>
          </w:tcPr>
          <w:p w14:paraId="57E075DD" w14:textId="77777777" w:rsidR="00DC02F5" w:rsidRDefault="00000000">
            <w:r>
              <w:t>Public lots and reserved lands; modern revenue largely serves land management rather than schools.</w:t>
            </w:r>
          </w:p>
        </w:tc>
        <w:tc>
          <w:tcPr>
            <w:tcW w:w="1980" w:type="dxa"/>
          </w:tcPr>
          <w:p w14:paraId="59167C1F" w14:textId="77777777" w:rsidR="00DC02F5" w:rsidRDefault="00000000">
            <w:r>
              <w:t>The school thread can fray even when public lands survive; purpose can migrate without dramatic breach.</w:t>
            </w:r>
          </w:p>
        </w:tc>
      </w:tr>
      <w:tr w:rsidR="00DC02F5" w14:paraId="4A4FC26B" w14:textId="77777777">
        <w:tc>
          <w:tcPr>
            <w:tcW w:w="1980" w:type="dxa"/>
          </w:tcPr>
          <w:p w14:paraId="19C6D2A1" w14:textId="77777777" w:rsidR="00DC02F5" w:rsidRDefault="00000000">
            <w:r>
              <w:t>West Virginia</w:t>
            </w:r>
          </w:p>
        </w:tc>
        <w:tc>
          <w:tcPr>
            <w:tcW w:w="1980" w:type="dxa"/>
          </w:tcPr>
          <w:p w14:paraId="7B8B2155" w14:textId="77777777" w:rsidR="00DC02F5" w:rsidRDefault="00000000">
            <w:r>
              <w:t>Carved from Virginia during the Civil War; no federal section grant.</w:t>
            </w:r>
          </w:p>
        </w:tc>
        <w:tc>
          <w:tcPr>
            <w:tcW w:w="1980" w:type="dxa"/>
          </w:tcPr>
          <w:p w14:paraId="238AB896" w14:textId="77777777" w:rsidR="00DC02F5" w:rsidRDefault="00000000">
            <w:r>
              <w:t xml:space="preserve">Small irreducible School Fund plus strong adequacy doctrine in </w:t>
            </w:r>
            <w:r>
              <w:rPr>
                <w:i/>
                <w:iCs/>
              </w:rPr>
              <w:t>Pauley</w:t>
            </w:r>
            <w:r>
              <w:t>.</w:t>
            </w:r>
          </w:p>
        </w:tc>
        <w:tc>
          <w:tcPr>
            <w:tcW w:w="1980" w:type="dxa"/>
          </w:tcPr>
          <w:p w14:paraId="1BD80BF7" w14:textId="77777777" w:rsidR="00DC02F5" w:rsidRDefault="00000000">
            <w:r>
              <w:t>A small, well-walled fund plus an enforceable school duty may matter more than a large but reachable fund.</w:t>
            </w:r>
          </w:p>
        </w:tc>
      </w:tr>
    </w:tbl>
    <w:p w14:paraId="70E26BD8" w14:textId="77777777" w:rsidR="00DC02F5" w:rsidRDefault="00000000">
      <w:pPr>
        <w:pStyle w:val="BodyText"/>
      </w:pPr>
      <w:r>
        <w:rPr>
          <w:i/>
          <w:iCs/>
        </w:rPr>
        <w:t>Sources/notes (non-grant states):</w:t>
      </w:r>
      <w:r>
        <w:t xml:space="preserve"> </w:t>
      </w:r>
      <w:r>
        <w:rPr>
          <w:b/>
          <w:bCs/>
        </w:rPr>
        <w:t>Vermont</w:t>
      </w:r>
      <w:r>
        <w:t xml:space="preserve"> — Act of Feb. 18, 1791, 1 Stat. 191; Vt. Const. of 1777 (ch. II, §XL) and 1793 (ch. II, §68); </w:t>
      </w:r>
      <w:r>
        <w:rPr>
          <w:i/>
          <w:iCs/>
        </w:rPr>
        <w:t>Galkin v. Town of Chester</w:t>
      </w:r>
      <w:r>
        <w:t xml:space="preserve">, 168 Vt. 82 (1998); </w:t>
      </w:r>
      <w:r>
        <w:rPr>
          <w:i/>
          <w:iCs/>
        </w:rPr>
        <w:t>Brigham v. State</w:t>
      </w:r>
      <w:r>
        <w:t xml:space="preserve">, 166 Vt. 246 (1997). </w:t>
      </w:r>
      <w:r>
        <w:rPr>
          <w:b/>
          <w:bCs/>
        </w:rPr>
        <w:t>Kentucky</w:t>
      </w:r>
      <w:r>
        <w:t xml:space="preserve"> — Act of Feb. 4, 1791, 1 Stat. 189; Compact with Virginia (1789); Ky. Const. §§183–184; </w:t>
      </w:r>
      <w:r>
        <w:rPr>
          <w:i/>
          <w:iCs/>
        </w:rPr>
        <w:t>Rose v. Council for Better Education</w:t>
      </w:r>
      <w:r>
        <w:t xml:space="preserve">, 790 S.W.2d 186 (Ky. 1989). </w:t>
      </w:r>
      <w:r>
        <w:rPr>
          <w:b/>
          <w:bCs/>
        </w:rPr>
        <w:t>Maine</w:t>
      </w:r>
      <w:r>
        <w:t xml:space="preserve"> — Act of Mar. 3, 1820, 3 Stat. 544; Articles of Separation (1819); </w:t>
      </w:r>
      <w:r>
        <w:rPr>
          <w:i/>
          <w:iCs/>
        </w:rPr>
        <w:t>Cushing v. State</w:t>
      </w:r>
      <w:r>
        <w:t xml:space="preserve">, 434 A.2d 486 (Me. 1981); L. Schepps, </w:t>
      </w:r>
      <w:r>
        <w:rPr>
          <w:i/>
          <w:iCs/>
        </w:rPr>
        <w:t>Maine’s Public Lots</w:t>
      </w:r>
      <w:r>
        <w:t xml:space="preserve"> (1973). </w:t>
      </w:r>
      <w:r>
        <w:rPr>
          <w:b/>
          <w:bCs/>
        </w:rPr>
        <w:t>Virginia</w:t>
      </w:r>
      <w:r>
        <w:t xml:space="preserve"> — Va. Const. art. VIII §8 (Literary Fund, 1810); </w:t>
      </w:r>
      <w:r>
        <w:rPr>
          <w:i/>
          <w:iCs/>
        </w:rPr>
        <w:t>Virginia v. West Virginia</w:t>
      </w:r>
      <w:r>
        <w:t xml:space="preserve">, 220 U.S. 1 (1911), 246 </w:t>
      </w:r>
      <w:r>
        <w:lastRenderedPageBreak/>
        <w:t xml:space="preserve">U.S. 565 (1918). </w:t>
      </w:r>
      <w:r>
        <w:rPr>
          <w:b/>
          <w:bCs/>
        </w:rPr>
        <w:t>West Virginia</w:t>
      </w:r>
      <w:r>
        <w:t xml:space="preserve"> — Act of Dec. 31, 1862, 12 Stat. 633; W. Va. Const. art. XII §§1, 4; </w:t>
      </w:r>
      <w:r>
        <w:rPr>
          <w:i/>
          <w:iCs/>
        </w:rPr>
        <w:t>Pauley v. Kelly</w:t>
      </w:r>
      <w:r>
        <w:t xml:space="preserve">, 162 W. Va. 672 (1979). </w:t>
      </w:r>
      <w:r>
        <w:rPr>
          <w:b/>
          <w:bCs/>
        </w:rPr>
        <w:t>Georgia</w:t>
      </w:r>
      <w:r>
        <w:t xml:space="preserve"> — Thomas Robinson, “Identity, Dissent, and the Roots of Georgia’s Middle Class, 1848–1865” (Ph.D. diss., Univ. of Mississippi, 2019), 110–11 (the Bryan County figure, citing the Gov. George W. Towns papers, Hargrett Library, Univ. of Georgia); Dorothy Orr, </w:t>
      </w:r>
      <w:r>
        <w:rPr>
          <w:i/>
          <w:iCs/>
        </w:rPr>
        <w:t>A History of Education in Georgia</w:t>
      </w:r>
      <w:r>
        <w:t xml:space="preserve"> (1950) (Poor School Fund context). Three of the adequacy-case citations are now pinned (CourtListener): Massachusetts — </w:t>
      </w:r>
      <w:r>
        <w:rPr>
          <w:i/>
          <w:iCs/>
        </w:rPr>
        <w:t>McDuffy v. Secretary of the Executive Office of Education</w:t>
      </w:r>
      <w:r>
        <w:t xml:space="preserve">, 415 Mass. 545, 615 N.E.2d 516 (1993); New Hampshire — </w:t>
      </w:r>
      <w:r>
        <w:rPr>
          <w:i/>
          <w:iCs/>
        </w:rPr>
        <w:t>Claremont School District v. Governor</w:t>
      </w:r>
      <w:r>
        <w:t xml:space="preserve">, 143 N.H. 154 (1998), through 147 N.H. 499 (2002); Pennsylvania — </w:t>
      </w:r>
      <w:r>
        <w:rPr>
          <w:i/>
          <w:iCs/>
        </w:rPr>
        <w:t>William Penn School District v. Pennsylvania Department of Education</w:t>
      </w:r>
      <w:r>
        <w:t>, 170 A.3d 414 (Pa. 2017). The fund/clause references for Connecticut, Delaware, Maryland, New Jersey, New York, North Carolina, Rhode Island, and South Carolina are accurate but their reporter/statute citations are not yet pinned. Present-day corpus figures for the non-grant states are intentionally omitted unless already source-dated.</w:t>
      </w:r>
    </w:p>
    <w:p w14:paraId="395029AA" w14:textId="77777777" w:rsidR="00DC02F5" w:rsidRDefault="00000000">
      <w:r>
        <w:br w:type="page"/>
      </w:r>
    </w:p>
    <w:p w14:paraId="535B43AF" w14:textId="77777777" w:rsidR="00DC02F5" w:rsidRDefault="00000000">
      <w:pPr>
        <w:pStyle w:val="BodyText"/>
      </w:pPr>
      <w:r>
        <w:rPr>
          <w:b/>
          <w:bCs/>
        </w:rPr>
        <w:lastRenderedPageBreak/>
        <w:t>Living pages — the non-grant states.</w:t>
      </w:r>
      <w:r>
        <w:t xml:space="preserve"> These states received no federal school-land grant, so they appear above in brief. Each still has a living page online with its fuller record:</w:t>
      </w:r>
    </w:p>
    <w:p w14:paraId="6F40841C" w14:textId="77777777" w:rsidR="00DC02F5" w:rsidRDefault="00000000">
      <w:pPr>
        <w:pStyle w:val="BodyText"/>
      </w:pPr>
      <w:r>
        <w:rPr>
          <w:b/>
          <w:bCs/>
        </w:rPr>
        <w:t>Connecticut</w:t>
      </w:r>
      <w:r>
        <w:t xml:space="preserve"> · schooltrusts.net/reading/us-ct</w:t>
      </w:r>
    </w:p>
    <w:p w14:paraId="191929D3" w14:textId="77777777" w:rsidR="00DC02F5" w:rsidRDefault="00000000">
      <w:pPr>
        <w:pStyle w:val="BodyText"/>
      </w:pPr>
      <w:r>
        <w:rPr>
          <w:noProof/>
        </w:rPr>
        <w:drawing>
          <wp:inline distT="0" distB="0" distL="0" distR="0" wp14:anchorId="0C20C08D" wp14:editId="5F87888F">
            <wp:extent cx="502920" cy="587044"/>
            <wp:effectExtent l="0" t="0" r="0" b="0"/>
            <wp:docPr id="195" name="Picture"/>
            <wp:cNvGraphicFramePr/>
            <a:graphic xmlns:a="http://schemas.openxmlformats.org/drawingml/2006/main">
              <a:graphicData uri="http://schemas.openxmlformats.org/drawingml/2006/picture">
                <pic:pic xmlns:pic="http://schemas.openxmlformats.org/drawingml/2006/picture">
                  <pic:nvPicPr>
                    <pic:cNvPr id="196" name="Picture" descr="C:/Users/drdav/My%20Drive/Claude%20Cowork/_tools/_web_cache/qr_us-ct_109d2e525972_1200x_q90.jpg"/>
                    <pic:cNvPicPr>
                      <a:picLocks noChangeAspect="1" noChangeArrowheads="1"/>
                    </pic:cNvPicPr>
                  </pic:nvPicPr>
                  <pic:blipFill>
                    <a:blip r:embed="rId44"/>
                    <a:stretch>
                      <a:fillRect/>
                    </a:stretch>
                  </pic:blipFill>
                  <pic:spPr bwMode="auto">
                    <a:xfrm>
                      <a:off x="0" y="0"/>
                      <a:ext cx="502920" cy="587044"/>
                    </a:xfrm>
                    <a:prstGeom prst="rect">
                      <a:avLst/>
                    </a:prstGeom>
                    <a:noFill/>
                    <a:ln w="9525">
                      <a:noFill/>
                      <a:headEnd/>
                      <a:tailEnd/>
                    </a:ln>
                  </pic:spPr>
                </pic:pic>
              </a:graphicData>
            </a:graphic>
          </wp:inline>
        </w:drawing>
      </w:r>
    </w:p>
    <w:p w14:paraId="75663CAB" w14:textId="77777777" w:rsidR="00DC02F5" w:rsidRDefault="00000000">
      <w:pPr>
        <w:pStyle w:val="BodyText"/>
      </w:pPr>
      <w:r>
        <w:rPr>
          <w:b/>
          <w:bCs/>
        </w:rPr>
        <w:t>Delaware</w:t>
      </w:r>
      <w:r>
        <w:t xml:space="preserve"> · schooltrusts.net/reading/us-de</w:t>
      </w:r>
    </w:p>
    <w:p w14:paraId="6E327516" w14:textId="77777777" w:rsidR="00DC02F5" w:rsidRDefault="00000000">
      <w:pPr>
        <w:pStyle w:val="BodyText"/>
      </w:pPr>
      <w:r>
        <w:rPr>
          <w:noProof/>
        </w:rPr>
        <w:drawing>
          <wp:inline distT="0" distB="0" distL="0" distR="0" wp14:anchorId="6D8EBDA6" wp14:editId="180E7222">
            <wp:extent cx="502920" cy="587044"/>
            <wp:effectExtent l="0" t="0" r="0" b="0"/>
            <wp:docPr id="198" name="Picture"/>
            <wp:cNvGraphicFramePr/>
            <a:graphic xmlns:a="http://schemas.openxmlformats.org/drawingml/2006/main">
              <a:graphicData uri="http://schemas.openxmlformats.org/drawingml/2006/picture">
                <pic:pic xmlns:pic="http://schemas.openxmlformats.org/drawingml/2006/picture">
                  <pic:nvPicPr>
                    <pic:cNvPr id="199" name="Picture" descr="C:/Users/drdav/My%20Drive/Claude%20Cowork/_tools/_web_cache/qr_us-de_9dcf07e3989e_1200x_q90.jpg"/>
                    <pic:cNvPicPr>
                      <a:picLocks noChangeAspect="1" noChangeArrowheads="1"/>
                    </pic:cNvPicPr>
                  </pic:nvPicPr>
                  <pic:blipFill>
                    <a:blip r:embed="rId45"/>
                    <a:stretch>
                      <a:fillRect/>
                    </a:stretch>
                  </pic:blipFill>
                  <pic:spPr bwMode="auto">
                    <a:xfrm>
                      <a:off x="0" y="0"/>
                      <a:ext cx="502920" cy="587044"/>
                    </a:xfrm>
                    <a:prstGeom prst="rect">
                      <a:avLst/>
                    </a:prstGeom>
                    <a:noFill/>
                    <a:ln w="9525">
                      <a:noFill/>
                      <a:headEnd/>
                      <a:tailEnd/>
                    </a:ln>
                  </pic:spPr>
                </pic:pic>
              </a:graphicData>
            </a:graphic>
          </wp:inline>
        </w:drawing>
      </w:r>
    </w:p>
    <w:p w14:paraId="20C2CEB2" w14:textId="77777777" w:rsidR="00DC02F5" w:rsidRDefault="00000000">
      <w:pPr>
        <w:pStyle w:val="BodyText"/>
      </w:pPr>
      <w:r>
        <w:rPr>
          <w:b/>
          <w:bCs/>
        </w:rPr>
        <w:t>Georgia</w:t>
      </w:r>
      <w:r>
        <w:t xml:space="preserve"> · schooltrusts.net/reading/us-ga</w:t>
      </w:r>
    </w:p>
    <w:p w14:paraId="6C804652" w14:textId="77777777" w:rsidR="00DC02F5" w:rsidRDefault="00000000">
      <w:pPr>
        <w:pStyle w:val="BodyText"/>
      </w:pPr>
      <w:r>
        <w:rPr>
          <w:noProof/>
        </w:rPr>
        <w:drawing>
          <wp:inline distT="0" distB="0" distL="0" distR="0" wp14:anchorId="7D3D3A52" wp14:editId="30F34FEE">
            <wp:extent cx="502920" cy="587044"/>
            <wp:effectExtent l="0" t="0" r="0" b="0"/>
            <wp:docPr id="201" name="Picture"/>
            <wp:cNvGraphicFramePr/>
            <a:graphic xmlns:a="http://schemas.openxmlformats.org/drawingml/2006/main">
              <a:graphicData uri="http://schemas.openxmlformats.org/drawingml/2006/picture">
                <pic:pic xmlns:pic="http://schemas.openxmlformats.org/drawingml/2006/picture">
                  <pic:nvPicPr>
                    <pic:cNvPr id="202" name="Picture" descr="C:/Users/drdav/My%20Drive/Claude%20Cowork/_tools/_web_cache/qr_us-ga_7a697471e6eb_1200x_q90.jpg"/>
                    <pic:cNvPicPr>
                      <a:picLocks noChangeAspect="1" noChangeArrowheads="1"/>
                    </pic:cNvPicPr>
                  </pic:nvPicPr>
                  <pic:blipFill>
                    <a:blip r:embed="rId46"/>
                    <a:stretch>
                      <a:fillRect/>
                    </a:stretch>
                  </pic:blipFill>
                  <pic:spPr bwMode="auto">
                    <a:xfrm>
                      <a:off x="0" y="0"/>
                      <a:ext cx="502920" cy="587044"/>
                    </a:xfrm>
                    <a:prstGeom prst="rect">
                      <a:avLst/>
                    </a:prstGeom>
                    <a:noFill/>
                    <a:ln w="9525">
                      <a:noFill/>
                      <a:headEnd/>
                      <a:tailEnd/>
                    </a:ln>
                  </pic:spPr>
                </pic:pic>
              </a:graphicData>
            </a:graphic>
          </wp:inline>
        </w:drawing>
      </w:r>
    </w:p>
    <w:p w14:paraId="1016B8D2" w14:textId="77777777" w:rsidR="00DC02F5" w:rsidRDefault="00000000">
      <w:pPr>
        <w:pStyle w:val="BodyText"/>
      </w:pPr>
      <w:r>
        <w:rPr>
          <w:b/>
          <w:bCs/>
        </w:rPr>
        <w:t>Kentucky</w:t>
      </w:r>
      <w:r>
        <w:t xml:space="preserve"> · schooltrusts.net/reading/us-ky</w:t>
      </w:r>
    </w:p>
    <w:p w14:paraId="52BCFBAC" w14:textId="77777777" w:rsidR="00DC02F5" w:rsidRDefault="00000000">
      <w:pPr>
        <w:pStyle w:val="BodyText"/>
      </w:pPr>
      <w:r>
        <w:rPr>
          <w:noProof/>
        </w:rPr>
        <w:drawing>
          <wp:inline distT="0" distB="0" distL="0" distR="0" wp14:anchorId="014E25EC" wp14:editId="2E1174A6">
            <wp:extent cx="502920" cy="587044"/>
            <wp:effectExtent l="0" t="0" r="0" b="0"/>
            <wp:docPr id="204" name="Picture"/>
            <wp:cNvGraphicFramePr/>
            <a:graphic xmlns:a="http://schemas.openxmlformats.org/drawingml/2006/main">
              <a:graphicData uri="http://schemas.openxmlformats.org/drawingml/2006/picture">
                <pic:pic xmlns:pic="http://schemas.openxmlformats.org/drawingml/2006/picture">
                  <pic:nvPicPr>
                    <pic:cNvPr id="205" name="Picture" descr="C:/Users/drdav/My%20Drive/Claude%20Cowork/_tools/_web_cache/qr_us-ky_12c2a04ac2bb_1200x_q90.jpg"/>
                    <pic:cNvPicPr>
                      <a:picLocks noChangeAspect="1" noChangeArrowheads="1"/>
                    </pic:cNvPicPr>
                  </pic:nvPicPr>
                  <pic:blipFill>
                    <a:blip r:embed="rId47"/>
                    <a:stretch>
                      <a:fillRect/>
                    </a:stretch>
                  </pic:blipFill>
                  <pic:spPr bwMode="auto">
                    <a:xfrm>
                      <a:off x="0" y="0"/>
                      <a:ext cx="502920" cy="587044"/>
                    </a:xfrm>
                    <a:prstGeom prst="rect">
                      <a:avLst/>
                    </a:prstGeom>
                    <a:noFill/>
                    <a:ln w="9525">
                      <a:noFill/>
                      <a:headEnd/>
                      <a:tailEnd/>
                    </a:ln>
                  </pic:spPr>
                </pic:pic>
              </a:graphicData>
            </a:graphic>
          </wp:inline>
        </w:drawing>
      </w:r>
    </w:p>
    <w:p w14:paraId="370FD5D8" w14:textId="77777777" w:rsidR="00DC02F5" w:rsidRDefault="00000000">
      <w:pPr>
        <w:pStyle w:val="BodyText"/>
      </w:pPr>
      <w:r>
        <w:rPr>
          <w:b/>
          <w:bCs/>
        </w:rPr>
        <w:t>Maine</w:t>
      </w:r>
      <w:r>
        <w:t xml:space="preserve"> · schooltrusts.net/reading/us-me</w:t>
      </w:r>
    </w:p>
    <w:p w14:paraId="758B8992" w14:textId="77777777" w:rsidR="00DC02F5" w:rsidRDefault="00000000">
      <w:pPr>
        <w:pStyle w:val="BodyText"/>
      </w:pPr>
      <w:r>
        <w:rPr>
          <w:noProof/>
        </w:rPr>
        <w:drawing>
          <wp:inline distT="0" distB="0" distL="0" distR="0" wp14:anchorId="6EB4DAB2" wp14:editId="2B36D491">
            <wp:extent cx="502920" cy="587044"/>
            <wp:effectExtent l="0" t="0" r="0" b="0"/>
            <wp:docPr id="207" name="Picture"/>
            <wp:cNvGraphicFramePr/>
            <a:graphic xmlns:a="http://schemas.openxmlformats.org/drawingml/2006/main">
              <a:graphicData uri="http://schemas.openxmlformats.org/drawingml/2006/picture">
                <pic:pic xmlns:pic="http://schemas.openxmlformats.org/drawingml/2006/picture">
                  <pic:nvPicPr>
                    <pic:cNvPr id="208" name="Picture" descr="C:/Users/drdav/My%20Drive/Claude%20Cowork/_tools/_web_cache/qr_us-me_b6f36700784c_1200x_q90.jpg"/>
                    <pic:cNvPicPr>
                      <a:picLocks noChangeAspect="1" noChangeArrowheads="1"/>
                    </pic:cNvPicPr>
                  </pic:nvPicPr>
                  <pic:blipFill>
                    <a:blip r:embed="rId48"/>
                    <a:stretch>
                      <a:fillRect/>
                    </a:stretch>
                  </pic:blipFill>
                  <pic:spPr bwMode="auto">
                    <a:xfrm>
                      <a:off x="0" y="0"/>
                      <a:ext cx="502920" cy="587044"/>
                    </a:xfrm>
                    <a:prstGeom prst="rect">
                      <a:avLst/>
                    </a:prstGeom>
                    <a:noFill/>
                    <a:ln w="9525">
                      <a:noFill/>
                      <a:headEnd/>
                      <a:tailEnd/>
                    </a:ln>
                  </pic:spPr>
                </pic:pic>
              </a:graphicData>
            </a:graphic>
          </wp:inline>
        </w:drawing>
      </w:r>
    </w:p>
    <w:p w14:paraId="05299889" w14:textId="77777777" w:rsidR="00DC02F5" w:rsidRDefault="00000000">
      <w:pPr>
        <w:pStyle w:val="BodyText"/>
      </w:pPr>
      <w:r>
        <w:rPr>
          <w:b/>
          <w:bCs/>
        </w:rPr>
        <w:t>Maryland</w:t>
      </w:r>
      <w:r>
        <w:t xml:space="preserve"> · schooltrusts.net/reading/us-md</w:t>
      </w:r>
    </w:p>
    <w:p w14:paraId="27CD61DD" w14:textId="77777777" w:rsidR="00DC02F5" w:rsidRDefault="00000000">
      <w:pPr>
        <w:pStyle w:val="BodyText"/>
      </w:pPr>
      <w:r>
        <w:rPr>
          <w:noProof/>
        </w:rPr>
        <w:lastRenderedPageBreak/>
        <w:drawing>
          <wp:inline distT="0" distB="0" distL="0" distR="0" wp14:anchorId="71857E23" wp14:editId="2944FF26">
            <wp:extent cx="502920" cy="587044"/>
            <wp:effectExtent l="0" t="0" r="0" b="0"/>
            <wp:docPr id="210" name="Picture"/>
            <wp:cNvGraphicFramePr/>
            <a:graphic xmlns:a="http://schemas.openxmlformats.org/drawingml/2006/main">
              <a:graphicData uri="http://schemas.openxmlformats.org/drawingml/2006/picture">
                <pic:pic xmlns:pic="http://schemas.openxmlformats.org/drawingml/2006/picture">
                  <pic:nvPicPr>
                    <pic:cNvPr id="211" name="Picture" descr="C:/Users/drdav/My%20Drive/Claude%20Cowork/_tools/_web_cache/qr_us-md_fffbe9b033b1_1200x_q90.jpg"/>
                    <pic:cNvPicPr>
                      <a:picLocks noChangeAspect="1" noChangeArrowheads="1"/>
                    </pic:cNvPicPr>
                  </pic:nvPicPr>
                  <pic:blipFill>
                    <a:blip r:embed="rId49"/>
                    <a:stretch>
                      <a:fillRect/>
                    </a:stretch>
                  </pic:blipFill>
                  <pic:spPr bwMode="auto">
                    <a:xfrm>
                      <a:off x="0" y="0"/>
                      <a:ext cx="502920" cy="587044"/>
                    </a:xfrm>
                    <a:prstGeom prst="rect">
                      <a:avLst/>
                    </a:prstGeom>
                    <a:noFill/>
                    <a:ln w="9525">
                      <a:noFill/>
                      <a:headEnd/>
                      <a:tailEnd/>
                    </a:ln>
                  </pic:spPr>
                </pic:pic>
              </a:graphicData>
            </a:graphic>
          </wp:inline>
        </w:drawing>
      </w:r>
    </w:p>
    <w:p w14:paraId="0D302791" w14:textId="77777777" w:rsidR="00DC02F5" w:rsidRDefault="00000000">
      <w:pPr>
        <w:pStyle w:val="BodyText"/>
      </w:pPr>
      <w:r>
        <w:rPr>
          <w:b/>
          <w:bCs/>
        </w:rPr>
        <w:t>Massachusetts</w:t>
      </w:r>
      <w:r>
        <w:t xml:space="preserve"> · schooltrusts.net/reading/us-ma</w:t>
      </w:r>
    </w:p>
    <w:p w14:paraId="0B6A95B5" w14:textId="77777777" w:rsidR="00DC02F5" w:rsidRDefault="00000000">
      <w:pPr>
        <w:pStyle w:val="BodyText"/>
      </w:pPr>
      <w:r>
        <w:rPr>
          <w:noProof/>
        </w:rPr>
        <w:drawing>
          <wp:inline distT="0" distB="0" distL="0" distR="0" wp14:anchorId="56FD2726" wp14:editId="48D3CE8C">
            <wp:extent cx="502920" cy="587044"/>
            <wp:effectExtent l="0" t="0" r="0" b="0"/>
            <wp:docPr id="213" name="Picture"/>
            <wp:cNvGraphicFramePr/>
            <a:graphic xmlns:a="http://schemas.openxmlformats.org/drawingml/2006/main">
              <a:graphicData uri="http://schemas.openxmlformats.org/drawingml/2006/picture">
                <pic:pic xmlns:pic="http://schemas.openxmlformats.org/drawingml/2006/picture">
                  <pic:nvPicPr>
                    <pic:cNvPr id="214" name="Picture" descr="C:/Users/drdav/My%20Drive/Claude%20Cowork/_tools/_web_cache/qr_us-ma_b0688c0d2114_1200x_q90.jpg"/>
                    <pic:cNvPicPr>
                      <a:picLocks noChangeAspect="1" noChangeArrowheads="1"/>
                    </pic:cNvPicPr>
                  </pic:nvPicPr>
                  <pic:blipFill>
                    <a:blip r:embed="rId50"/>
                    <a:stretch>
                      <a:fillRect/>
                    </a:stretch>
                  </pic:blipFill>
                  <pic:spPr bwMode="auto">
                    <a:xfrm>
                      <a:off x="0" y="0"/>
                      <a:ext cx="502920" cy="587044"/>
                    </a:xfrm>
                    <a:prstGeom prst="rect">
                      <a:avLst/>
                    </a:prstGeom>
                    <a:noFill/>
                    <a:ln w="9525">
                      <a:noFill/>
                      <a:headEnd/>
                      <a:tailEnd/>
                    </a:ln>
                  </pic:spPr>
                </pic:pic>
              </a:graphicData>
            </a:graphic>
          </wp:inline>
        </w:drawing>
      </w:r>
    </w:p>
    <w:p w14:paraId="12FE04CB" w14:textId="77777777" w:rsidR="00DC02F5" w:rsidRDefault="00000000">
      <w:pPr>
        <w:pStyle w:val="BodyText"/>
      </w:pPr>
      <w:r>
        <w:rPr>
          <w:b/>
          <w:bCs/>
        </w:rPr>
        <w:t>New Hampshire</w:t>
      </w:r>
      <w:r>
        <w:t xml:space="preserve"> · schooltrusts.net/reading/us-nh</w:t>
      </w:r>
    </w:p>
    <w:p w14:paraId="360A9086" w14:textId="77777777" w:rsidR="00DC02F5" w:rsidRDefault="00000000">
      <w:pPr>
        <w:pStyle w:val="BodyText"/>
      </w:pPr>
      <w:r>
        <w:rPr>
          <w:noProof/>
        </w:rPr>
        <w:drawing>
          <wp:inline distT="0" distB="0" distL="0" distR="0" wp14:anchorId="00A7A05D" wp14:editId="39BFB88C">
            <wp:extent cx="502920" cy="587044"/>
            <wp:effectExtent l="0" t="0" r="0" b="0"/>
            <wp:docPr id="216" name="Picture"/>
            <wp:cNvGraphicFramePr/>
            <a:graphic xmlns:a="http://schemas.openxmlformats.org/drawingml/2006/main">
              <a:graphicData uri="http://schemas.openxmlformats.org/drawingml/2006/picture">
                <pic:pic xmlns:pic="http://schemas.openxmlformats.org/drawingml/2006/picture">
                  <pic:nvPicPr>
                    <pic:cNvPr id="217" name="Picture" descr="C:/Users/drdav/My%20Drive/Claude%20Cowork/_tools/_web_cache/qr_us-nh_13a397d2881d_1200x_q90.jpg"/>
                    <pic:cNvPicPr>
                      <a:picLocks noChangeAspect="1" noChangeArrowheads="1"/>
                    </pic:cNvPicPr>
                  </pic:nvPicPr>
                  <pic:blipFill>
                    <a:blip r:embed="rId51"/>
                    <a:stretch>
                      <a:fillRect/>
                    </a:stretch>
                  </pic:blipFill>
                  <pic:spPr bwMode="auto">
                    <a:xfrm>
                      <a:off x="0" y="0"/>
                      <a:ext cx="502920" cy="587044"/>
                    </a:xfrm>
                    <a:prstGeom prst="rect">
                      <a:avLst/>
                    </a:prstGeom>
                    <a:noFill/>
                    <a:ln w="9525">
                      <a:noFill/>
                      <a:headEnd/>
                      <a:tailEnd/>
                    </a:ln>
                  </pic:spPr>
                </pic:pic>
              </a:graphicData>
            </a:graphic>
          </wp:inline>
        </w:drawing>
      </w:r>
    </w:p>
    <w:p w14:paraId="4E574809" w14:textId="77777777" w:rsidR="00DC02F5" w:rsidRDefault="00000000">
      <w:pPr>
        <w:pStyle w:val="BodyText"/>
      </w:pPr>
      <w:r>
        <w:rPr>
          <w:b/>
          <w:bCs/>
        </w:rPr>
        <w:t>New Jersey</w:t>
      </w:r>
      <w:r>
        <w:t xml:space="preserve"> · schooltrusts.net/reading/us-nj</w:t>
      </w:r>
    </w:p>
    <w:p w14:paraId="05735591" w14:textId="77777777" w:rsidR="00DC02F5" w:rsidRDefault="00000000">
      <w:pPr>
        <w:pStyle w:val="BodyText"/>
      </w:pPr>
      <w:r>
        <w:rPr>
          <w:noProof/>
        </w:rPr>
        <w:drawing>
          <wp:inline distT="0" distB="0" distL="0" distR="0" wp14:anchorId="0B17A583" wp14:editId="25353895">
            <wp:extent cx="502920" cy="587044"/>
            <wp:effectExtent l="0" t="0" r="0" b="0"/>
            <wp:docPr id="219" name="Picture"/>
            <wp:cNvGraphicFramePr/>
            <a:graphic xmlns:a="http://schemas.openxmlformats.org/drawingml/2006/main">
              <a:graphicData uri="http://schemas.openxmlformats.org/drawingml/2006/picture">
                <pic:pic xmlns:pic="http://schemas.openxmlformats.org/drawingml/2006/picture">
                  <pic:nvPicPr>
                    <pic:cNvPr id="220" name="Picture" descr="C:/Users/drdav/My%20Drive/Claude%20Cowork/_tools/_web_cache/qr_us-nj_61f1b3947c89_1200x_q90.jpg"/>
                    <pic:cNvPicPr>
                      <a:picLocks noChangeAspect="1" noChangeArrowheads="1"/>
                    </pic:cNvPicPr>
                  </pic:nvPicPr>
                  <pic:blipFill>
                    <a:blip r:embed="rId52"/>
                    <a:stretch>
                      <a:fillRect/>
                    </a:stretch>
                  </pic:blipFill>
                  <pic:spPr bwMode="auto">
                    <a:xfrm>
                      <a:off x="0" y="0"/>
                      <a:ext cx="502920" cy="587044"/>
                    </a:xfrm>
                    <a:prstGeom prst="rect">
                      <a:avLst/>
                    </a:prstGeom>
                    <a:noFill/>
                    <a:ln w="9525">
                      <a:noFill/>
                      <a:headEnd/>
                      <a:tailEnd/>
                    </a:ln>
                  </pic:spPr>
                </pic:pic>
              </a:graphicData>
            </a:graphic>
          </wp:inline>
        </w:drawing>
      </w:r>
    </w:p>
    <w:p w14:paraId="34A65C6A" w14:textId="77777777" w:rsidR="00DC02F5" w:rsidRDefault="00000000">
      <w:pPr>
        <w:pStyle w:val="BodyText"/>
      </w:pPr>
      <w:r>
        <w:rPr>
          <w:b/>
          <w:bCs/>
        </w:rPr>
        <w:t>New York</w:t>
      </w:r>
      <w:r>
        <w:t xml:space="preserve"> · schooltrusts.net/reading/us-ny</w:t>
      </w:r>
    </w:p>
    <w:p w14:paraId="6D3425F2" w14:textId="77777777" w:rsidR="00DC02F5" w:rsidRDefault="00000000">
      <w:pPr>
        <w:pStyle w:val="BodyText"/>
      </w:pPr>
      <w:r>
        <w:rPr>
          <w:noProof/>
        </w:rPr>
        <w:drawing>
          <wp:inline distT="0" distB="0" distL="0" distR="0" wp14:anchorId="05C86321" wp14:editId="738FA8E6">
            <wp:extent cx="502920" cy="587044"/>
            <wp:effectExtent l="0" t="0" r="0" b="0"/>
            <wp:docPr id="222" name="Picture"/>
            <wp:cNvGraphicFramePr/>
            <a:graphic xmlns:a="http://schemas.openxmlformats.org/drawingml/2006/main">
              <a:graphicData uri="http://schemas.openxmlformats.org/drawingml/2006/picture">
                <pic:pic xmlns:pic="http://schemas.openxmlformats.org/drawingml/2006/picture">
                  <pic:nvPicPr>
                    <pic:cNvPr id="223" name="Picture" descr="C:/Users/drdav/My%20Drive/Claude%20Cowork/_tools/_web_cache/qr_us-ny_e323bfb045f1_1200x_q90.jpg"/>
                    <pic:cNvPicPr>
                      <a:picLocks noChangeAspect="1" noChangeArrowheads="1"/>
                    </pic:cNvPicPr>
                  </pic:nvPicPr>
                  <pic:blipFill>
                    <a:blip r:embed="rId53"/>
                    <a:stretch>
                      <a:fillRect/>
                    </a:stretch>
                  </pic:blipFill>
                  <pic:spPr bwMode="auto">
                    <a:xfrm>
                      <a:off x="0" y="0"/>
                      <a:ext cx="502920" cy="587044"/>
                    </a:xfrm>
                    <a:prstGeom prst="rect">
                      <a:avLst/>
                    </a:prstGeom>
                    <a:noFill/>
                    <a:ln w="9525">
                      <a:noFill/>
                      <a:headEnd/>
                      <a:tailEnd/>
                    </a:ln>
                  </pic:spPr>
                </pic:pic>
              </a:graphicData>
            </a:graphic>
          </wp:inline>
        </w:drawing>
      </w:r>
    </w:p>
    <w:p w14:paraId="04A0B425" w14:textId="77777777" w:rsidR="00DC02F5" w:rsidRDefault="00000000">
      <w:pPr>
        <w:pStyle w:val="BodyText"/>
      </w:pPr>
      <w:r>
        <w:rPr>
          <w:b/>
          <w:bCs/>
        </w:rPr>
        <w:t>North Carolina</w:t>
      </w:r>
      <w:r>
        <w:t xml:space="preserve"> · schooltrusts.net/reading/us-nc</w:t>
      </w:r>
    </w:p>
    <w:p w14:paraId="242BB367" w14:textId="77777777" w:rsidR="00DC02F5" w:rsidRDefault="00000000">
      <w:pPr>
        <w:pStyle w:val="BodyText"/>
      </w:pPr>
      <w:r>
        <w:rPr>
          <w:noProof/>
        </w:rPr>
        <w:drawing>
          <wp:inline distT="0" distB="0" distL="0" distR="0" wp14:anchorId="694F7D6F" wp14:editId="298BEB29">
            <wp:extent cx="502920" cy="587044"/>
            <wp:effectExtent l="0" t="0" r="0" b="0"/>
            <wp:docPr id="225" name="Picture"/>
            <wp:cNvGraphicFramePr/>
            <a:graphic xmlns:a="http://schemas.openxmlformats.org/drawingml/2006/main">
              <a:graphicData uri="http://schemas.openxmlformats.org/drawingml/2006/picture">
                <pic:pic xmlns:pic="http://schemas.openxmlformats.org/drawingml/2006/picture">
                  <pic:nvPicPr>
                    <pic:cNvPr id="226" name="Picture" descr="C:/Users/drdav/My%20Drive/Claude%20Cowork/_tools/_web_cache/qr_us-nc_df76be61207d_1200x_q90.jpg"/>
                    <pic:cNvPicPr>
                      <a:picLocks noChangeAspect="1" noChangeArrowheads="1"/>
                    </pic:cNvPicPr>
                  </pic:nvPicPr>
                  <pic:blipFill>
                    <a:blip r:embed="rId54"/>
                    <a:stretch>
                      <a:fillRect/>
                    </a:stretch>
                  </pic:blipFill>
                  <pic:spPr bwMode="auto">
                    <a:xfrm>
                      <a:off x="0" y="0"/>
                      <a:ext cx="502920" cy="587044"/>
                    </a:xfrm>
                    <a:prstGeom prst="rect">
                      <a:avLst/>
                    </a:prstGeom>
                    <a:noFill/>
                    <a:ln w="9525">
                      <a:noFill/>
                      <a:headEnd/>
                      <a:tailEnd/>
                    </a:ln>
                  </pic:spPr>
                </pic:pic>
              </a:graphicData>
            </a:graphic>
          </wp:inline>
        </w:drawing>
      </w:r>
    </w:p>
    <w:p w14:paraId="3B8E4698" w14:textId="77777777" w:rsidR="00DC02F5" w:rsidRDefault="00000000">
      <w:pPr>
        <w:pStyle w:val="BodyText"/>
      </w:pPr>
      <w:r>
        <w:rPr>
          <w:b/>
          <w:bCs/>
        </w:rPr>
        <w:t>Pennsylvania</w:t>
      </w:r>
      <w:r>
        <w:t xml:space="preserve"> · schooltrusts.net/reading/us-pa</w:t>
      </w:r>
    </w:p>
    <w:p w14:paraId="5C36F654" w14:textId="77777777" w:rsidR="00DC02F5" w:rsidRDefault="00000000">
      <w:pPr>
        <w:pStyle w:val="BodyText"/>
      </w:pPr>
      <w:r>
        <w:rPr>
          <w:noProof/>
        </w:rPr>
        <w:drawing>
          <wp:inline distT="0" distB="0" distL="0" distR="0" wp14:anchorId="77C94395" wp14:editId="7F32941A">
            <wp:extent cx="502920" cy="587044"/>
            <wp:effectExtent l="0" t="0" r="0" b="0"/>
            <wp:docPr id="228" name="Picture"/>
            <wp:cNvGraphicFramePr/>
            <a:graphic xmlns:a="http://schemas.openxmlformats.org/drawingml/2006/main">
              <a:graphicData uri="http://schemas.openxmlformats.org/drawingml/2006/picture">
                <pic:pic xmlns:pic="http://schemas.openxmlformats.org/drawingml/2006/picture">
                  <pic:nvPicPr>
                    <pic:cNvPr id="229" name="Picture" descr="C:/Users/drdav/My%20Drive/Claude%20Cowork/_tools/_web_cache/qr_us-pa_c50aed5cc052_1200x_q90.jpg"/>
                    <pic:cNvPicPr>
                      <a:picLocks noChangeAspect="1" noChangeArrowheads="1"/>
                    </pic:cNvPicPr>
                  </pic:nvPicPr>
                  <pic:blipFill>
                    <a:blip r:embed="rId55"/>
                    <a:stretch>
                      <a:fillRect/>
                    </a:stretch>
                  </pic:blipFill>
                  <pic:spPr bwMode="auto">
                    <a:xfrm>
                      <a:off x="0" y="0"/>
                      <a:ext cx="502920" cy="587044"/>
                    </a:xfrm>
                    <a:prstGeom prst="rect">
                      <a:avLst/>
                    </a:prstGeom>
                    <a:noFill/>
                    <a:ln w="9525">
                      <a:noFill/>
                      <a:headEnd/>
                      <a:tailEnd/>
                    </a:ln>
                  </pic:spPr>
                </pic:pic>
              </a:graphicData>
            </a:graphic>
          </wp:inline>
        </w:drawing>
      </w:r>
    </w:p>
    <w:p w14:paraId="4394EECC" w14:textId="77777777" w:rsidR="00DC02F5" w:rsidRDefault="00000000">
      <w:pPr>
        <w:pStyle w:val="BodyText"/>
      </w:pPr>
      <w:r>
        <w:rPr>
          <w:b/>
          <w:bCs/>
        </w:rPr>
        <w:lastRenderedPageBreak/>
        <w:t>Rhode Island</w:t>
      </w:r>
      <w:r>
        <w:t xml:space="preserve"> · schooltrusts.net/reading/us-ri</w:t>
      </w:r>
    </w:p>
    <w:p w14:paraId="4399F2BC" w14:textId="77777777" w:rsidR="00DC02F5" w:rsidRDefault="00000000">
      <w:pPr>
        <w:pStyle w:val="BodyText"/>
      </w:pPr>
      <w:r>
        <w:rPr>
          <w:noProof/>
        </w:rPr>
        <w:drawing>
          <wp:inline distT="0" distB="0" distL="0" distR="0" wp14:anchorId="526895B7" wp14:editId="11447975">
            <wp:extent cx="502920" cy="587044"/>
            <wp:effectExtent l="0" t="0" r="0" b="0"/>
            <wp:docPr id="231" name="Picture"/>
            <wp:cNvGraphicFramePr/>
            <a:graphic xmlns:a="http://schemas.openxmlformats.org/drawingml/2006/main">
              <a:graphicData uri="http://schemas.openxmlformats.org/drawingml/2006/picture">
                <pic:pic xmlns:pic="http://schemas.openxmlformats.org/drawingml/2006/picture">
                  <pic:nvPicPr>
                    <pic:cNvPr id="232" name="Picture" descr="C:/Users/drdav/My%20Drive/Claude%20Cowork/_tools/_web_cache/qr_us-ri_50f3f6190519_1200x_q90.jpg"/>
                    <pic:cNvPicPr>
                      <a:picLocks noChangeAspect="1" noChangeArrowheads="1"/>
                    </pic:cNvPicPr>
                  </pic:nvPicPr>
                  <pic:blipFill>
                    <a:blip r:embed="rId56"/>
                    <a:stretch>
                      <a:fillRect/>
                    </a:stretch>
                  </pic:blipFill>
                  <pic:spPr bwMode="auto">
                    <a:xfrm>
                      <a:off x="0" y="0"/>
                      <a:ext cx="502920" cy="587044"/>
                    </a:xfrm>
                    <a:prstGeom prst="rect">
                      <a:avLst/>
                    </a:prstGeom>
                    <a:noFill/>
                    <a:ln w="9525">
                      <a:noFill/>
                      <a:headEnd/>
                      <a:tailEnd/>
                    </a:ln>
                  </pic:spPr>
                </pic:pic>
              </a:graphicData>
            </a:graphic>
          </wp:inline>
        </w:drawing>
      </w:r>
    </w:p>
    <w:p w14:paraId="0401DBFC" w14:textId="77777777" w:rsidR="00DC02F5" w:rsidRDefault="00000000">
      <w:pPr>
        <w:pStyle w:val="BodyText"/>
      </w:pPr>
      <w:r>
        <w:rPr>
          <w:b/>
          <w:bCs/>
        </w:rPr>
        <w:t>South Carolina</w:t>
      </w:r>
      <w:r>
        <w:t xml:space="preserve"> · schooltrusts.net/reading/us-sc</w:t>
      </w:r>
    </w:p>
    <w:p w14:paraId="5661032D" w14:textId="77777777" w:rsidR="00DC02F5" w:rsidRDefault="00000000">
      <w:pPr>
        <w:pStyle w:val="BodyText"/>
      </w:pPr>
      <w:r>
        <w:rPr>
          <w:noProof/>
        </w:rPr>
        <w:drawing>
          <wp:inline distT="0" distB="0" distL="0" distR="0" wp14:anchorId="0AF4272B" wp14:editId="538F4FCC">
            <wp:extent cx="502920" cy="587044"/>
            <wp:effectExtent l="0" t="0" r="0" b="0"/>
            <wp:docPr id="234" name="Picture"/>
            <wp:cNvGraphicFramePr/>
            <a:graphic xmlns:a="http://schemas.openxmlformats.org/drawingml/2006/main">
              <a:graphicData uri="http://schemas.openxmlformats.org/drawingml/2006/picture">
                <pic:pic xmlns:pic="http://schemas.openxmlformats.org/drawingml/2006/picture">
                  <pic:nvPicPr>
                    <pic:cNvPr id="235" name="Picture" descr="C:/Users/drdav/My%20Drive/Claude%20Cowork/_tools/_web_cache/qr_us-sc_3012d94282d0_1200x_q90.jpg"/>
                    <pic:cNvPicPr>
                      <a:picLocks noChangeAspect="1" noChangeArrowheads="1"/>
                    </pic:cNvPicPr>
                  </pic:nvPicPr>
                  <pic:blipFill>
                    <a:blip r:embed="rId57"/>
                    <a:stretch>
                      <a:fillRect/>
                    </a:stretch>
                  </pic:blipFill>
                  <pic:spPr bwMode="auto">
                    <a:xfrm>
                      <a:off x="0" y="0"/>
                      <a:ext cx="502920" cy="587044"/>
                    </a:xfrm>
                    <a:prstGeom prst="rect">
                      <a:avLst/>
                    </a:prstGeom>
                    <a:noFill/>
                    <a:ln w="9525">
                      <a:noFill/>
                      <a:headEnd/>
                      <a:tailEnd/>
                    </a:ln>
                  </pic:spPr>
                </pic:pic>
              </a:graphicData>
            </a:graphic>
          </wp:inline>
        </w:drawing>
      </w:r>
    </w:p>
    <w:p w14:paraId="62C3AAC4" w14:textId="77777777" w:rsidR="00DC02F5" w:rsidRDefault="00000000">
      <w:pPr>
        <w:pStyle w:val="BodyText"/>
      </w:pPr>
      <w:r>
        <w:rPr>
          <w:b/>
          <w:bCs/>
        </w:rPr>
        <w:t>Vermont</w:t>
      </w:r>
      <w:r>
        <w:t xml:space="preserve"> · schooltrusts.net/reading/us-vt</w:t>
      </w:r>
    </w:p>
    <w:p w14:paraId="077AFDBE" w14:textId="77777777" w:rsidR="00DC02F5" w:rsidRDefault="00000000">
      <w:pPr>
        <w:pStyle w:val="BodyText"/>
      </w:pPr>
      <w:r>
        <w:rPr>
          <w:noProof/>
        </w:rPr>
        <w:drawing>
          <wp:inline distT="0" distB="0" distL="0" distR="0" wp14:anchorId="3BF52146" wp14:editId="460A3DF1">
            <wp:extent cx="502920" cy="587044"/>
            <wp:effectExtent l="0" t="0" r="0" b="0"/>
            <wp:docPr id="237" name="Picture"/>
            <wp:cNvGraphicFramePr/>
            <a:graphic xmlns:a="http://schemas.openxmlformats.org/drawingml/2006/main">
              <a:graphicData uri="http://schemas.openxmlformats.org/drawingml/2006/picture">
                <pic:pic xmlns:pic="http://schemas.openxmlformats.org/drawingml/2006/picture">
                  <pic:nvPicPr>
                    <pic:cNvPr id="238" name="Picture" descr="C:/Users/drdav/My%20Drive/Claude%20Cowork/_tools/_web_cache/qr_us-vt_c2257b4584fa_1200x_q90.jpg"/>
                    <pic:cNvPicPr>
                      <a:picLocks noChangeAspect="1" noChangeArrowheads="1"/>
                    </pic:cNvPicPr>
                  </pic:nvPicPr>
                  <pic:blipFill>
                    <a:blip r:embed="rId58"/>
                    <a:stretch>
                      <a:fillRect/>
                    </a:stretch>
                  </pic:blipFill>
                  <pic:spPr bwMode="auto">
                    <a:xfrm>
                      <a:off x="0" y="0"/>
                      <a:ext cx="502920" cy="587044"/>
                    </a:xfrm>
                    <a:prstGeom prst="rect">
                      <a:avLst/>
                    </a:prstGeom>
                    <a:noFill/>
                    <a:ln w="9525">
                      <a:noFill/>
                      <a:headEnd/>
                      <a:tailEnd/>
                    </a:ln>
                  </pic:spPr>
                </pic:pic>
              </a:graphicData>
            </a:graphic>
          </wp:inline>
        </w:drawing>
      </w:r>
    </w:p>
    <w:p w14:paraId="14652204" w14:textId="77777777" w:rsidR="00DC02F5" w:rsidRDefault="00000000">
      <w:pPr>
        <w:pStyle w:val="BodyText"/>
      </w:pPr>
      <w:r>
        <w:rPr>
          <w:b/>
          <w:bCs/>
        </w:rPr>
        <w:t>Virginia</w:t>
      </w:r>
      <w:r>
        <w:t xml:space="preserve"> · schooltrusts.net/reading/us-va</w:t>
      </w:r>
    </w:p>
    <w:p w14:paraId="06D6AB94" w14:textId="77777777" w:rsidR="00DC02F5" w:rsidRDefault="00000000">
      <w:pPr>
        <w:pStyle w:val="BodyText"/>
      </w:pPr>
      <w:r>
        <w:rPr>
          <w:noProof/>
        </w:rPr>
        <w:drawing>
          <wp:inline distT="0" distB="0" distL="0" distR="0" wp14:anchorId="11F71348" wp14:editId="4EAB64A2">
            <wp:extent cx="502920" cy="587044"/>
            <wp:effectExtent l="0" t="0" r="0" b="0"/>
            <wp:docPr id="240" name="Picture"/>
            <wp:cNvGraphicFramePr/>
            <a:graphic xmlns:a="http://schemas.openxmlformats.org/drawingml/2006/main">
              <a:graphicData uri="http://schemas.openxmlformats.org/drawingml/2006/picture">
                <pic:pic xmlns:pic="http://schemas.openxmlformats.org/drawingml/2006/picture">
                  <pic:nvPicPr>
                    <pic:cNvPr id="241" name="Picture" descr="C:/Users/drdav/My%20Drive/Claude%20Cowork/_tools/_web_cache/qr_us-va_c23fb80f5dad_1200x_q90.jpg"/>
                    <pic:cNvPicPr>
                      <a:picLocks noChangeAspect="1" noChangeArrowheads="1"/>
                    </pic:cNvPicPr>
                  </pic:nvPicPr>
                  <pic:blipFill>
                    <a:blip r:embed="rId59"/>
                    <a:stretch>
                      <a:fillRect/>
                    </a:stretch>
                  </pic:blipFill>
                  <pic:spPr bwMode="auto">
                    <a:xfrm>
                      <a:off x="0" y="0"/>
                      <a:ext cx="502920" cy="587044"/>
                    </a:xfrm>
                    <a:prstGeom prst="rect">
                      <a:avLst/>
                    </a:prstGeom>
                    <a:noFill/>
                    <a:ln w="9525">
                      <a:noFill/>
                      <a:headEnd/>
                      <a:tailEnd/>
                    </a:ln>
                  </pic:spPr>
                </pic:pic>
              </a:graphicData>
            </a:graphic>
          </wp:inline>
        </w:drawing>
      </w:r>
    </w:p>
    <w:p w14:paraId="7481021D" w14:textId="77777777" w:rsidR="00DC02F5" w:rsidRDefault="00000000">
      <w:pPr>
        <w:pStyle w:val="BodyText"/>
      </w:pPr>
      <w:r>
        <w:rPr>
          <w:b/>
          <w:bCs/>
        </w:rPr>
        <w:t>West Virginia</w:t>
      </w:r>
      <w:r>
        <w:t xml:space="preserve"> · schooltrusts.net/reading/us-wv</w:t>
      </w:r>
    </w:p>
    <w:p w14:paraId="143AF8F7" w14:textId="77777777" w:rsidR="00DC02F5" w:rsidRDefault="00000000">
      <w:pPr>
        <w:pStyle w:val="BodyText"/>
      </w:pPr>
      <w:r>
        <w:rPr>
          <w:noProof/>
        </w:rPr>
        <w:drawing>
          <wp:inline distT="0" distB="0" distL="0" distR="0" wp14:anchorId="20406C87" wp14:editId="62902A11">
            <wp:extent cx="502920" cy="587044"/>
            <wp:effectExtent l="0" t="0" r="0" b="0"/>
            <wp:docPr id="243" name="Picture"/>
            <wp:cNvGraphicFramePr/>
            <a:graphic xmlns:a="http://schemas.openxmlformats.org/drawingml/2006/main">
              <a:graphicData uri="http://schemas.openxmlformats.org/drawingml/2006/picture">
                <pic:pic xmlns:pic="http://schemas.openxmlformats.org/drawingml/2006/picture">
                  <pic:nvPicPr>
                    <pic:cNvPr id="244" name="Picture" descr="C:/Users/drdav/My%20Drive/Claude%20Cowork/_tools/_web_cache/qr_us-wv_ae92face8bd4_1200x_q90.jpg"/>
                    <pic:cNvPicPr>
                      <a:picLocks noChangeAspect="1" noChangeArrowheads="1"/>
                    </pic:cNvPicPr>
                  </pic:nvPicPr>
                  <pic:blipFill>
                    <a:blip r:embed="rId60"/>
                    <a:stretch>
                      <a:fillRect/>
                    </a:stretch>
                  </pic:blipFill>
                  <pic:spPr bwMode="auto">
                    <a:xfrm>
                      <a:off x="0" y="0"/>
                      <a:ext cx="502920" cy="587044"/>
                    </a:xfrm>
                    <a:prstGeom prst="rect">
                      <a:avLst/>
                    </a:prstGeom>
                    <a:noFill/>
                    <a:ln w="9525">
                      <a:noFill/>
                      <a:headEnd/>
                      <a:tailEnd/>
                    </a:ln>
                  </pic:spPr>
                </pic:pic>
              </a:graphicData>
            </a:graphic>
          </wp:inline>
        </w:drawing>
      </w:r>
    </w:p>
    <w:p w14:paraId="356DDAE5" w14:textId="77777777" w:rsidR="00DC02F5" w:rsidRDefault="00000000">
      <w:r>
        <w:br w:type="page"/>
      </w:r>
    </w:p>
    <w:p w14:paraId="527361C0" w14:textId="77777777" w:rsidR="00DC02F5" w:rsidRDefault="00000000">
      <w:pPr>
        <w:pStyle w:val="Heading1"/>
      </w:pPr>
      <w:bookmarkStart w:id="142" w:name="closing-word"/>
      <w:bookmarkStart w:id="143" w:name="_Toc231774266"/>
      <w:bookmarkStart w:id="144" w:name="_Toc231774293"/>
      <w:bookmarkEnd w:id="139"/>
      <w:r>
        <w:lastRenderedPageBreak/>
        <w:t>Closing Word</w:t>
      </w:r>
      <w:bookmarkEnd w:id="143"/>
      <w:bookmarkEnd w:id="144"/>
    </w:p>
    <w:p w14:paraId="2F79E56F" w14:textId="77777777" w:rsidR="00DC02F5" w:rsidRDefault="00000000">
      <w:r>
        <w:t>The book began with an inheritance almost no one knows exists. It ends with the same fact, made harder to ignore.</w:t>
      </w:r>
    </w:p>
    <w:p w14:paraId="72638F44" w14:textId="77777777" w:rsidR="00DC02F5" w:rsidRDefault="00000000">
      <w:pPr>
        <w:pStyle w:val="BodyText"/>
      </w:pPr>
      <w:r>
        <w:t>The school lands were not a metaphor. They were land, money, and duty. Some states kept them. Some lost them. Some are still deciding, transaction by transaction, whether the schools’ inheritance will be handed forward or quietly spent for something else.</w:t>
      </w:r>
    </w:p>
    <w:p w14:paraId="707C0987" w14:textId="77777777" w:rsidR="00DC02F5" w:rsidRDefault="00000000">
      <w:pPr>
        <w:pStyle w:val="BodyText"/>
      </w:pPr>
      <w:r>
        <w:t>The duty does not expire. The trust does not defend itself. The next keeper is whoever learns enough to ask.</w:t>
      </w:r>
    </w:p>
    <w:p w14:paraId="61867A8D" w14:textId="77777777" w:rsidR="00DC02F5" w:rsidRDefault="00000000">
      <w:pPr>
        <w:pStyle w:val="BodyText"/>
      </w:pPr>
      <w:r>
        <w:t>It was meant to be a forever gift. Whether it is handed forward now is up to people who know it exists. You do now.</w:t>
      </w:r>
    </w:p>
    <w:p w14:paraId="7F184C75" w14:textId="77777777" w:rsidR="00DC02F5" w:rsidRDefault="00000000">
      <w:r>
        <w:br w:type="page"/>
      </w:r>
    </w:p>
    <w:p w14:paraId="623A3184" w14:textId="77777777" w:rsidR="00DC02F5" w:rsidRDefault="00000000">
      <w:pPr>
        <w:pStyle w:val="Heading1"/>
      </w:pPr>
      <w:bookmarkStart w:id="145" w:name="notes"/>
      <w:bookmarkStart w:id="146" w:name="_Toc231774267"/>
      <w:bookmarkStart w:id="147" w:name="_Toc231774294"/>
      <w:bookmarkEnd w:id="142"/>
      <w:r>
        <w:lastRenderedPageBreak/>
        <w:t>Notes</w:t>
      </w:r>
      <w:bookmarkEnd w:id="146"/>
      <w:bookmarkEnd w:id="147"/>
    </w:p>
    <w:p w14:paraId="6D8A8F75" w14:textId="77777777" w:rsidR="00DC02F5" w:rsidRDefault="00000000">
      <w:r>
        <w:rPr>
          <w:i/>
          <w:iCs/>
        </w:rPr>
        <w:t>How this book is sourced. The history and law are documented here; quotations from court opinions are cited to the reporters and verified against the opinions, and quotations from Margaret Bird are from her 2026 recorded accounts and manuscript notes. The figures and records behind these notes were gathered and cross-checked in a layered research archive built by the Advocates for School Trust Lands, one that ties every reusable claim back to a primary source. Present-day figures change continually and are kept current online. Items still awaiting a pinned source are marked; if you can supply or correct a source, please write to us through schooltrusts.net. State-by-state sources appear with each Part Two entry and its living page.</w:t>
      </w:r>
    </w:p>
    <w:p w14:paraId="77AE7B07" w14:textId="77777777" w:rsidR="00DC02F5" w:rsidRDefault="00000000">
      <w:pPr>
        <w:pStyle w:val="Heading2"/>
      </w:pPr>
      <w:bookmarkStart w:id="148" w:name="Xb66c01350146b99bd020f215610e5a734adf7f5"/>
      <w:bookmarkStart w:id="149" w:name="_Toc231774268"/>
      <w:r>
        <w:t>Chapter 1 — The Inheritance Still Standing</w:t>
      </w:r>
      <w:bookmarkEnd w:id="149"/>
    </w:p>
    <w:p w14:paraId="7BB2C1BC" w14:textId="77777777" w:rsidR="00DC02F5" w:rsidRDefault="00000000">
      <w:pPr>
        <w:numPr>
          <w:ilvl w:val="0"/>
          <w:numId w:val="8"/>
        </w:numPr>
      </w:pPr>
      <w:r>
        <w:t>James Madison to W. T. Barry, Aug. 4, 1822, Founders Online, National Archives.</w:t>
      </w:r>
    </w:p>
    <w:p w14:paraId="13BF55CA" w14:textId="77777777" w:rsidR="00DC02F5" w:rsidRDefault="00000000">
      <w:pPr>
        <w:numPr>
          <w:ilvl w:val="0"/>
          <w:numId w:val="8"/>
        </w:numPr>
      </w:pPr>
      <w:r>
        <w:t xml:space="preserve">On rate bills and the move to tax-supported common schools, see Carl F. Kaestle, </w:t>
      </w:r>
      <w:r>
        <w:rPr>
          <w:i/>
          <w:iCs/>
        </w:rPr>
        <w:t>Pillars of the Republic</w:t>
      </w:r>
      <w:r>
        <w:t xml:space="preserve"> (1983); Claudia Goldin &amp; Lawrence F. Katz, </w:t>
      </w:r>
      <w:r>
        <w:rPr>
          <w:i/>
          <w:iCs/>
        </w:rPr>
        <w:t>The Race Between Education and Technology</w:t>
      </w:r>
      <w:r>
        <w:t xml:space="preserve"> (2008), ch. 4.</w:t>
      </w:r>
    </w:p>
    <w:p w14:paraId="2E4AF00A" w14:textId="77777777" w:rsidR="00DC02F5" w:rsidRDefault="00000000">
      <w:pPr>
        <w:numPr>
          <w:ilvl w:val="0"/>
          <w:numId w:val="8"/>
        </w:numPr>
      </w:pPr>
      <w:r>
        <w:t>Bryan County, Georgia, 1847: Thomas Robinson, “Identity, Dissent, and the Roots of Georgia’s Middle Class, 1848–1865” (Ph.D. diss., University of Mississippi, 2019), 110–11, citing the Gov. George W. Towns papers, Hargrett Rare Book and Manuscript Library, University of Georgia Libraries.</w:t>
      </w:r>
    </w:p>
    <w:p w14:paraId="0BE77851" w14:textId="77777777" w:rsidR="00DC02F5" w:rsidRDefault="00000000">
      <w:pPr>
        <w:numPr>
          <w:ilvl w:val="0"/>
          <w:numId w:val="8"/>
        </w:numPr>
      </w:pPr>
      <w:r>
        <w:rPr>
          <w:i/>
          <w:iCs/>
        </w:rPr>
        <w:t>United States v. Morrison</w:t>
      </w:r>
      <w:r>
        <w:t xml:space="preserve">, 240 U.S. 192 (1916) — which in fact arose under Oregon’s 1859 Admission Act (§4). The Court: “The same clause, relating to the same subject and enacted in pursuance of the same policy, did not have one meaning in one </w:t>
      </w:r>
      <w:r>
        <w:lastRenderedPageBreak/>
        <w:t>grant and a different meaning in another.” Verified against the opinion.</w:t>
      </w:r>
    </w:p>
    <w:p w14:paraId="49FF763F" w14:textId="77777777" w:rsidR="00DC02F5" w:rsidRDefault="00000000">
      <w:pPr>
        <w:pStyle w:val="Heading2"/>
      </w:pPr>
      <w:bookmarkStart w:id="150" w:name="Xb3f62c669d52283d53d25140b090dcfe3002413"/>
      <w:bookmarkStart w:id="151" w:name="_Toc231774269"/>
      <w:bookmarkEnd w:id="148"/>
      <w:r>
        <w:t>Chapter 2 - The World That Made the Gift</w:t>
      </w:r>
      <w:bookmarkEnd w:id="151"/>
    </w:p>
    <w:p w14:paraId="686818EA" w14:textId="77777777" w:rsidR="00DC02F5" w:rsidRDefault="00000000">
      <w:pPr>
        <w:numPr>
          <w:ilvl w:val="0"/>
          <w:numId w:val="9"/>
        </w:numPr>
      </w:pPr>
      <w:r>
        <w:t xml:space="preserve">John Adams, </w:t>
      </w:r>
      <w:r>
        <w:rPr>
          <w:i/>
          <w:iCs/>
        </w:rPr>
        <w:t>Thoughts on Government</w:t>
      </w:r>
      <w:r>
        <w:t xml:space="preserve"> (1776), Founders Online, National Archives.</w:t>
      </w:r>
    </w:p>
    <w:p w14:paraId="7C90B487" w14:textId="77777777" w:rsidR="00DC02F5" w:rsidRDefault="00000000">
      <w:pPr>
        <w:numPr>
          <w:ilvl w:val="0"/>
          <w:numId w:val="9"/>
        </w:numPr>
      </w:pPr>
      <w:r>
        <w:t>Jefferson’s 1784 territorial-government report and the failed anti-slavery clause: Founders Online, Papers of Thomas Jefferson, Report of the Committee, Mar. 1, 1784; Jefferson to Madison, Apr. 25, 1784. Jefferson chaired the 1784 committee; the Land Ordinance of May 20, 1785 was a separate land-disposition act adopted after Jefferson had left Congress for France.</w:t>
      </w:r>
    </w:p>
    <w:p w14:paraId="566A91FB" w14:textId="77777777" w:rsidR="00DC02F5" w:rsidRDefault="00000000">
      <w:pPr>
        <w:numPr>
          <w:ilvl w:val="0"/>
          <w:numId w:val="9"/>
        </w:numPr>
      </w:pPr>
      <w:r>
        <w:t>Land Ordinance of May 20, 1785, Journals of the Continental Congress, vol. 28, reserving Lot No. 16 of every township for the maintenance of public schools. Northwest Ordinance of 1787, Journals of the Continental Congress, vols. 32-33, supplying the “Religion, morality, and knowledge” education language.</w:t>
      </w:r>
    </w:p>
    <w:p w14:paraId="516F3C99" w14:textId="77777777" w:rsidR="00DC02F5" w:rsidRDefault="00000000">
      <w:pPr>
        <w:numPr>
          <w:ilvl w:val="0"/>
          <w:numId w:val="9"/>
        </w:numPr>
      </w:pPr>
      <w:r>
        <w:t xml:space="preserve">Early-republic finance: Alexander Hamilton, </w:t>
      </w:r>
      <w:r>
        <w:rPr>
          <w:i/>
          <w:iCs/>
        </w:rPr>
        <w:t>First Report on the Public Credit</w:t>
      </w:r>
      <w:r>
        <w:t xml:space="preserve"> (Jan. 9, 1790), Founders Online; E. James Ferguson, </w:t>
      </w:r>
      <w:r>
        <w:rPr>
          <w:i/>
          <w:iCs/>
        </w:rPr>
        <w:t>The Power of the Purse: A History of American Public Finance, 1776–1790</w:t>
      </w:r>
      <w:r>
        <w:t xml:space="preserve"> (1961). Western claims and cessions: Treaty of Paris (1783), arts. 1–2, 8; Virginia Deed of Cession, Mar. 1, 1784, Journals of the Continental Congress, vol. 26; Peter S. Onuf, </w:t>
      </w:r>
      <w:r>
        <w:rPr>
          <w:i/>
          <w:iCs/>
        </w:rPr>
        <w:t>Statehood and Union: A History of the Northwest Ordinance</w:t>
      </w:r>
      <w:r>
        <w:t xml:space="preserve"> (1987). Indigenous title and the disposal assumption: Land Ordinance of May 20, 1785, Journals of the Continental Congress, vol. 28 (directing disposal of lands “purchased of the Indian inhabitants”); Stuart Banner, </w:t>
      </w:r>
      <w:r>
        <w:rPr>
          <w:i/>
          <w:iCs/>
        </w:rPr>
        <w:t xml:space="preserve">How the Indians Lost Their Land: </w:t>
      </w:r>
      <w:r>
        <w:rPr>
          <w:i/>
          <w:iCs/>
        </w:rPr>
        <w:lastRenderedPageBreak/>
        <w:t>Law and Power on the Frontier</w:t>
      </w:r>
      <w:r>
        <w:t xml:space="preserve"> (2005), chs. 3–4; Paul W. Gates, </w:t>
      </w:r>
      <w:r>
        <w:rPr>
          <w:i/>
          <w:iCs/>
        </w:rPr>
        <w:t>History of Public Land Law Development</w:t>
      </w:r>
      <w:r>
        <w:t xml:space="preserve"> (1968), ch. 4.</w:t>
      </w:r>
    </w:p>
    <w:p w14:paraId="3374A16F" w14:textId="77777777" w:rsidR="00DC02F5" w:rsidRDefault="00000000">
      <w:pPr>
        <w:numPr>
          <w:ilvl w:val="0"/>
          <w:numId w:val="9"/>
        </w:numPr>
      </w:pPr>
      <w:r>
        <w:t xml:space="preserve">Compact framing: Ohio Enabling Act of Apr. 30, 1802, §7, 2 Stat. 173, 175 (section 16 granted for schools; in return, federal lands sold within the state exempt from state taxation for five years); Paul W. Gates, </w:t>
      </w:r>
      <w:r>
        <w:rPr>
          <w:i/>
          <w:iCs/>
        </w:rPr>
        <w:t>History of Public Land Law Development</w:t>
      </w:r>
      <w:r>
        <w:t xml:space="preserve"> (1968), 288–89; Justice Powell’s dissent in </w:t>
      </w:r>
      <w:r>
        <w:rPr>
          <w:i/>
          <w:iCs/>
        </w:rPr>
        <w:t>Andrus v. Utah</w:t>
      </w:r>
      <w:r>
        <w:t>, 446 U.S. 500, 522–23 (1980); and the Oregon Admission Act’s “obligatory on the United States and upon the said State” language.</w:t>
      </w:r>
    </w:p>
    <w:p w14:paraId="1C61EFBA" w14:textId="77777777" w:rsidR="00DC02F5" w:rsidRDefault="00000000">
      <w:pPr>
        <w:pStyle w:val="Heading2"/>
      </w:pPr>
      <w:bookmarkStart w:id="152" w:name="chapter-3-the-punctilio-of-honor-1"/>
      <w:bookmarkStart w:id="153" w:name="_Toc231774270"/>
      <w:bookmarkEnd w:id="150"/>
      <w:r>
        <w:t>Chapter 3 — The Punctilio of Honor</w:t>
      </w:r>
      <w:bookmarkEnd w:id="153"/>
    </w:p>
    <w:p w14:paraId="74366239" w14:textId="77777777" w:rsidR="00DC02F5" w:rsidRDefault="00000000">
      <w:pPr>
        <w:numPr>
          <w:ilvl w:val="0"/>
          <w:numId w:val="10"/>
        </w:numPr>
      </w:pPr>
      <w:r>
        <w:rPr>
          <w:i/>
          <w:iCs/>
        </w:rPr>
        <w:t>Meinhard v. Salmon</w:t>
      </w:r>
      <w:r>
        <w:t>, 249 N.Y. 458, 464, 164 N.E. 545, 546 (1928) (Cardozo, C.J.).</w:t>
      </w:r>
    </w:p>
    <w:p w14:paraId="656312A0" w14:textId="77777777" w:rsidR="00DC02F5" w:rsidRDefault="00000000">
      <w:pPr>
        <w:pStyle w:val="Heading2"/>
      </w:pPr>
      <w:bookmarkStart w:id="154" w:name="X0c57d452c3b676170775aa42a10a1b6bc3c6792"/>
      <w:bookmarkStart w:id="155" w:name="_Toc231774271"/>
      <w:bookmarkEnd w:id="152"/>
      <w:r>
        <w:t>Chapter 4 — Loyalty: The Gift Treated as Pocket Money</w:t>
      </w:r>
      <w:bookmarkEnd w:id="155"/>
    </w:p>
    <w:p w14:paraId="24CE6FF3" w14:textId="77777777" w:rsidR="00DC02F5" w:rsidRDefault="00000000">
      <w:pPr>
        <w:numPr>
          <w:ilvl w:val="0"/>
          <w:numId w:val="11"/>
        </w:numPr>
      </w:pPr>
      <w:r>
        <w:rPr>
          <w:i/>
          <w:iCs/>
        </w:rPr>
        <w:t>Keech v. Sandford</w:t>
      </w:r>
      <w:r>
        <w:t>, (1726) Sel. Cas. Ch. 61, 25 Eng. Rep. 223.</w:t>
      </w:r>
    </w:p>
    <w:p w14:paraId="1EA97F5E" w14:textId="77777777" w:rsidR="00DC02F5" w:rsidRDefault="00000000">
      <w:pPr>
        <w:numPr>
          <w:ilvl w:val="0"/>
          <w:numId w:val="11"/>
        </w:numPr>
      </w:pPr>
      <w:r>
        <w:rPr>
          <w:i/>
          <w:iCs/>
        </w:rPr>
        <w:t>Magruder v. Drury</w:t>
      </w:r>
      <w:r>
        <w:t xml:space="preserve">, 235 U.S. 106, 119 (1914) (Day, J.). (“The morals of the market place,” sometimes attributed to Magruder, is in fact Cardozo’s, in </w:t>
      </w:r>
      <w:r>
        <w:rPr>
          <w:i/>
          <w:iCs/>
        </w:rPr>
        <w:t>Meinhard</w:t>
      </w:r>
      <w:r>
        <w:t>, below.)</w:t>
      </w:r>
    </w:p>
    <w:p w14:paraId="6787F491" w14:textId="77777777" w:rsidR="00DC02F5" w:rsidRDefault="00000000">
      <w:pPr>
        <w:numPr>
          <w:ilvl w:val="0"/>
          <w:numId w:val="11"/>
        </w:numPr>
      </w:pPr>
      <w:r>
        <w:rPr>
          <w:i/>
          <w:iCs/>
        </w:rPr>
        <w:t>Meinhard v. Salmon</w:t>
      </w:r>
      <w:r>
        <w:t>, 249 N.Y. 458, 464, 164 N.E. 545, 546 (1928) (Cardozo, C.J.).</w:t>
      </w:r>
    </w:p>
    <w:p w14:paraId="65BE3A16" w14:textId="77777777" w:rsidR="00DC02F5" w:rsidRDefault="00000000">
      <w:pPr>
        <w:numPr>
          <w:ilvl w:val="0"/>
          <w:numId w:val="11"/>
        </w:numPr>
      </w:pPr>
      <w:r>
        <w:rPr>
          <w:i/>
          <w:iCs/>
        </w:rPr>
        <w:t>Ervien v. United States</w:t>
      </w:r>
      <w:r>
        <w:t xml:space="preserve">, 251 U.S. 41 (1919); New Mexico–Arizona Enabling Act of 1910, §10 (36 Stat. 557). The quoted language (“special and exact”; “preclude any license of construction or liberties of inference”) is verified against the opinion. The sentence sometimes misattributed to </w:t>
      </w:r>
      <w:r>
        <w:rPr>
          <w:i/>
          <w:iCs/>
        </w:rPr>
        <w:t>Ervien</w:t>
      </w:r>
      <w:r>
        <w:t xml:space="preserve"> — “they must be </w:t>
      </w:r>
      <w:r>
        <w:lastRenderedPageBreak/>
        <w:t>performed; they admit of no substitution; they admit of no addition” — does not appear in it and is not used in this book.</w:t>
      </w:r>
    </w:p>
    <w:p w14:paraId="4DC74EE9" w14:textId="77777777" w:rsidR="00DC02F5" w:rsidRDefault="00000000">
      <w:pPr>
        <w:numPr>
          <w:ilvl w:val="0"/>
          <w:numId w:val="11"/>
        </w:numPr>
      </w:pPr>
      <w:r>
        <w:t>Utah Schools and Lands Exchange Act of 1998 (Pub. L. 105-335), following the 1996 Grand Staircase–Escalante designation: SITLA traded roughly 363,000 acres of trust sections inside the monument, four National Park Service units, and three national forests for BLM lands and mineral rights, plus a $50 million cash equalization payment. Margaret Bird’s recollected “1990” date is corrected to 1998.</w:t>
      </w:r>
    </w:p>
    <w:p w14:paraId="722B1037" w14:textId="77777777" w:rsidR="00DC02F5" w:rsidRDefault="00000000">
      <w:pPr>
        <w:pStyle w:val="Heading2"/>
      </w:pPr>
      <w:bookmarkStart w:id="156" w:name="X06b0bf3faa77b5f67995e4e6d8a528d921f8655"/>
      <w:bookmarkStart w:id="157" w:name="_Toc231774272"/>
      <w:bookmarkEnd w:id="154"/>
      <w:r>
        <w:t>Chapter 5 — Prudence: Do Not Eat the Seed Corn</w:t>
      </w:r>
      <w:bookmarkEnd w:id="157"/>
    </w:p>
    <w:p w14:paraId="791A0A6F" w14:textId="77777777" w:rsidR="00DC02F5" w:rsidRDefault="00000000">
      <w:pPr>
        <w:numPr>
          <w:ilvl w:val="0"/>
          <w:numId w:val="12"/>
        </w:numPr>
      </w:pPr>
      <w:r w:rsidRPr="00437C84">
        <w:rPr>
          <w:i/>
          <w:iCs/>
          <w:lang w:val="es-ES"/>
        </w:rPr>
        <w:t xml:space="preserve">Lassen v. Arizona ex </w:t>
      </w:r>
      <w:proofErr w:type="spellStart"/>
      <w:r w:rsidRPr="00437C84">
        <w:rPr>
          <w:i/>
          <w:iCs/>
          <w:lang w:val="es-ES"/>
        </w:rPr>
        <w:t>rel.</w:t>
      </w:r>
      <w:proofErr w:type="spellEnd"/>
      <w:r w:rsidRPr="00437C84">
        <w:rPr>
          <w:i/>
          <w:iCs/>
          <w:lang w:val="es-ES"/>
        </w:rPr>
        <w:t xml:space="preserve"> </w:t>
      </w:r>
      <w:r>
        <w:rPr>
          <w:i/>
          <w:iCs/>
        </w:rPr>
        <w:t>Arizona Highway Department</w:t>
      </w:r>
      <w:r>
        <w:t xml:space="preserve">, 385 U.S. 458 (1967). [VERIFY — pin cite: the “eye single” formulation is quoted in the school-land cases from </w:t>
      </w:r>
      <w:r>
        <w:rPr>
          <w:i/>
          <w:iCs/>
        </w:rPr>
        <w:t>Lassen</w:t>
      </w:r>
      <w:r>
        <w:t>, which itself drew it from earlier trust authority; confirm the page before print.]</w:t>
      </w:r>
    </w:p>
    <w:p w14:paraId="770F3949" w14:textId="77777777" w:rsidR="00DC02F5" w:rsidRDefault="00000000">
      <w:pPr>
        <w:numPr>
          <w:ilvl w:val="0"/>
          <w:numId w:val="12"/>
        </w:numPr>
      </w:pPr>
      <w:r>
        <w:t xml:space="preserve">Chicago’s Section 16 (the downtown Loop), sold Oct. 4, 1833. [NEEDS-SOURCE — the sale date, the roughly $60-an-acre price, and the ~$38,000 total rest on secondary accounts (e.g., the </w:t>
      </w:r>
      <w:r>
        <w:rPr>
          <w:i/>
          <w:iCs/>
        </w:rPr>
        <w:t>Encyclopedia of Chicago</w:t>
      </w:r>
      <w:r>
        <w:t>); pin to a documentary source before print.]</w:t>
      </w:r>
    </w:p>
    <w:p w14:paraId="1E159431" w14:textId="77777777" w:rsidR="00DC02F5" w:rsidRDefault="00000000">
      <w:pPr>
        <w:numPr>
          <w:ilvl w:val="0"/>
          <w:numId w:val="12"/>
        </w:numPr>
      </w:pPr>
      <w:r>
        <w:t>Wisconsin’s price-capped university-land grant and the board of land commissioners’ confession. [VERIFY — quote source: “a man of ordinary judgment” is a direct quotation whose primary source has not yet been located; do not print without one.]</w:t>
      </w:r>
    </w:p>
    <w:p w14:paraId="3CE2DA37" w14:textId="77777777" w:rsidR="00DC02F5" w:rsidRDefault="00000000">
      <w:pPr>
        <w:numPr>
          <w:ilvl w:val="0"/>
          <w:numId w:val="12"/>
        </w:numPr>
      </w:pPr>
      <w:r>
        <w:t>Alabama’s share of the federal surplus distribution (Deposit Act of June 23, 1836, 5 Stat. 52), lost in the 1843 collapse of the state bank.</w:t>
      </w:r>
    </w:p>
    <w:p w14:paraId="65DA5595" w14:textId="77777777" w:rsidR="00DC02F5" w:rsidRDefault="00000000">
      <w:pPr>
        <w:numPr>
          <w:ilvl w:val="0"/>
          <w:numId w:val="12"/>
        </w:numPr>
      </w:pPr>
      <w:r>
        <w:lastRenderedPageBreak/>
        <w:t>Nevada Division of State Lands (the surviving school-trust land is about 3,000 acres; the audited figure is 2,914); under $5,000 a year in recent reporting (</w:t>
      </w:r>
      <w:r>
        <w:rPr>
          <w:i/>
          <w:iCs/>
        </w:rPr>
        <w:t>Las Vegas Review-Journal</w:t>
      </w:r>
      <w:r>
        <w:t>). Margaret Bird’s larger never-claimed-acreage estimate is her own judgment and is not asserted here.</w:t>
      </w:r>
    </w:p>
    <w:p w14:paraId="04121AA9" w14:textId="77777777" w:rsidR="00DC02F5" w:rsidRDefault="00000000">
      <w:pPr>
        <w:numPr>
          <w:ilvl w:val="0"/>
          <w:numId w:val="12"/>
        </w:numPr>
      </w:pPr>
      <w:r>
        <w:t>William Henry Harrison Beadle and the $10/acre minimum written into South Dakota’s 1885/1889 constitution: South Dakota Historical Society Foundation, “The Savior of School Lands”; South Dakota Department of Education. The floor is $10 an acre — not $1.25, which was the federal preemption/homestead price. Beadle’s “great trust of the future commonwealth” quotation per the SDHSF account.</w:t>
      </w:r>
    </w:p>
    <w:p w14:paraId="45957D97" w14:textId="77777777" w:rsidR="00DC02F5" w:rsidRDefault="00000000">
      <w:pPr>
        <w:numPr>
          <w:ilvl w:val="0"/>
          <w:numId w:val="12"/>
        </w:numPr>
      </w:pPr>
      <w:r>
        <w:t>“An educated and forewarned constituency”: Margaret Bird, manuscript notes, 2026.</w:t>
      </w:r>
    </w:p>
    <w:p w14:paraId="12FFEC8A" w14:textId="77777777" w:rsidR="00DC02F5" w:rsidRDefault="00000000">
      <w:pPr>
        <w:numPr>
          <w:ilvl w:val="0"/>
          <w:numId w:val="12"/>
        </w:numPr>
      </w:pPr>
      <w:r>
        <w:t>The Beadle Club survives today as a school-trust advocacy body open to citizen membership (Margaret Bird’s notes).</w:t>
      </w:r>
    </w:p>
    <w:p w14:paraId="7F222612" w14:textId="77777777" w:rsidR="00DC02F5" w:rsidRDefault="00000000">
      <w:pPr>
        <w:numPr>
          <w:ilvl w:val="0"/>
          <w:numId w:val="12"/>
        </w:numPr>
      </w:pPr>
      <w:r>
        <w:t xml:space="preserve">North Dakota Common Schools Trust Fund = $7.94 billion [as of Dec. 11, 2025], as reported to the Board of University and School Lands (North Dakota Department of Trust Lands) — up from $7 billion at the end of the prior fiscal year. A separate industry analysis projects a further $8.4 billion in future royalty payments from state-owned minerals over the remaining life of production (reported by the </w:t>
      </w:r>
      <w:r>
        <w:rPr>
          <w:i/>
          <w:iCs/>
        </w:rPr>
        <w:t>North Dakota Monitor</w:t>
      </w:r>
      <w:r>
        <w:t>, Dec. 15, 2025) — a projection of future income, not a fund balance. Distributions to schools for the 2025–27 biennium total $584,677,350, up from about $77 million in 2009–11.</w:t>
      </w:r>
    </w:p>
    <w:p w14:paraId="5C1B8CBA" w14:textId="77777777" w:rsidR="00DC02F5" w:rsidRDefault="00000000">
      <w:pPr>
        <w:numPr>
          <w:ilvl w:val="0"/>
          <w:numId w:val="12"/>
        </w:numPr>
      </w:pPr>
      <w:r>
        <w:t xml:space="preserve">New Mexico Land Grant Permanent Fund ≈ $32.97 billion market value at calendar year-end 2024 [as of Dec. 31, 2024] (New Mexico State Investment Council). The Council reported </w:t>
      </w:r>
      <w:r>
        <w:lastRenderedPageBreak/>
        <w:t>≈$1.83 billion in total FY2025 beneficiary distributions, of which public schools (≈ 88% of the fund) received the great majority.</w:t>
      </w:r>
    </w:p>
    <w:p w14:paraId="27F2B614" w14:textId="77777777" w:rsidR="00DC02F5" w:rsidRDefault="00000000">
      <w:pPr>
        <w:pStyle w:val="Heading2"/>
      </w:pPr>
      <w:bookmarkStart w:id="158" w:name="Xed21330c589ce4e06fad817b746249318876dfe"/>
      <w:bookmarkStart w:id="159" w:name="_Toc231774273"/>
      <w:bookmarkEnd w:id="156"/>
      <w:r>
        <w:t>Chapter 6 — Competence and Accounting: The Books Must Tell the Truth</w:t>
      </w:r>
      <w:bookmarkEnd w:id="159"/>
    </w:p>
    <w:p w14:paraId="253FF66F" w14:textId="77777777" w:rsidR="00DC02F5" w:rsidRDefault="00000000">
      <w:pPr>
        <w:numPr>
          <w:ilvl w:val="0"/>
          <w:numId w:val="13"/>
        </w:numPr>
      </w:pPr>
      <w:r>
        <w:rPr>
          <w:i/>
          <w:iCs/>
        </w:rPr>
        <w:t>SEC v. Chenery Corp.</w:t>
      </w:r>
      <w:r>
        <w:t>, 318 U.S. 80, 85–86 (1943) (Frankfurter, J.).</w:t>
      </w:r>
    </w:p>
    <w:p w14:paraId="21DDB9A6" w14:textId="77777777" w:rsidR="00DC02F5" w:rsidRDefault="00000000">
      <w:pPr>
        <w:pStyle w:val="Heading2"/>
      </w:pPr>
      <w:bookmarkStart w:id="160" w:name="X0658e84416aaa0fdfcd22c0c94bee3a12f05811"/>
      <w:bookmarkStart w:id="161" w:name="_Toc231774274"/>
      <w:bookmarkEnd w:id="158"/>
      <w:r>
        <w:t>Chapter 7 — Supervision and Enforcement: Someone Has to Watch the Watcher</w:t>
      </w:r>
      <w:bookmarkEnd w:id="161"/>
    </w:p>
    <w:p w14:paraId="5227C70E" w14:textId="77777777" w:rsidR="00DC02F5" w:rsidRDefault="00000000">
      <w:pPr>
        <w:numPr>
          <w:ilvl w:val="0"/>
          <w:numId w:val="14"/>
        </w:numPr>
      </w:pPr>
      <w:r>
        <w:rPr>
          <w:i/>
          <w:iCs/>
        </w:rPr>
        <w:t>State ex rel. Ebke v. Board of Educational Lands &amp; Funds</w:t>
      </w:r>
      <w:r>
        <w:t>, 154 Neb. 244, 248–49, 47 N.W.2d 520, 524 (1951).</w:t>
      </w:r>
    </w:p>
    <w:p w14:paraId="5B0C554D" w14:textId="77777777" w:rsidR="00DC02F5" w:rsidRDefault="00000000">
      <w:pPr>
        <w:numPr>
          <w:ilvl w:val="0"/>
          <w:numId w:val="14"/>
        </w:numPr>
      </w:pPr>
      <w:r>
        <w:rPr>
          <w:i/>
          <w:iCs/>
        </w:rPr>
        <w:t>Hill v. Thompson</w:t>
      </w:r>
      <w:r>
        <w:t>, 564 So. 2d 1 (Miss. 1989) — the $7.50, ninety-nine-year Forest lease, verified.</w:t>
      </w:r>
    </w:p>
    <w:p w14:paraId="0331566D" w14:textId="77777777" w:rsidR="00DC02F5" w:rsidRDefault="00000000">
      <w:pPr>
        <w:numPr>
          <w:ilvl w:val="0"/>
          <w:numId w:val="14"/>
        </w:numPr>
      </w:pPr>
      <w:r>
        <w:rPr>
          <w:i/>
          <w:iCs/>
        </w:rPr>
        <w:t>Keys v. Carter</w:t>
      </w:r>
      <w:r>
        <w:t>, 318 So. 2d 862 (Miss. 1975) (the Rankin County superintendent’s lease to himself, voided for grossly inadequate consideration).</w:t>
      </w:r>
    </w:p>
    <w:p w14:paraId="16CD32D8" w14:textId="77777777" w:rsidR="00DC02F5" w:rsidRDefault="00000000">
      <w:pPr>
        <w:numPr>
          <w:ilvl w:val="0"/>
          <w:numId w:val="14"/>
        </w:numPr>
      </w:pPr>
      <w:r>
        <w:rPr>
          <w:i/>
          <w:iCs/>
        </w:rPr>
        <w:t>Ervien v. United States</w:t>
      </w:r>
      <w:r>
        <w:t>, 251 U.S. 41, 47 (1919).</w:t>
      </w:r>
    </w:p>
    <w:p w14:paraId="5924587E" w14:textId="77777777" w:rsidR="00DC02F5" w:rsidRDefault="00000000">
      <w:pPr>
        <w:numPr>
          <w:ilvl w:val="0"/>
          <w:numId w:val="14"/>
        </w:numPr>
      </w:pPr>
      <w:r w:rsidRPr="00437C84">
        <w:rPr>
          <w:i/>
          <w:iCs/>
          <w:lang w:val="es-ES"/>
        </w:rPr>
        <w:t xml:space="preserve">Lassen v. Arizona ex </w:t>
      </w:r>
      <w:proofErr w:type="spellStart"/>
      <w:r w:rsidRPr="00437C84">
        <w:rPr>
          <w:i/>
          <w:iCs/>
          <w:lang w:val="es-ES"/>
        </w:rPr>
        <w:t>rel.</w:t>
      </w:r>
      <w:proofErr w:type="spellEnd"/>
      <w:r w:rsidRPr="00437C84">
        <w:rPr>
          <w:i/>
          <w:iCs/>
          <w:lang w:val="es-ES"/>
        </w:rPr>
        <w:t xml:space="preserve"> </w:t>
      </w:r>
      <w:r>
        <w:rPr>
          <w:i/>
          <w:iCs/>
        </w:rPr>
        <w:t>Arizona Highway Department</w:t>
      </w:r>
      <w:r>
        <w:t>, 385 U.S. 458, 465–69 (1967).</w:t>
      </w:r>
    </w:p>
    <w:p w14:paraId="6263CA50" w14:textId="77777777" w:rsidR="00DC02F5" w:rsidRDefault="00000000">
      <w:pPr>
        <w:numPr>
          <w:ilvl w:val="0"/>
          <w:numId w:val="14"/>
        </w:numPr>
      </w:pPr>
      <w:r>
        <w:t xml:space="preserve">The decades-long delay in enforcing </w:t>
      </w:r>
      <w:r>
        <w:rPr>
          <w:i/>
          <w:iCs/>
        </w:rPr>
        <w:t>Lassen</w:t>
      </w:r>
      <w:r>
        <w:t xml:space="preserve"> and the later statute-of-limitations defeat are from Margaret Bird’s compiled account; the specific Arizona suit, court, and limitations holding have not been located in a primary source.</w:t>
      </w:r>
    </w:p>
    <w:p w14:paraId="29555886" w14:textId="77777777" w:rsidR="00DC02F5" w:rsidRDefault="00000000">
      <w:pPr>
        <w:numPr>
          <w:ilvl w:val="0"/>
          <w:numId w:val="14"/>
        </w:numPr>
      </w:pPr>
      <w:r>
        <w:rPr>
          <w:i/>
          <w:iCs/>
        </w:rPr>
        <w:t>Montanans for the Responsible Use of the School Trust v. State</w:t>
      </w:r>
      <w:r>
        <w:t xml:space="preserve">, 1999 MT 263. MonTrust was litigated by Roy Andes of Missoula, counsel to MonTrust and its successor, the Advocates for </w:t>
      </w:r>
      <w:r>
        <w:lastRenderedPageBreak/>
        <w:t>School Trust Lands. “One good attorney in the right place”: Margaret Bird, manuscript notes, 2026.</w:t>
      </w:r>
    </w:p>
    <w:p w14:paraId="4A31D104" w14:textId="77777777" w:rsidR="00DC02F5" w:rsidRDefault="00000000">
      <w:pPr>
        <w:numPr>
          <w:ilvl w:val="0"/>
          <w:numId w:val="14"/>
        </w:numPr>
      </w:pPr>
      <w:r>
        <w:t>Project BOLD, championed by Gov. Scott M. Matheson. The account that it would have reworked the Enabling Act to serve the state rather than the schools — flagged by Bird to the State School Board — is her first-hand recollection.</w:t>
      </w:r>
    </w:p>
    <w:p w14:paraId="742C531A" w14:textId="77777777" w:rsidR="00DC02F5" w:rsidRDefault="00000000">
      <w:pPr>
        <w:numPr>
          <w:ilvl w:val="0"/>
          <w:numId w:val="14"/>
        </w:numPr>
      </w:pPr>
      <w:r>
        <w:t>SITLA created 1994 as an independent fiduciary agency. Utah’s Permanent State School Fund grew from about $50 million (1994) to a record ~$3.3 billion (2025; reported as high as ~$3.7 billion by September 2025); FY2025 distribution to public schools ~$111.3 million (Utah State Treasurer). Margaret Bird’s “5 million to 150 million … thirty times” describes annual land revenue (SITLA FY2025 land revenue ≈ $142.1 million).</w:t>
      </w:r>
    </w:p>
    <w:p w14:paraId="637D05AD" w14:textId="77777777" w:rsidR="00DC02F5" w:rsidRDefault="00000000">
      <w:pPr>
        <w:numPr>
          <w:ilvl w:val="0"/>
          <w:numId w:val="14"/>
        </w:numPr>
      </w:pPr>
      <w:r>
        <w:t xml:space="preserve">Dick Molpus / sixteenth-section reform: </w:t>
      </w:r>
      <w:r>
        <w:rPr>
          <w:i/>
          <w:iCs/>
        </w:rPr>
        <w:t>Mississippi Encyclopedia</w:t>
      </w:r>
      <w:r>
        <w:t>, “Sixteenth Section Lands.” Revenue and lease-count figures rest on secondary accounts; specific numbers to be pinned to a Mississippi Secretary of State report before being asserted bare.</w:t>
      </w:r>
    </w:p>
    <w:p w14:paraId="4E4FBA27" w14:textId="77777777" w:rsidR="00DC02F5" w:rsidRDefault="00000000">
      <w:pPr>
        <w:pStyle w:val="Heading2"/>
      </w:pPr>
      <w:bookmarkStart w:id="162" w:name="chapter-8---the-money-must-be-seen-1"/>
      <w:bookmarkStart w:id="163" w:name="_Toc231774275"/>
      <w:bookmarkEnd w:id="160"/>
      <w:r>
        <w:t>Chapter 8 - The Money Must Be Seen</w:t>
      </w:r>
      <w:bookmarkEnd w:id="163"/>
    </w:p>
    <w:p w14:paraId="63A5511E" w14:textId="77777777" w:rsidR="00DC02F5" w:rsidRDefault="00000000">
      <w:pPr>
        <w:numPr>
          <w:ilvl w:val="0"/>
          <w:numId w:val="15"/>
        </w:numPr>
      </w:pPr>
      <w:r>
        <w:t>Utah School LAND Trust Program and distribution figures: Utah Trust Lands FY2025 performance reporting; see also Chapter 7 notes on SITLA, SITFO, and the Land Trusts Protection and Advocacy Office.</w:t>
      </w:r>
    </w:p>
    <w:p w14:paraId="5825DBC4" w14:textId="77777777" w:rsidR="00DC02F5" w:rsidRDefault="00000000">
      <w:pPr>
        <w:numPr>
          <w:ilvl w:val="0"/>
          <w:numId w:val="15"/>
        </w:numPr>
      </w:pPr>
      <w:r>
        <w:t>Mississippi reform: Dick Molpus / sixteenth-section reform materials; final print should pin specific lawsuit and lease-count figures to Mississippi Secretary of State records before asserting numbers.</w:t>
      </w:r>
    </w:p>
    <w:p w14:paraId="3F6CCF50" w14:textId="77777777" w:rsidR="00DC02F5" w:rsidRDefault="00000000">
      <w:pPr>
        <w:pStyle w:val="Heading2"/>
      </w:pPr>
      <w:bookmarkStart w:id="164" w:name="part-two-the-granted-states-a-to-z-1"/>
      <w:bookmarkStart w:id="165" w:name="_Toc231774276"/>
      <w:bookmarkEnd w:id="162"/>
      <w:r>
        <w:lastRenderedPageBreak/>
        <w:t>PART TWO — The Granted States, A to Z</w:t>
      </w:r>
      <w:bookmarkEnd w:id="165"/>
    </w:p>
    <w:p w14:paraId="4C59F31F" w14:textId="77777777" w:rsidR="00DC02F5" w:rsidRDefault="00000000">
      <w:pPr>
        <w:numPr>
          <w:ilvl w:val="0"/>
          <w:numId w:val="16"/>
        </w:numPr>
      </w:pPr>
      <w:r>
        <w:rPr>
          <w:i/>
          <w:iCs/>
        </w:rPr>
        <w:t>Cooper v. Roberts</w:t>
      </w:r>
      <w:r>
        <w:t>, 59 U.S. (18 How.) 173, 178 (1855).</w:t>
      </w:r>
    </w:p>
    <w:p w14:paraId="31D0DBE8" w14:textId="77777777" w:rsidR="00DC02F5" w:rsidRDefault="00000000">
      <w:pPr>
        <w:numPr>
          <w:ilvl w:val="0"/>
          <w:numId w:val="16"/>
        </w:numPr>
      </w:pPr>
      <w:r>
        <w:t xml:space="preserve">Quoted from the State of Oregon’s own filing: Defendants’ answer and summary-judgment briefing in </w:t>
      </w:r>
      <w:r>
        <w:rPr>
          <w:i/>
          <w:iCs/>
        </w:rPr>
        <w:t>Siuslaw School District 97J v. State of Oregon</w:t>
      </w:r>
      <w:r>
        <w:t>, Polk County Circuit Court No. 24CV38372 (filed 2025–26) [record document].</w:t>
      </w:r>
      <w:bookmarkEnd w:id="145"/>
      <w:bookmarkEnd w:id="164"/>
    </w:p>
    <w:sectPr w:rsidR="00DC02F5">
      <w:headerReference w:type="default" r:id="rId61"/>
      <w:footerReference w:type="default" r:id="rId62"/>
      <w:pgSz w:w="8640" w:h="12960"/>
      <w:pgMar w:top="864" w:right="720" w:bottom="864" w:left="864" w:header="576" w:footer="432" w:gutter="14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16923D" w14:textId="77777777" w:rsidR="00661AC6" w:rsidRDefault="00661AC6">
      <w:pPr>
        <w:spacing w:after="0" w:line="240" w:lineRule="auto"/>
      </w:pPr>
      <w:r>
        <w:separator/>
      </w:r>
    </w:p>
  </w:endnote>
  <w:endnote w:type="continuationSeparator" w:id="0">
    <w:p w14:paraId="1F16752A" w14:textId="77777777" w:rsidR="00661AC6" w:rsidRDefault="00661A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ptos">
    <w:charset w:val="00"/>
    <w:family w:val="swiss"/>
    <w:pitch w:val="variable"/>
    <w:sig w:usb0="20000287" w:usb1="00000003" w:usb2="00000000" w:usb3="00000000" w:csb0="0000019F" w:csb1="00000000"/>
  </w:font>
  <w:font w:name="Source Sans Pro">
    <w:charset w:val="00"/>
    <w:family w:val="swiss"/>
    <w:pitch w:val="variable"/>
    <w:sig w:usb0="600002F7" w:usb1="02000001" w:usb2="00000000" w:usb3="00000000" w:csb0="0000019F" w:csb1="00000000"/>
  </w:font>
  <w:font w:name="Google Sans Text">
    <w:altName w:val="Calibri"/>
    <w:charset w:val="00"/>
    <w:family w:val="auto"/>
    <w:pitch w:val="default"/>
  </w:font>
  <w:font w:name="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7111A" w14:textId="77777777" w:rsidR="00DC02F5" w:rsidRDefault="00000000">
    <w:pPr>
      <w:pStyle w:val="Footer"/>
      <w:jc w:val="center"/>
      <w:rPr>
        <w:color w:val="595959"/>
        <w:sz w:val="16"/>
      </w:rPr>
    </w:pPr>
    <w:r>
      <w:rPr>
        <w:color w:val="595959"/>
        <w:sz w:val="16"/>
      </w:rPr>
      <w:t>The Forgotten Forever Gift to Public Schools</w:t>
    </w:r>
    <w:r>
      <w:rPr>
        <w:color w:val="595959"/>
        <w:sz w:val="16"/>
      </w:rPr>
      <w:fldChar w:fldCharType="begin"/>
    </w:r>
    <w:r>
      <w:rPr>
        <w:color w:val="595959"/>
        <w:sz w:val="16"/>
      </w:rPr>
      <w:instrText xml:space="preserve"> PAGE </w:instrText>
    </w:r>
    <w:r w:rsidR="00437C84">
      <w:rPr>
        <w:color w:val="595959"/>
        <w:sz w:val="16"/>
      </w:rPr>
      <w:fldChar w:fldCharType="separate"/>
    </w:r>
    <w:r w:rsidR="00437C84">
      <w:rPr>
        <w:noProof/>
        <w:color w:val="595959"/>
        <w:sz w:val="16"/>
      </w:rPr>
      <w:t>1</w:t>
    </w:r>
    <w:r>
      <w:rPr>
        <w:color w:val="595959"/>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1F4BFD" w14:textId="77777777" w:rsidR="00661AC6" w:rsidRDefault="00661AC6">
      <w:pPr>
        <w:spacing w:after="0" w:line="240" w:lineRule="auto"/>
      </w:pPr>
      <w:r>
        <w:separator/>
      </w:r>
    </w:p>
  </w:footnote>
  <w:footnote w:type="continuationSeparator" w:id="0">
    <w:p w14:paraId="2235A02B" w14:textId="77777777" w:rsidR="00661AC6" w:rsidRDefault="00661A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1348F" w14:textId="77777777" w:rsidR="00DC02F5" w:rsidRDefault="00000000">
    <w:pPr>
      <w:pStyle w:val="Header"/>
      <w:jc w:val="center"/>
      <w:rPr>
        <w:i/>
        <w:color w:val="595959"/>
        <w:sz w:val="18"/>
      </w:rPr>
    </w:pPr>
    <w:r>
      <w:rPr>
        <w:i/>
        <w:color w:val="595959"/>
        <w:sz w:val="18"/>
      </w:rPr>
      <w:t>The Forgotten Forever Gift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1"/>
    <w:multiLevelType w:val="multilevel"/>
    <w:tmpl w:val="E0582D56"/>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1" w15:restartNumberingAfterBreak="0">
    <w:nsid w:val="00A99411"/>
    <w:multiLevelType w:val="multilevel"/>
    <w:tmpl w:val="12DE2A7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36F50B74"/>
    <w:multiLevelType w:val="multilevel"/>
    <w:tmpl w:val="557E1C08"/>
    <w:lvl w:ilvl="0">
      <w:start w:val="1"/>
      <w:numFmt w:val="bullet"/>
      <w:pStyle w:val="Box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CB20FE"/>
    <w:multiLevelType w:val="multilevel"/>
    <w:tmpl w:val="10307388"/>
    <w:lvl w:ilvl="0">
      <w:start w:val="1"/>
      <w:numFmt w:val="decimal"/>
      <w:pStyle w:val="BulletNumbeered"/>
      <w:lvlText w:val="%1."/>
      <w:lvlJc w:val="left"/>
      <w:pPr>
        <w:tabs>
          <w:tab w:val="num" w:pos="720"/>
        </w:tabs>
        <w:ind w:left="720" w:hanging="360"/>
      </w:pPr>
      <w:rPr>
        <w:rFonts w:ascii="Palatino Linotype" w:hAnsi="Palatino Linotype" w:hint="default"/>
        <w:color w:val="000000"/>
        <w:sz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B0010AD"/>
    <w:multiLevelType w:val="multilevel"/>
    <w:tmpl w:val="501CB682"/>
    <w:lvl w:ilvl="0">
      <w:start w:val="1"/>
      <w:numFmt w:val="bullet"/>
      <w:pStyle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180342">
    <w:abstractNumId w:val="2"/>
  </w:num>
  <w:num w:numId="2" w16cid:durableId="1803688526">
    <w:abstractNumId w:val="4"/>
  </w:num>
  <w:num w:numId="3" w16cid:durableId="1640064950">
    <w:abstractNumId w:val="3"/>
  </w:num>
  <w:num w:numId="4" w16cid:durableId="1426657862">
    <w:abstractNumId w:val="0"/>
  </w:num>
  <w:num w:numId="5" w16cid:durableId="3874153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604511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4593050">
    <w:abstractNumId w:val="0"/>
  </w:num>
  <w:num w:numId="8" w16cid:durableId="20017633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0796965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092397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8086479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839780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234040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7483346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605448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414412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42"/>
  <w:embedSystemFonts/>
  <w:mirrorMargin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144"/>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98C"/>
    <w:rsid w:val="00001B1D"/>
    <w:rsid w:val="000021EE"/>
    <w:rsid w:val="00004067"/>
    <w:rsid w:val="000052B9"/>
    <w:rsid w:val="00007FA9"/>
    <w:rsid w:val="0001198C"/>
    <w:rsid w:val="0001465A"/>
    <w:rsid w:val="000212D5"/>
    <w:rsid w:val="000215ED"/>
    <w:rsid w:val="00030F16"/>
    <w:rsid w:val="00033DE0"/>
    <w:rsid w:val="00053849"/>
    <w:rsid w:val="00065D22"/>
    <w:rsid w:val="00076E0C"/>
    <w:rsid w:val="00082FBF"/>
    <w:rsid w:val="000912FD"/>
    <w:rsid w:val="00092F40"/>
    <w:rsid w:val="00092F87"/>
    <w:rsid w:val="0009483E"/>
    <w:rsid w:val="000973C7"/>
    <w:rsid w:val="000A0529"/>
    <w:rsid w:val="000A0B09"/>
    <w:rsid w:val="000A2620"/>
    <w:rsid w:val="000A4A31"/>
    <w:rsid w:val="000B12BA"/>
    <w:rsid w:val="000B371A"/>
    <w:rsid w:val="000B7E3D"/>
    <w:rsid w:val="000C0259"/>
    <w:rsid w:val="000C23FA"/>
    <w:rsid w:val="000D2240"/>
    <w:rsid w:val="000D3FEA"/>
    <w:rsid w:val="000D66A6"/>
    <w:rsid w:val="000D7518"/>
    <w:rsid w:val="000E0847"/>
    <w:rsid w:val="000F1007"/>
    <w:rsid w:val="000F1B35"/>
    <w:rsid w:val="000F2818"/>
    <w:rsid w:val="000F2A10"/>
    <w:rsid w:val="0010138F"/>
    <w:rsid w:val="00102E3D"/>
    <w:rsid w:val="00103F80"/>
    <w:rsid w:val="00111D6A"/>
    <w:rsid w:val="00113419"/>
    <w:rsid w:val="0011357E"/>
    <w:rsid w:val="001150CD"/>
    <w:rsid w:val="001213E1"/>
    <w:rsid w:val="00131CB6"/>
    <w:rsid w:val="00132374"/>
    <w:rsid w:val="001332E7"/>
    <w:rsid w:val="0013386A"/>
    <w:rsid w:val="00134E13"/>
    <w:rsid w:val="00137AF7"/>
    <w:rsid w:val="00145882"/>
    <w:rsid w:val="0014679F"/>
    <w:rsid w:val="0015300C"/>
    <w:rsid w:val="001531AA"/>
    <w:rsid w:val="0015438D"/>
    <w:rsid w:val="001543C4"/>
    <w:rsid w:val="0015752D"/>
    <w:rsid w:val="001608A5"/>
    <w:rsid w:val="00161714"/>
    <w:rsid w:val="00166494"/>
    <w:rsid w:val="00167579"/>
    <w:rsid w:val="00170C4F"/>
    <w:rsid w:val="00171576"/>
    <w:rsid w:val="00171B7D"/>
    <w:rsid w:val="0017383E"/>
    <w:rsid w:val="001754E8"/>
    <w:rsid w:val="00176926"/>
    <w:rsid w:val="00176DF0"/>
    <w:rsid w:val="001824AE"/>
    <w:rsid w:val="00191A5F"/>
    <w:rsid w:val="00194088"/>
    <w:rsid w:val="001A1398"/>
    <w:rsid w:val="001A534B"/>
    <w:rsid w:val="001A5E66"/>
    <w:rsid w:val="001B7180"/>
    <w:rsid w:val="001D0AA4"/>
    <w:rsid w:val="001D0EEC"/>
    <w:rsid w:val="001D36B1"/>
    <w:rsid w:val="001E02AA"/>
    <w:rsid w:val="001E1F6A"/>
    <w:rsid w:val="001E2EDE"/>
    <w:rsid w:val="001E3625"/>
    <w:rsid w:val="001E3F0C"/>
    <w:rsid w:val="001E6609"/>
    <w:rsid w:val="001F4B94"/>
    <w:rsid w:val="001F66EA"/>
    <w:rsid w:val="001F670F"/>
    <w:rsid w:val="001F6CE7"/>
    <w:rsid w:val="00203F14"/>
    <w:rsid w:val="00205029"/>
    <w:rsid w:val="002060DC"/>
    <w:rsid w:val="00210B07"/>
    <w:rsid w:val="00211960"/>
    <w:rsid w:val="0021311E"/>
    <w:rsid w:val="00223BDF"/>
    <w:rsid w:val="00234593"/>
    <w:rsid w:val="0023729E"/>
    <w:rsid w:val="002376A6"/>
    <w:rsid w:val="00242222"/>
    <w:rsid w:val="0024775D"/>
    <w:rsid w:val="00247F53"/>
    <w:rsid w:val="00250ACE"/>
    <w:rsid w:val="00251866"/>
    <w:rsid w:val="00253A56"/>
    <w:rsid w:val="002628F9"/>
    <w:rsid w:val="0026392E"/>
    <w:rsid w:val="00263C85"/>
    <w:rsid w:val="00264489"/>
    <w:rsid w:val="00272C8F"/>
    <w:rsid w:val="00275470"/>
    <w:rsid w:val="00277660"/>
    <w:rsid w:val="002813A5"/>
    <w:rsid w:val="00281C36"/>
    <w:rsid w:val="002821BF"/>
    <w:rsid w:val="00295389"/>
    <w:rsid w:val="002A1D27"/>
    <w:rsid w:val="002A3BC0"/>
    <w:rsid w:val="002B440F"/>
    <w:rsid w:val="002B5C04"/>
    <w:rsid w:val="002C0928"/>
    <w:rsid w:val="002C1740"/>
    <w:rsid w:val="002C52DC"/>
    <w:rsid w:val="002D0CAB"/>
    <w:rsid w:val="002D4EE7"/>
    <w:rsid w:val="002E4DEB"/>
    <w:rsid w:val="002E4EC3"/>
    <w:rsid w:val="002E534B"/>
    <w:rsid w:val="002F1917"/>
    <w:rsid w:val="002F2E4B"/>
    <w:rsid w:val="003039AA"/>
    <w:rsid w:val="00307B4A"/>
    <w:rsid w:val="0031289F"/>
    <w:rsid w:val="00316089"/>
    <w:rsid w:val="00316312"/>
    <w:rsid w:val="00327077"/>
    <w:rsid w:val="003303B6"/>
    <w:rsid w:val="00333A84"/>
    <w:rsid w:val="003458FC"/>
    <w:rsid w:val="00346CBB"/>
    <w:rsid w:val="00353B72"/>
    <w:rsid w:val="00363074"/>
    <w:rsid w:val="00375C8F"/>
    <w:rsid w:val="00386A69"/>
    <w:rsid w:val="003928AC"/>
    <w:rsid w:val="00396304"/>
    <w:rsid w:val="0039767C"/>
    <w:rsid w:val="00397999"/>
    <w:rsid w:val="003A5262"/>
    <w:rsid w:val="003A7428"/>
    <w:rsid w:val="003B67E5"/>
    <w:rsid w:val="003C5E7B"/>
    <w:rsid w:val="003C7D66"/>
    <w:rsid w:val="003D0511"/>
    <w:rsid w:val="003D760E"/>
    <w:rsid w:val="003D78C0"/>
    <w:rsid w:val="003D7C5E"/>
    <w:rsid w:val="003D7EED"/>
    <w:rsid w:val="003E6F2B"/>
    <w:rsid w:val="003E7EEA"/>
    <w:rsid w:val="003F7CCC"/>
    <w:rsid w:val="00400782"/>
    <w:rsid w:val="004027A7"/>
    <w:rsid w:val="00403842"/>
    <w:rsid w:val="004156C3"/>
    <w:rsid w:val="004170A0"/>
    <w:rsid w:val="0042021F"/>
    <w:rsid w:val="004216DF"/>
    <w:rsid w:val="0042304F"/>
    <w:rsid w:val="004313EF"/>
    <w:rsid w:val="00433646"/>
    <w:rsid w:val="00437B7C"/>
    <w:rsid w:val="00437C84"/>
    <w:rsid w:val="004451F4"/>
    <w:rsid w:val="00451333"/>
    <w:rsid w:val="004557BD"/>
    <w:rsid w:val="00455D06"/>
    <w:rsid w:val="004565AC"/>
    <w:rsid w:val="00456CD0"/>
    <w:rsid w:val="004602CE"/>
    <w:rsid w:val="00461D10"/>
    <w:rsid w:val="00472B86"/>
    <w:rsid w:val="00475AA9"/>
    <w:rsid w:val="00477D72"/>
    <w:rsid w:val="00490F08"/>
    <w:rsid w:val="004932D5"/>
    <w:rsid w:val="00496B4C"/>
    <w:rsid w:val="004A4280"/>
    <w:rsid w:val="004A44D2"/>
    <w:rsid w:val="004B37AF"/>
    <w:rsid w:val="004C5F88"/>
    <w:rsid w:val="004D2F24"/>
    <w:rsid w:val="004D4173"/>
    <w:rsid w:val="004D523A"/>
    <w:rsid w:val="004E196B"/>
    <w:rsid w:val="004E2BEC"/>
    <w:rsid w:val="004E44E5"/>
    <w:rsid w:val="004E5D09"/>
    <w:rsid w:val="004F0EB3"/>
    <w:rsid w:val="004F6890"/>
    <w:rsid w:val="004F731D"/>
    <w:rsid w:val="004F736E"/>
    <w:rsid w:val="00500618"/>
    <w:rsid w:val="005010DC"/>
    <w:rsid w:val="00501358"/>
    <w:rsid w:val="00506317"/>
    <w:rsid w:val="00507B68"/>
    <w:rsid w:val="00513013"/>
    <w:rsid w:val="005242AB"/>
    <w:rsid w:val="00526A06"/>
    <w:rsid w:val="00536AB8"/>
    <w:rsid w:val="00541235"/>
    <w:rsid w:val="00543325"/>
    <w:rsid w:val="0055176B"/>
    <w:rsid w:val="0055330D"/>
    <w:rsid w:val="005606F8"/>
    <w:rsid w:val="00562D5D"/>
    <w:rsid w:val="00570D04"/>
    <w:rsid w:val="005714FD"/>
    <w:rsid w:val="0058414B"/>
    <w:rsid w:val="00585084"/>
    <w:rsid w:val="005950DE"/>
    <w:rsid w:val="005A2894"/>
    <w:rsid w:val="005A349B"/>
    <w:rsid w:val="005B5661"/>
    <w:rsid w:val="005C2C83"/>
    <w:rsid w:val="005C2E96"/>
    <w:rsid w:val="005D3557"/>
    <w:rsid w:val="005D668C"/>
    <w:rsid w:val="005E0E83"/>
    <w:rsid w:val="005E47BC"/>
    <w:rsid w:val="005E4CAC"/>
    <w:rsid w:val="005E5A24"/>
    <w:rsid w:val="005E609F"/>
    <w:rsid w:val="005F4668"/>
    <w:rsid w:val="00612B80"/>
    <w:rsid w:val="0062015B"/>
    <w:rsid w:val="00620392"/>
    <w:rsid w:val="0062283C"/>
    <w:rsid w:val="00626883"/>
    <w:rsid w:val="00647431"/>
    <w:rsid w:val="00650BB9"/>
    <w:rsid w:val="00661AC6"/>
    <w:rsid w:val="006631A0"/>
    <w:rsid w:val="00664AFC"/>
    <w:rsid w:val="00665AD4"/>
    <w:rsid w:val="006710E8"/>
    <w:rsid w:val="0067652B"/>
    <w:rsid w:val="00687D35"/>
    <w:rsid w:val="00695936"/>
    <w:rsid w:val="006962AC"/>
    <w:rsid w:val="006A1171"/>
    <w:rsid w:val="006A62CE"/>
    <w:rsid w:val="006B0E64"/>
    <w:rsid w:val="006B164B"/>
    <w:rsid w:val="006B288D"/>
    <w:rsid w:val="006B367A"/>
    <w:rsid w:val="006B5521"/>
    <w:rsid w:val="006B7C32"/>
    <w:rsid w:val="006B7E31"/>
    <w:rsid w:val="006C1C84"/>
    <w:rsid w:val="006D373D"/>
    <w:rsid w:val="006E0242"/>
    <w:rsid w:val="006E307C"/>
    <w:rsid w:val="006E5088"/>
    <w:rsid w:val="006E6B6F"/>
    <w:rsid w:val="006F0003"/>
    <w:rsid w:val="0070175D"/>
    <w:rsid w:val="00710ABA"/>
    <w:rsid w:val="00711532"/>
    <w:rsid w:val="00712C3C"/>
    <w:rsid w:val="00727791"/>
    <w:rsid w:val="00740207"/>
    <w:rsid w:val="007431BA"/>
    <w:rsid w:val="0074371B"/>
    <w:rsid w:val="00744A79"/>
    <w:rsid w:val="00750CD4"/>
    <w:rsid w:val="00750F10"/>
    <w:rsid w:val="007523B4"/>
    <w:rsid w:val="00755BDD"/>
    <w:rsid w:val="00757D3D"/>
    <w:rsid w:val="00761E5B"/>
    <w:rsid w:val="0076240E"/>
    <w:rsid w:val="00762CE3"/>
    <w:rsid w:val="007654EC"/>
    <w:rsid w:val="00765664"/>
    <w:rsid w:val="00771A90"/>
    <w:rsid w:val="00776BCA"/>
    <w:rsid w:val="00785923"/>
    <w:rsid w:val="00786E79"/>
    <w:rsid w:val="007940FB"/>
    <w:rsid w:val="0079540E"/>
    <w:rsid w:val="007A2B64"/>
    <w:rsid w:val="007A2FDA"/>
    <w:rsid w:val="007B3C3B"/>
    <w:rsid w:val="007B635F"/>
    <w:rsid w:val="007B6462"/>
    <w:rsid w:val="007B72C2"/>
    <w:rsid w:val="007C1DFC"/>
    <w:rsid w:val="007D1943"/>
    <w:rsid w:val="007D6B6E"/>
    <w:rsid w:val="007E25D1"/>
    <w:rsid w:val="007F33CD"/>
    <w:rsid w:val="007F3F64"/>
    <w:rsid w:val="008041A4"/>
    <w:rsid w:val="00811468"/>
    <w:rsid w:val="00815A7D"/>
    <w:rsid w:val="00821693"/>
    <w:rsid w:val="00824BA6"/>
    <w:rsid w:val="008313DC"/>
    <w:rsid w:val="00835991"/>
    <w:rsid w:val="00835B02"/>
    <w:rsid w:val="00846B2A"/>
    <w:rsid w:val="0084720C"/>
    <w:rsid w:val="008528F0"/>
    <w:rsid w:val="00856558"/>
    <w:rsid w:val="008607BD"/>
    <w:rsid w:val="008620E7"/>
    <w:rsid w:val="0087079C"/>
    <w:rsid w:val="00870D72"/>
    <w:rsid w:val="0087364B"/>
    <w:rsid w:val="00883A56"/>
    <w:rsid w:val="0088536D"/>
    <w:rsid w:val="00891D48"/>
    <w:rsid w:val="00892184"/>
    <w:rsid w:val="00895CAF"/>
    <w:rsid w:val="008B5118"/>
    <w:rsid w:val="008F0F34"/>
    <w:rsid w:val="008F1BBE"/>
    <w:rsid w:val="008F215F"/>
    <w:rsid w:val="008F6AB0"/>
    <w:rsid w:val="00903357"/>
    <w:rsid w:val="00904C85"/>
    <w:rsid w:val="00910050"/>
    <w:rsid w:val="00912F9A"/>
    <w:rsid w:val="009203DE"/>
    <w:rsid w:val="00921D51"/>
    <w:rsid w:val="00923988"/>
    <w:rsid w:val="00933560"/>
    <w:rsid w:val="00935805"/>
    <w:rsid w:val="009473EA"/>
    <w:rsid w:val="0095079F"/>
    <w:rsid w:val="00950ACF"/>
    <w:rsid w:val="00950E2D"/>
    <w:rsid w:val="00952E5D"/>
    <w:rsid w:val="00954335"/>
    <w:rsid w:val="00961293"/>
    <w:rsid w:val="00964BCA"/>
    <w:rsid w:val="009677B4"/>
    <w:rsid w:val="00973737"/>
    <w:rsid w:val="009740BC"/>
    <w:rsid w:val="00977161"/>
    <w:rsid w:val="0097773E"/>
    <w:rsid w:val="00977C40"/>
    <w:rsid w:val="00985525"/>
    <w:rsid w:val="00985C66"/>
    <w:rsid w:val="00990052"/>
    <w:rsid w:val="009911E1"/>
    <w:rsid w:val="00994784"/>
    <w:rsid w:val="00994F08"/>
    <w:rsid w:val="009B18B8"/>
    <w:rsid w:val="009B2652"/>
    <w:rsid w:val="009B4010"/>
    <w:rsid w:val="009B6621"/>
    <w:rsid w:val="009B7C87"/>
    <w:rsid w:val="009C5DE8"/>
    <w:rsid w:val="009E470B"/>
    <w:rsid w:val="009E71B5"/>
    <w:rsid w:val="009F0505"/>
    <w:rsid w:val="009F4D16"/>
    <w:rsid w:val="009F5A19"/>
    <w:rsid w:val="009F6D76"/>
    <w:rsid w:val="00A008F1"/>
    <w:rsid w:val="00A02526"/>
    <w:rsid w:val="00A025A5"/>
    <w:rsid w:val="00A07797"/>
    <w:rsid w:val="00A1580E"/>
    <w:rsid w:val="00A16EEE"/>
    <w:rsid w:val="00A17990"/>
    <w:rsid w:val="00A21E46"/>
    <w:rsid w:val="00A26A6E"/>
    <w:rsid w:val="00A30387"/>
    <w:rsid w:val="00A441B3"/>
    <w:rsid w:val="00A47D9D"/>
    <w:rsid w:val="00A509CB"/>
    <w:rsid w:val="00A50B79"/>
    <w:rsid w:val="00A53FFA"/>
    <w:rsid w:val="00A55A89"/>
    <w:rsid w:val="00A624ED"/>
    <w:rsid w:val="00A64643"/>
    <w:rsid w:val="00A74C5B"/>
    <w:rsid w:val="00A816C0"/>
    <w:rsid w:val="00A832CE"/>
    <w:rsid w:val="00A8391D"/>
    <w:rsid w:val="00A9486E"/>
    <w:rsid w:val="00A9695E"/>
    <w:rsid w:val="00AA5F5F"/>
    <w:rsid w:val="00AB3340"/>
    <w:rsid w:val="00AB44AD"/>
    <w:rsid w:val="00AB4977"/>
    <w:rsid w:val="00AB6E7B"/>
    <w:rsid w:val="00AC1370"/>
    <w:rsid w:val="00AC4564"/>
    <w:rsid w:val="00AC66B7"/>
    <w:rsid w:val="00AC73F8"/>
    <w:rsid w:val="00AD0C8B"/>
    <w:rsid w:val="00AD7824"/>
    <w:rsid w:val="00AE1D11"/>
    <w:rsid w:val="00AE4415"/>
    <w:rsid w:val="00AE5395"/>
    <w:rsid w:val="00AF5BE5"/>
    <w:rsid w:val="00AF7650"/>
    <w:rsid w:val="00B0044A"/>
    <w:rsid w:val="00B12B1E"/>
    <w:rsid w:val="00B13DF3"/>
    <w:rsid w:val="00B21985"/>
    <w:rsid w:val="00B27A54"/>
    <w:rsid w:val="00B36100"/>
    <w:rsid w:val="00B41754"/>
    <w:rsid w:val="00B4180F"/>
    <w:rsid w:val="00B41FAD"/>
    <w:rsid w:val="00B4356E"/>
    <w:rsid w:val="00B4433A"/>
    <w:rsid w:val="00B513D4"/>
    <w:rsid w:val="00B60307"/>
    <w:rsid w:val="00B65A0C"/>
    <w:rsid w:val="00B83F29"/>
    <w:rsid w:val="00B930A1"/>
    <w:rsid w:val="00B93909"/>
    <w:rsid w:val="00B94934"/>
    <w:rsid w:val="00B96C6D"/>
    <w:rsid w:val="00B976E1"/>
    <w:rsid w:val="00BA2D62"/>
    <w:rsid w:val="00BA2E41"/>
    <w:rsid w:val="00BA5999"/>
    <w:rsid w:val="00BA6749"/>
    <w:rsid w:val="00BB1832"/>
    <w:rsid w:val="00BB70DB"/>
    <w:rsid w:val="00BC2ABB"/>
    <w:rsid w:val="00BC3883"/>
    <w:rsid w:val="00BC75E9"/>
    <w:rsid w:val="00BD1A29"/>
    <w:rsid w:val="00BD4B61"/>
    <w:rsid w:val="00BD7789"/>
    <w:rsid w:val="00BE07EC"/>
    <w:rsid w:val="00BE0E1E"/>
    <w:rsid w:val="00BE275F"/>
    <w:rsid w:val="00BE3F73"/>
    <w:rsid w:val="00BE4936"/>
    <w:rsid w:val="00BE706A"/>
    <w:rsid w:val="00BF042F"/>
    <w:rsid w:val="00BF117F"/>
    <w:rsid w:val="00BF1E8A"/>
    <w:rsid w:val="00BF71AE"/>
    <w:rsid w:val="00BF7295"/>
    <w:rsid w:val="00C001FF"/>
    <w:rsid w:val="00C0204D"/>
    <w:rsid w:val="00C0214E"/>
    <w:rsid w:val="00C02B5B"/>
    <w:rsid w:val="00C076E4"/>
    <w:rsid w:val="00C131E2"/>
    <w:rsid w:val="00C17A6D"/>
    <w:rsid w:val="00C20DF4"/>
    <w:rsid w:val="00C40CE5"/>
    <w:rsid w:val="00C45D50"/>
    <w:rsid w:val="00C45E69"/>
    <w:rsid w:val="00C46804"/>
    <w:rsid w:val="00C55B51"/>
    <w:rsid w:val="00C6145A"/>
    <w:rsid w:val="00C65D21"/>
    <w:rsid w:val="00C66FB6"/>
    <w:rsid w:val="00C67D12"/>
    <w:rsid w:val="00C715B3"/>
    <w:rsid w:val="00C74237"/>
    <w:rsid w:val="00C75A0B"/>
    <w:rsid w:val="00C8021F"/>
    <w:rsid w:val="00C86283"/>
    <w:rsid w:val="00C913C3"/>
    <w:rsid w:val="00C958C9"/>
    <w:rsid w:val="00C97595"/>
    <w:rsid w:val="00C97CB3"/>
    <w:rsid w:val="00CA2105"/>
    <w:rsid w:val="00CB0463"/>
    <w:rsid w:val="00CB23AB"/>
    <w:rsid w:val="00CB4564"/>
    <w:rsid w:val="00CB56C8"/>
    <w:rsid w:val="00CC0C33"/>
    <w:rsid w:val="00CC3C6A"/>
    <w:rsid w:val="00CC7EFD"/>
    <w:rsid w:val="00CD1DB8"/>
    <w:rsid w:val="00CE1C04"/>
    <w:rsid w:val="00CF3BF6"/>
    <w:rsid w:val="00D2116F"/>
    <w:rsid w:val="00D3539F"/>
    <w:rsid w:val="00D3699C"/>
    <w:rsid w:val="00D50D69"/>
    <w:rsid w:val="00D52AEA"/>
    <w:rsid w:val="00D575D1"/>
    <w:rsid w:val="00D62B47"/>
    <w:rsid w:val="00D64589"/>
    <w:rsid w:val="00D7091E"/>
    <w:rsid w:val="00D70D92"/>
    <w:rsid w:val="00D710A3"/>
    <w:rsid w:val="00D744B7"/>
    <w:rsid w:val="00D80A42"/>
    <w:rsid w:val="00D84CB1"/>
    <w:rsid w:val="00D923B7"/>
    <w:rsid w:val="00D93058"/>
    <w:rsid w:val="00DA07D4"/>
    <w:rsid w:val="00DA1DEB"/>
    <w:rsid w:val="00DA7290"/>
    <w:rsid w:val="00DC02F5"/>
    <w:rsid w:val="00DC7C65"/>
    <w:rsid w:val="00DD4AD3"/>
    <w:rsid w:val="00DD7612"/>
    <w:rsid w:val="00DD7E12"/>
    <w:rsid w:val="00DE191A"/>
    <w:rsid w:val="00DE2202"/>
    <w:rsid w:val="00DE663A"/>
    <w:rsid w:val="00DE6E22"/>
    <w:rsid w:val="00DF460E"/>
    <w:rsid w:val="00DF67C5"/>
    <w:rsid w:val="00E005C5"/>
    <w:rsid w:val="00E061D3"/>
    <w:rsid w:val="00E07802"/>
    <w:rsid w:val="00E07A4B"/>
    <w:rsid w:val="00E2085C"/>
    <w:rsid w:val="00E2349C"/>
    <w:rsid w:val="00E26C33"/>
    <w:rsid w:val="00E31DDE"/>
    <w:rsid w:val="00E369FE"/>
    <w:rsid w:val="00E42BC3"/>
    <w:rsid w:val="00E64339"/>
    <w:rsid w:val="00E64DE5"/>
    <w:rsid w:val="00E74572"/>
    <w:rsid w:val="00E77035"/>
    <w:rsid w:val="00E77A5B"/>
    <w:rsid w:val="00E82047"/>
    <w:rsid w:val="00E8604D"/>
    <w:rsid w:val="00E901E2"/>
    <w:rsid w:val="00E90A4B"/>
    <w:rsid w:val="00E97B14"/>
    <w:rsid w:val="00EA1F87"/>
    <w:rsid w:val="00EA52A3"/>
    <w:rsid w:val="00EA7E17"/>
    <w:rsid w:val="00EB2DFC"/>
    <w:rsid w:val="00EB7DD1"/>
    <w:rsid w:val="00EC033B"/>
    <w:rsid w:val="00EC3678"/>
    <w:rsid w:val="00EC404E"/>
    <w:rsid w:val="00EC4363"/>
    <w:rsid w:val="00EC4BE0"/>
    <w:rsid w:val="00EC5C37"/>
    <w:rsid w:val="00ED2C85"/>
    <w:rsid w:val="00ED5A4D"/>
    <w:rsid w:val="00EE6B10"/>
    <w:rsid w:val="00EF045A"/>
    <w:rsid w:val="00F051C1"/>
    <w:rsid w:val="00F22B2A"/>
    <w:rsid w:val="00F32B70"/>
    <w:rsid w:val="00F34B41"/>
    <w:rsid w:val="00F35B78"/>
    <w:rsid w:val="00F45C81"/>
    <w:rsid w:val="00F45D30"/>
    <w:rsid w:val="00F477A2"/>
    <w:rsid w:val="00F477BE"/>
    <w:rsid w:val="00F50C8B"/>
    <w:rsid w:val="00F544C7"/>
    <w:rsid w:val="00F54B63"/>
    <w:rsid w:val="00F567C3"/>
    <w:rsid w:val="00F640DF"/>
    <w:rsid w:val="00F64245"/>
    <w:rsid w:val="00F679EF"/>
    <w:rsid w:val="00F71099"/>
    <w:rsid w:val="00F74639"/>
    <w:rsid w:val="00F82B0B"/>
    <w:rsid w:val="00F87B49"/>
    <w:rsid w:val="00FB091A"/>
    <w:rsid w:val="00FB2FAD"/>
    <w:rsid w:val="00FB4846"/>
    <w:rsid w:val="00FC4E91"/>
    <w:rsid w:val="00FD272C"/>
    <w:rsid w:val="00FD5DD6"/>
    <w:rsid w:val="00FD7A74"/>
    <w:rsid w:val="00FE74EB"/>
    <w:rsid w:val="00FE7F02"/>
    <w:rsid w:val="00FF58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F2D8F4"/>
  <w15:docId w15:val="{25D09EC0-04F7-4DCD-9A00-7B8743B2E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7290"/>
    <w:rPr>
      <w:rFonts w:ascii="Palatino Linotype" w:hAnsi="Palatino Linotype"/>
      <w:sz w:val="22"/>
    </w:rPr>
  </w:style>
  <w:style w:type="paragraph" w:styleId="Heading1">
    <w:name w:val="heading 1"/>
    <w:basedOn w:val="Normal"/>
    <w:next w:val="Normal"/>
    <w:link w:val="Heading1Char"/>
    <w:uiPriority w:val="9"/>
    <w:qFormat/>
    <w:rsid w:val="00456CD0"/>
    <w:pPr>
      <w:keepNext/>
      <w:keepLines/>
      <w:spacing w:after="240"/>
      <w:outlineLvl w:val="0"/>
    </w:pPr>
    <w:rPr>
      <w:rFonts w:ascii="Source Sans Pro" w:eastAsiaTheme="majorEastAsia" w:hAnsi="Source Sans Pro" w:cstheme="majorBidi"/>
      <w:b/>
      <w:color w:val="164432"/>
      <w:sz w:val="40"/>
      <w:szCs w:val="40"/>
    </w:rPr>
  </w:style>
  <w:style w:type="paragraph" w:styleId="Heading2">
    <w:name w:val="heading 2"/>
    <w:basedOn w:val="Normal"/>
    <w:next w:val="Normal"/>
    <w:link w:val="Heading2Char"/>
    <w:uiPriority w:val="9"/>
    <w:unhideWhenUsed/>
    <w:qFormat/>
    <w:rsid w:val="00456CD0"/>
    <w:pPr>
      <w:keepNext/>
      <w:keepLines/>
      <w:spacing w:before="360" w:after="120"/>
      <w:outlineLvl w:val="1"/>
    </w:pPr>
    <w:rPr>
      <w:rFonts w:ascii="Source Sans Pro" w:eastAsiaTheme="majorEastAsia" w:hAnsi="Source Sans Pro" w:cstheme="majorBidi"/>
      <w:color w:val="164432"/>
      <w:sz w:val="32"/>
      <w:szCs w:val="32"/>
    </w:rPr>
  </w:style>
  <w:style w:type="paragraph" w:styleId="Heading3">
    <w:name w:val="heading 3"/>
    <w:basedOn w:val="Normal"/>
    <w:next w:val="Normal"/>
    <w:link w:val="Heading3Char"/>
    <w:uiPriority w:val="9"/>
    <w:unhideWhenUsed/>
    <w:qFormat/>
    <w:rsid w:val="0076240E"/>
    <w:pPr>
      <w:keepNext/>
      <w:keepLines/>
      <w:spacing w:before="160" w:after="80"/>
      <w:outlineLvl w:val="2"/>
    </w:pPr>
    <w:rPr>
      <w:rFonts w:ascii="Source Sans Pro" w:eastAsiaTheme="majorEastAsia" w:hAnsi="Source Sans Pro" w:cstheme="majorBidi"/>
      <w:color w:val="164432"/>
      <w:sz w:val="28"/>
      <w:szCs w:val="28"/>
    </w:rPr>
  </w:style>
  <w:style w:type="paragraph" w:styleId="Heading4">
    <w:name w:val="heading 4"/>
    <w:basedOn w:val="Normal"/>
    <w:next w:val="Normal"/>
    <w:link w:val="Heading4Char"/>
    <w:uiPriority w:val="9"/>
    <w:unhideWhenUsed/>
    <w:qFormat/>
    <w:rsid w:val="0001198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1198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1198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1198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1198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1198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6CD0"/>
    <w:rPr>
      <w:rFonts w:ascii="Source Sans Pro" w:eastAsiaTheme="majorEastAsia" w:hAnsi="Source Sans Pro" w:cstheme="majorBidi"/>
      <w:b/>
      <w:color w:val="164432"/>
      <w:sz w:val="40"/>
      <w:szCs w:val="40"/>
    </w:rPr>
  </w:style>
  <w:style w:type="character" w:customStyle="1" w:styleId="Heading2Char">
    <w:name w:val="Heading 2 Char"/>
    <w:basedOn w:val="DefaultParagraphFont"/>
    <w:link w:val="Heading2"/>
    <w:uiPriority w:val="9"/>
    <w:rsid w:val="00456CD0"/>
    <w:rPr>
      <w:rFonts w:ascii="Source Sans Pro" w:eastAsiaTheme="majorEastAsia" w:hAnsi="Source Sans Pro" w:cstheme="majorBidi"/>
      <w:color w:val="164432"/>
      <w:sz w:val="32"/>
      <w:szCs w:val="32"/>
    </w:rPr>
  </w:style>
  <w:style w:type="character" w:customStyle="1" w:styleId="Heading3Char">
    <w:name w:val="Heading 3 Char"/>
    <w:basedOn w:val="DefaultParagraphFont"/>
    <w:link w:val="Heading3"/>
    <w:uiPriority w:val="9"/>
    <w:rsid w:val="0076240E"/>
    <w:rPr>
      <w:rFonts w:ascii="Source Sans Pro" w:eastAsiaTheme="majorEastAsia" w:hAnsi="Source Sans Pro" w:cstheme="majorBidi"/>
      <w:color w:val="164432"/>
      <w:sz w:val="28"/>
      <w:szCs w:val="28"/>
    </w:rPr>
  </w:style>
  <w:style w:type="character" w:customStyle="1" w:styleId="Heading4Char">
    <w:name w:val="Heading 4 Char"/>
    <w:basedOn w:val="DefaultParagraphFont"/>
    <w:link w:val="Heading4"/>
    <w:uiPriority w:val="9"/>
    <w:rsid w:val="0001198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1198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1198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1198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1198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1198C"/>
    <w:rPr>
      <w:rFonts w:eastAsiaTheme="majorEastAsia" w:cstheme="majorBidi"/>
      <w:color w:val="272727" w:themeColor="text1" w:themeTint="D8"/>
    </w:rPr>
  </w:style>
  <w:style w:type="paragraph" w:styleId="Title">
    <w:name w:val="Title"/>
    <w:basedOn w:val="Normal"/>
    <w:next w:val="Normal"/>
    <w:link w:val="TitleChar"/>
    <w:uiPriority w:val="10"/>
    <w:qFormat/>
    <w:rsid w:val="00985525"/>
    <w:pPr>
      <w:spacing w:after="80" w:line="240" w:lineRule="auto"/>
      <w:contextualSpacing/>
    </w:pPr>
    <w:rPr>
      <w:rFonts w:ascii="Source Sans Pro" w:eastAsiaTheme="majorEastAsia" w:hAnsi="Source Sans Pro" w:cstheme="majorBidi"/>
      <w:color w:val="164432"/>
      <w:spacing w:val="-10"/>
      <w:kern w:val="28"/>
      <w:sz w:val="56"/>
      <w:szCs w:val="56"/>
    </w:rPr>
  </w:style>
  <w:style w:type="character" w:customStyle="1" w:styleId="TitleChar">
    <w:name w:val="Title Char"/>
    <w:basedOn w:val="DefaultParagraphFont"/>
    <w:link w:val="Title"/>
    <w:uiPriority w:val="10"/>
    <w:rsid w:val="00985525"/>
    <w:rPr>
      <w:rFonts w:ascii="Source Sans Pro" w:eastAsiaTheme="majorEastAsia" w:hAnsi="Source Sans Pro" w:cstheme="majorBidi"/>
      <w:color w:val="164432"/>
      <w:spacing w:val="-10"/>
      <w:kern w:val="28"/>
      <w:sz w:val="56"/>
      <w:szCs w:val="56"/>
    </w:rPr>
  </w:style>
  <w:style w:type="paragraph" w:styleId="Subtitle">
    <w:name w:val="Subtitle"/>
    <w:basedOn w:val="Normal"/>
    <w:next w:val="Normal"/>
    <w:link w:val="SubtitleChar"/>
    <w:uiPriority w:val="11"/>
    <w:qFormat/>
    <w:rsid w:val="0001198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1198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2283C"/>
    <w:pPr>
      <w:spacing w:before="160"/>
      <w:ind w:left="720" w:right="720"/>
      <w:jc w:val="center"/>
    </w:pPr>
    <w:rPr>
      <w:i/>
      <w:iCs/>
      <w:color w:val="404040" w:themeColor="text1" w:themeTint="BF"/>
      <w:sz w:val="32"/>
      <w:szCs w:val="32"/>
    </w:rPr>
  </w:style>
  <w:style w:type="character" w:customStyle="1" w:styleId="QuoteChar">
    <w:name w:val="Quote Char"/>
    <w:basedOn w:val="DefaultParagraphFont"/>
    <w:link w:val="Quote"/>
    <w:uiPriority w:val="29"/>
    <w:rsid w:val="0062283C"/>
    <w:rPr>
      <w:i/>
      <w:iCs/>
      <w:color w:val="404040" w:themeColor="text1" w:themeTint="BF"/>
      <w:sz w:val="32"/>
      <w:szCs w:val="32"/>
    </w:rPr>
  </w:style>
  <w:style w:type="paragraph" w:styleId="ListParagraph">
    <w:name w:val="List Paragraph"/>
    <w:basedOn w:val="Normal"/>
    <w:uiPriority w:val="34"/>
    <w:qFormat/>
    <w:rsid w:val="0001198C"/>
    <w:pPr>
      <w:ind w:left="720"/>
      <w:contextualSpacing/>
    </w:pPr>
  </w:style>
  <w:style w:type="character" w:styleId="IntenseEmphasis">
    <w:name w:val="Intense Emphasis"/>
    <w:basedOn w:val="DefaultParagraphFont"/>
    <w:uiPriority w:val="21"/>
    <w:qFormat/>
    <w:rsid w:val="0001198C"/>
    <w:rPr>
      <w:i/>
      <w:iCs/>
      <w:color w:val="0F4761" w:themeColor="accent1" w:themeShade="BF"/>
    </w:rPr>
  </w:style>
  <w:style w:type="paragraph" w:styleId="IntenseQuote">
    <w:name w:val="Intense Quote"/>
    <w:basedOn w:val="Normal"/>
    <w:next w:val="Normal"/>
    <w:link w:val="IntenseQuoteChar"/>
    <w:uiPriority w:val="30"/>
    <w:qFormat/>
    <w:rsid w:val="00166494"/>
    <w:pPr>
      <w:pBdr>
        <w:top w:val="single" w:sz="4" w:space="10" w:color="0F4761" w:themeColor="accent1" w:themeShade="BF"/>
        <w:bottom w:val="single" w:sz="4" w:space="10" w:color="0F4761" w:themeColor="accent1" w:themeShade="BF"/>
      </w:pBdr>
      <w:spacing w:before="360" w:after="360"/>
      <w:ind w:left="864" w:right="864"/>
      <w:jc w:val="center"/>
    </w:pPr>
    <w:rPr>
      <w:b/>
      <w:bCs/>
      <w:i/>
      <w:iCs/>
      <w:color w:val="164432"/>
      <w:sz w:val="24"/>
    </w:rPr>
  </w:style>
  <w:style w:type="character" w:customStyle="1" w:styleId="IntenseQuoteChar">
    <w:name w:val="Intense Quote Char"/>
    <w:basedOn w:val="DefaultParagraphFont"/>
    <w:link w:val="IntenseQuote"/>
    <w:uiPriority w:val="30"/>
    <w:rsid w:val="00166494"/>
    <w:rPr>
      <w:rFonts w:ascii="Palatino Linotype" w:hAnsi="Palatino Linotype"/>
      <w:b/>
      <w:bCs/>
      <w:i/>
      <w:iCs/>
      <w:color w:val="164432"/>
    </w:rPr>
  </w:style>
  <w:style w:type="character" w:styleId="IntenseReference">
    <w:name w:val="Intense Reference"/>
    <w:basedOn w:val="DefaultParagraphFont"/>
    <w:uiPriority w:val="32"/>
    <w:qFormat/>
    <w:rsid w:val="0001198C"/>
    <w:rPr>
      <w:b/>
      <w:bCs/>
      <w:smallCaps/>
      <w:color w:val="0F4761" w:themeColor="accent1" w:themeShade="BF"/>
      <w:spacing w:val="5"/>
    </w:rPr>
  </w:style>
  <w:style w:type="paragraph" w:styleId="TOCHeading">
    <w:name w:val="TOC Heading"/>
    <w:basedOn w:val="Heading1"/>
    <w:next w:val="Normal"/>
    <w:uiPriority w:val="39"/>
    <w:unhideWhenUsed/>
    <w:qFormat/>
    <w:rsid w:val="0001198C"/>
    <w:pPr>
      <w:spacing w:before="240" w:after="0" w:line="259" w:lineRule="auto"/>
      <w:outlineLvl w:val="9"/>
    </w:pPr>
    <w:rPr>
      <w:kern w:val="0"/>
      <w:sz w:val="32"/>
      <w:szCs w:val="32"/>
      <w14:ligatures w14:val="none"/>
    </w:rPr>
  </w:style>
  <w:style w:type="paragraph" w:styleId="TOC1">
    <w:name w:val="toc 1"/>
    <w:basedOn w:val="Normal"/>
    <w:next w:val="Normal"/>
    <w:autoRedefine/>
    <w:uiPriority w:val="39"/>
    <w:unhideWhenUsed/>
    <w:rsid w:val="0001198C"/>
    <w:pPr>
      <w:spacing w:after="100"/>
    </w:pPr>
  </w:style>
  <w:style w:type="paragraph" w:styleId="TOC2">
    <w:name w:val="toc 2"/>
    <w:basedOn w:val="Normal"/>
    <w:next w:val="Normal"/>
    <w:autoRedefine/>
    <w:uiPriority w:val="39"/>
    <w:unhideWhenUsed/>
    <w:rsid w:val="0001198C"/>
    <w:pPr>
      <w:spacing w:after="100"/>
      <w:ind w:left="240"/>
    </w:pPr>
  </w:style>
  <w:style w:type="character" w:styleId="Hyperlink">
    <w:name w:val="Hyperlink"/>
    <w:basedOn w:val="DefaultParagraphFont"/>
    <w:uiPriority w:val="99"/>
    <w:unhideWhenUsed/>
    <w:rsid w:val="0001198C"/>
    <w:rPr>
      <w:color w:val="467886" w:themeColor="hyperlink"/>
      <w:u w:val="single"/>
    </w:rPr>
  </w:style>
  <w:style w:type="paragraph" w:styleId="TOC3">
    <w:name w:val="toc 3"/>
    <w:basedOn w:val="Normal"/>
    <w:next w:val="Normal"/>
    <w:autoRedefine/>
    <w:uiPriority w:val="39"/>
    <w:unhideWhenUsed/>
    <w:rsid w:val="001332E7"/>
    <w:pPr>
      <w:spacing w:after="100"/>
      <w:ind w:left="480"/>
    </w:pPr>
  </w:style>
  <w:style w:type="table" w:styleId="TableGrid">
    <w:name w:val="Table Grid"/>
    <w:basedOn w:val="TableNormal"/>
    <w:uiPriority w:val="59"/>
    <w:rsid w:val="001E2EDE"/>
    <w:pPr>
      <w:spacing w:after="0" w:line="240" w:lineRule="auto"/>
    </w:pPr>
    <w:rPr>
      <w:rFonts w:eastAsiaTheme="minorEastAsia"/>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Header">
    <w:name w:val="Box Header"/>
    <w:basedOn w:val="Normal"/>
    <w:qFormat/>
    <w:rsid w:val="001E2EDE"/>
    <w:pPr>
      <w:keepNext/>
      <w:pBdr>
        <w:top w:val="nil"/>
        <w:left w:val="nil"/>
        <w:bottom w:val="nil"/>
        <w:right w:val="nil"/>
        <w:between w:val="nil"/>
      </w:pBdr>
      <w:shd w:val="clear" w:color="auto" w:fill="DAE9F7" w:themeFill="text2" w:themeFillTint="1A"/>
      <w:spacing w:after="240" w:line="276" w:lineRule="auto"/>
      <w:ind w:left="605" w:right="605"/>
    </w:pPr>
    <w:rPr>
      <w:rFonts w:ascii="Google Sans Text" w:eastAsia="Google Sans Text" w:hAnsi="Google Sans Text" w:cs="Google Sans Text"/>
      <w:b/>
      <w:color w:val="1B1C1D"/>
    </w:rPr>
  </w:style>
  <w:style w:type="paragraph" w:styleId="NormalWeb">
    <w:name w:val="Normal (Web)"/>
    <w:basedOn w:val="Normal"/>
    <w:uiPriority w:val="99"/>
    <w:semiHidden/>
    <w:unhideWhenUsed/>
    <w:rsid w:val="005B5661"/>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5B5661"/>
    <w:rPr>
      <w:b/>
      <w:bCs/>
    </w:rPr>
  </w:style>
  <w:style w:type="character" w:customStyle="1" w:styleId="button-container">
    <w:name w:val="button-container"/>
    <w:basedOn w:val="DefaultParagraphFont"/>
    <w:rsid w:val="005B5661"/>
  </w:style>
  <w:style w:type="paragraph" w:styleId="Header">
    <w:name w:val="header"/>
    <w:basedOn w:val="Normal"/>
    <w:link w:val="HeaderChar"/>
    <w:uiPriority w:val="99"/>
    <w:unhideWhenUsed/>
    <w:rsid w:val="00CB0463"/>
    <w:pPr>
      <w:tabs>
        <w:tab w:val="center" w:pos="4680"/>
        <w:tab w:val="right" w:pos="9360"/>
      </w:tabs>
      <w:spacing w:after="0" w:line="240" w:lineRule="auto"/>
    </w:pPr>
    <w:rPr>
      <w:color w:val="164432"/>
    </w:rPr>
  </w:style>
  <w:style w:type="character" w:customStyle="1" w:styleId="HeaderChar">
    <w:name w:val="Header Char"/>
    <w:basedOn w:val="DefaultParagraphFont"/>
    <w:link w:val="Header"/>
    <w:uiPriority w:val="99"/>
    <w:rsid w:val="00CB0463"/>
    <w:rPr>
      <w:rFonts w:ascii="Palatino Linotype" w:hAnsi="Palatino Linotype"/>
      <w:color w:val="164432"/>
      <w:sz w:val="22"/>
    </w:rPr>
  </w:style>
  <w:style w:type="paragraph" w:styleId="Footer">
    <w:name w:val="footer"/>
    <w:basedOn w:val="Normal"/>
    <w:link w:val="FooterChar"/>
    <w:uiPriority w:val="99"/>
    <w:unhideWhenUsed/>
    <w:rsid w:val="008F21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215F"/>
  </w:style>
  <w:style w:type="paragraph" w:styleId="Index1">
    <w:name w:val="index 1"/>
    <w:basedOn w:val="Normal"/>
    <w:next w:val="Normal"/>
    <w:autoRedefine/>
    <w:uiPriority w:val="99"/>
    <w:semiHidden/>
    <w:unhideWhenUsed/>
    <w:rsid w:val="004B37AF"/>
    <w:pPr>
      <w:spacing w:after="0" w:line="240" w:lineRule="auto"/>
      <w:ind w:left="240" w:hanging="240"/>
    </w:pPr>
  </w:style>
  <w:style w:type="paragraph" w:customStyle="1" w:styleId="GatewaySign">
    <w:name w:val="GatewaySign"/>
    <w:basedOn w:val="Heading2"/>
    <w:rsid w:val="00AF7650"/>
    <w:pPr>
      <w:spacing w:before="200" w:after="0" w:line="276" w:lineRule="auto"/>
    </w:pPr>
    <w:rPr>
      <w:rFonts w:ascii="Lato" w:hAnsi="Lato"/>
      <w:b/>
      <w:bCs/>
      <w:color w:val="FFFFFF"/>
      <w:kern w:val="0"/>
      <w:szCs w:val="26"/>
      <w14:ligatures w14:val="none"/>
    </w:rPr>
  </w:style>
  <w:style w:type="paragraph" w:customStyle="1" w:styleId="BodyText">
    <w:name w:val="BodyText"/>
    <w:basedOn w:val="Normal"/>
    <w:rsid w:val="00AF7650"/>
    <w:pPr>
      <w:spacing w:after="200" w:line="276" w:lineRule="auto"/>
    </w:pPr>
    <w:rPr>
      <w:rFonts w:eastAsiaTheme="minorEastAsia"/>
      <w:kern w:val="0"/>
      <w:szCs w:val="22"/>
      <w14:ligatures w14:val="none"/>
    </w:rPr>
  </w:style>
  <w:style w:type="paragraph" w:customStyle="1" w:styleId="PullQuote">
    <w:name w:val="PullQuote"/>
    <w:basedOn w:val="Normal"/>
    <w:rsid w:val="00AF7650"/>
    <w:pPr>
      <w:spacing w:after="200" w:line="276" w:lineRule="auto"/>
    </w:pPr>
    <w:rPr>
      <w:rFonts w:ascii="Lato" w:eastAsiaTheme="minorEastAsia" w:hAnsi="Lato"/>
      <w:i/>
      <w:color w:val="B38B00"/>
      <w:kern w:val="0"/>
      <w:szCs w:val="22"/>
      <w14:ligatures w14:val="none"/>
    </w:rPr>
  </w:style>
  <w:style w:type="character" w:styleId="Emphasis">
    <w:name w:val="Emphasis"/>
    <w:basedOn w:val="DefaultParagraphFont"/>
    <w:uiPriority w:val="20"/>
    <w:qFormat/>
    <w:rsid w:val="00AF5BE5"/>
    <w:rPr>
      <w:i/>
      <w:iCs/>
    </w:rPr>
  </w:style>
  <w:style w:type="character" w:styleId="SubtleReference">
    <w:name w:val="Subtle Reference"/>
    <w:basedOn w:val="DefaultParagraphFont"/>
    <w:uiPriority w:val="31"/>
    <w:qFormat/>
    <w:rsid w:val="00AF5BE5"/>
    <w:rPr>
      <w:smallCaps/>
      <w:color w:val="5A5A5A" w:themeColor="text1" w:themeTint="A5"/>
    </w:rPr>
  </w:style>
  <w:style w:type="paragraph" w:customStyle="1" w:styleId="BoxedHeaderSimple">
    <w:name w:val="Boxed Header Simple"/>
    <w:basedOn w:val="Normal"/>
    <w:qFormat/>
    <w:rsid w:val="00456CD0"/>
    <w:pPr>
      <w:keepNext/>
      <w:shd w:val="clear" w:color="auto" w:fill="164432"/>
      <w:spacing w:before="240" w:after="120" w:line="276" w:lineRule="auto"/>
    </w:pPr>
    <w:rPr>
      <w:rFonts w:ascii="Google Sans Text" w:eastAsia="Google Sans Text" w:hAnsi="Google Sans Text" w:cs="Google Sans Text"/>
      <w:color w:val="FFFFFF" w:themeColor="background1"/>
    </w:rPr>
  </w:style>
  <w:style w:type="paragraph" w:customStyle="1" w:styleId="BoxBody">
    <w:name w:val="Box Body"/>
    <w:basedOn w:val="Normal"/>
    <w:qFormat/>
    <w:rsid w:val="00BA5999"/>
    <w:pPr>
      <w:shd w:val="clear" w:color="auto" w:fill="F2F2F2" w:themeFill="background1" w:themeFillShade="F2"/>
    </w:pPr>
    <w:rPr>
      <w:rFonts w:ascii="Google Sans Text" w:eastAsia="Google Sans Text" w:hAnsi="Google Sans Text" w:cs="Google Sans Text"/>
      <w:color w:val="1B1C1D"/>
    </w:rPr>
  </w:style>
  <w:style w:type="paragraph" w:customStyle="1" w:styleId="BoxBullet">
    <w:name w:val="Box Bullet"/>
    <w:basedOn w:val="Normal"/>
    <w:qFormat/>
    <w:rsid w:val="00C958C9"/>
    <w:pPr>
      <w:numPr>
        <w:numId w:val="1"/>
      </w:numPr>
      <w:shd w:val="clear" w:color="auto" w:fill="F2F2F2" w:themeFill="background1" w:themeFillShade="F2"/>
    </w:pPr>
    <w:rPr>
      <w:sz w:val="20"/>
    </w:rPr>
  </w:style>
  <w:style w:type="character" w:styleId="UnresolvedMention">
    <w:name w:val="Unresolved Mention"/>
    <w:basedOn w:val="DefaultParagraphFont"/>
    <w:uiPriority w:val="99"/>
    <w:semiHidden/>
    <w:unhideWhenUsed/>
    <w:rsid w:val="008620E7"/>
    <w:rPr>
      <w:color w:val="605E5C"/>
      <w:shd w:val="clear" w:color="auto" w:fill="E1DFDD"/>
    </w:rPr>
  </w:style>
  <w:style w:type="character" w:styleId="SubtleEmphasis">
    <w:name w:val="Subtle Emphasis"/>
    <w:basedOn w:val="DefaultParagraphFont"/>
    <w:uiPriority w:val="19"/>
    <w:qFormat/>
    <w:rsid w:val="00DA7290"/>
    <w:rPr>
      <w:i/>
      <w:iCs/>
      <w:color w:val="404040" w:themeColor="text1" w:themeTint="BF"/>
    </w:rPr>
  </w:style>
  <w:style w:type="paragraph" w:customStyle="1" w:styleId="FootnotesChapter">
    <w:name w:val="Footnotes Chapter"/>
    <w:basedOn w:val="Heading2"/>
    <w:qFormat/>
    <w:rsid w:val="00D710A3"/>
  </w:style>
  <w:style w:type="paragraph" w:styleId="Caption">
    <w:name w:val="caption"/>
    <w:basedOn w:val="Normal"/>
    <w:next w:val="Normal"/>
    <w:uiPriority w:val="35"/>
    <w:unhideWhenUsed/>
    <w:qFormat/>
    <w:rsid w:val="007C1DFC"/>
    <w:pPr>
      <w:spacing w:after="200" w:line="240" w:lineRule="auto"/>
    </w:pPr>
    <w:rPr>
      <w:i/>
      <w:iCs/>
      <w:color w:val="164432"/>
      <w:szCs w:val="20"/>
    </w:rPr>
  </w:style>
  <w:style w:type="paragraph" w:customStyle="1" w:styleId="Prompt">
    <w:name w:val="Prompt"/>
    <w:basedOn w:val="Normal"/>
    <w:qFormat/>
    <w:rsid w:val="00BF7295"/>
    <w:pPr>
      <w:ind w:left="720" w:right="720"/>
    </w:pPr>
    <w:rPr>
      <w:i/>
      <w:iCs/>
    </w:rPr>
  </w:style>
  <w:style w:type="character" w:styleId="FollowedHyperlink">
    <w:name w:val="FollowedHyperlink"/>
    <w:basedOn w:val="DefaultParagraphFont"/>
    <w:uiPriority w:val="99"/>
    <w:semiHidden/>
    <w:unhideWhenUsed/>
    <w:rsid w:val="00A47D9D"/>
    <w:rPr>
      <w:color w:val="96607D" w:themeColor="followedHyperlink"/>
      <w:u w:val="single"/>
    </w:rPr>
  </w:style>
  <w:style w:type="table" w:styleId="GridTable1Light-Accent3">
    <w:name w:val="Grid Table 1 Light Accent 3"/>
    <w:basedOn w:val="TableNormal"/>
    <w:uiPriority w:val="46"/>
    <w:rsid w:val="00007FA9"/>
    <w:pPr>
      <w:spacing w:after="0" w:line="240" w:lineRule="auto"/>
    </w:pPr>
    <w:tblPr>
      <w:tblStyleRowBandSize w:val="1"/>
      <w:tblStyleColBandSize w:val="1"/>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 w:type="paragraph" w:customStyle="1" w:styleId="Bullet">
    <w:name w:val="Bullet"/>
    <w:basedOn w:val="Normal"/>
    <w:qFormat/>
    <w:rsid w:val="0015752D"/>
    <w:pPr>
      <w:numPr>
        <w:numId w:val="2"/>
      </w:numPr>
      <w:tabs>
        <w:tab w:val="clear" w:pos="720"/>
      </w:tabs>
      <w:spacing w:after="120"/>
      <w:ind w:left="374" w:hanging="187"/>
      <w:contextualSpacing/>
    </w:pPr>
    <w:rPr>
      <w:b/>
      <w:bCs/>
    </w:rPr>
  </w:style>
  <w:style w:type="character" w:customStyle="1" w:styleId="selected">
    <w:name w:val="selected"/>
    <w:basedOn w:val="DefaultParagraphFont"/>
    <w:rsid w:val="00B21985"/>
  </w:style>
  <w:style w:type="table" w:customStyle="1" w:styleId="TableNormal0">
    <w:name w:val="TableNormal"/>
    <w:rsid w:val="00BB70DB"/>
    <w:pPr>
      <w:spacing w:line="259" w:lineRule="auto"/>
    </w:pPr>
    <w:rPr>
      <w:rFonts w:eastAsiaTheme="minorEastAsia"/>
      <w:kern w:val="0"/>
      <w:sz w:val="22"/>
      <w:szCs w:val="22"/>
      <w:lang w:val="en"/>
      <w14:ligatures w14:val="none"/>
    </w:rPr>
    <w:tblPr>
      <w:tblCellMar>
        <w:top w:w="0" w:type="dxa"/>
        <w:left w:w="0" w:type="dxa"/>
        <w:bottom w:w="0" w:type="dxa"/>
        <w:right w:w="0" w:type="dxa"/>
      </w:tblCellMar>
    </w:tblPr>
  </w:style>
  <w:style w:type="paragraph" w:styleId="EndnoteText">
    <w:name w:val="endnote text"/>
    <w:basedOn w:val="Normal"/>
    <w:link w:val="EndnoteTextChar"/>
    <w:uiPriority w:val="99"/>
    <w:semiHidden/>
    <w:unhideWhenUsed/>
    <w:rsid w:val="00BB70DB"/>
    <w:pPr>
      <w:spacing w:after="0" w:line="240" w:lineRule="auto"/>
    </w:pPr>
    <w:rPr>
      <w:rFonts w:asciiTheme="minorHAnsi" w:eastAsiaTheme="minorEastAsia" w:hAnsiTheme="minorHAnsi"/>
      <w:kern w:val="0"/>
      <w:sz w:val="20"/>
      <w:szCs w:val="20"/>
      <w:lang w:val="en"/>
      <w14:ligatures w14:val="none"/>
    </w:rPr>
  </w:style>
  <w:style w:type="character" w:customStyle="1" w:styleId="EndnoteTextChar">
    <w:name w:val="Endnote Text Char"/>
    <w:basedOn w:val="DefaultParagraphFont"/>
    <w:link w:val="EndnoteText"/>
    <w:uiPriority w:val="99"/>
    <w:semiHidden/>
    <w:rsid w:val="00BB70DB"/>
    <w:rPr>
      <w:rFonts w:eastAsiaTheme="minorEastAsia"/>
      <w:kern w:val="0"/>
      <w:sz w:val="20"/>
      <w:szCs w:val="20"/>
      <w:lang w:val="en"/>
      <w14:ligatures w14:val="none"/>
    </w:rPr>
  </w:style>
  <w:style w:type="character" w:styleId="EndnoteReference">
    <w:name w:val="endnote reference"/>
    <w:basedOn w:val="DefaultParagraphFont"/>
    <w:uiPriority w:val="99"/>
    <w:semiHidden/>
    <w:unhideWhenUsed/>
    <w:rsid w:val="00BB70DB"/>
    <w:rPr>
      <w:vertAlign w:val="superscript"/>
    </w:rPr>
  </w:style>
  <w:style w:type="table" w:styleId="GridTable1Light">
    <w:name w:val="Grid Table 1 Light"/>
    <w:basedOn w:val="TableNormal"/>
    <w:uiPriority w:val="46"/>
    <w:rsid w:val="00BB70DB"/>
    <w:pPr>
      <w:spacing w:after="0" w:line="240" w:lineRule="auto"/>
    </w:pPr>
    <w:rPr>
      <w:rFonts w:eastAsiaTheme="minorEastAsia"/>
      <w:kern w:val="0"/>
      <w:sz w:val="22"/>
      <w:szCs w:val="22"/>
      <w:lang w:val="en"/>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Spacing">
    <w:name w:val="No Spacing"/>
    <w:uiPriority w:val="1"/>
    <w:qFormat/>
    <w:rsid w:val="00BB70DB"/>
    <w:pPr>
      <w:spacing w:after="0" w:line="240" w:lineRule="auto"/>
    </w:pPr>
    <w:rPr>
      <w:rFonts w:eastAsiaTheme="minorEastAsia"/>
      <w:kern w:val="0"/>
      <w:sz w:val="22"/>
      <w:szCs w:val="22"/>
      <w:lang w:val="en"/>
      <w14:ligatures w14:val="none"/>
    </w:rPr>
  </w:style>
  <w:style w:type="character" w:styleId="BookTitle">
    <w:name w:val="Book Title"/>
    <w:basedOn w:val="DefaultParagraphFont"/>
    <w:uiPriority w:val="33"/>
    <w:qFormat/>
    <w:rsid w:val="00BB70DB"/>
    <w:rPr>
      <w:b/>
      <w:bCs/>
      <w:smallCaps/>
      <w:spacing w:val="7"/>
    </w:rPr>
  </w:style>
  <w:style w:type="paragraph" w:customStyle="1" w:styleId="Footnote">
    <w:name w:val="Footnote"/>
    <w:basedOn w:val="Normal"/>
    <w:qFormat/>
    <w:rsid w:val="00F679EF"/>
    <w:pPr>
      <w:spacing w:after="120" w:line="240" w:lineRule="auto"/>
      <w:ind w:left="86" w:hanging="86"/>
    </w:pPr>
    <w:rPr>
      <w:sz w:val="20"/>
      <w:szCs w:val="22"/>
    </w:rPr>
  </w:style>
  <w:style w:type="table" w:styleId="GridTable1Light-Accent4">
    <w:name w:val="Grid Table 1 Light Accent 4"/>
    <w:basedOn w:val="TableNormal"/>
    <w:uiPriority w:val="46"/>
    <w:rsid w:val="00E005C5"/>
    <w:pPr>
      <w:spacing w:after="0" w:line="240" w:lineRule="auto"/>
    </w:pPr>
    <w:tblPr>
      <w:tblStyleRowBandSize w:val="1"/>
      <w:tblStyleColBandSize w:val="1"/>
      <w:tblBorders>
        <w:top w:val="single" w:sz="4" w:space="0" w:color="95DCF7" w:themeColor="accent4" w:themeTint="66"/>
        <w:left w:val="single" w:sz="4" w:space="0" w:color="95DCF7" w:themeColor="accent4" w:themeTint="66"/>
        <w:bottom w:val="single" w:sz="4" w:space="0" w:color="95DCF7" w:themeColor="accent4" w:themeTint="66"/>
        <w:right w:val="single" w:sz="4" w:space="0" w:color="95DCF7" w:themeColor="accent4" w:themeTint="66"/>
        <w:insideH w:val="single" w:sz="4" w:space="0" w:color="95DCF7" w:themeColor="accent4" w:themeTint="66"/>
        <w:insideV w:val="single" w:sz="4" w:space="0" w:color="95DCF7" w:themeColor="accent4" w:themeTint="66"/>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2" w:space="0" w:color="60CAF3" w:themeColor="accent4" w:themeTint="99"/>
        </w:tcBorders>
      </w:tcPr>
    </w:tblStylePr>
    <w:tblStylePr w:type="firstCol">
      <w:rPr>
        <w:b/>
        <w:bCs/>
      </w:rPr>
    </w:tblStylePr>
    <w:tblStylePr w:type="lastCol">
      <w:rPr>
        <w:b/>
        <w:bCs/>
      </w:rPr>
    </w:tblStylePr>
  </w:style>
  <w:style w:type="paragraph" w:customStyle="1" w:styleId="BulletNumbeered">
    <w:name w:val="Bullet Numbeered"/>
    <w:basedOn w:val="Normal"/>
    <w:qFormat/>
    <w:rsid w:val="008041A4"/>
    <w:pPr>
      <w:numPr>
        <w:numId w:val="3"/>
      </w:numPr>
      <w:tabs>
        <w:tab w:val="clear" w:pos="720"/>
      </w:tabs>
      <w:spacing w:line="240" w:lineRule="auto"/>
      <w:ind w:left="360" w:hanging="270"/>
      <w:textAlignment w:val="baseline"/>
    </w:pPr>
    <w:rPr>
      <w:rFonts w:eastAsia="Times New Roman" w:cs="Arial"/>
      <w:color w:val="000000"/>
    </w:rPr>
  </w:style>
  <w:style w:type="paragraph" w:customStyle="1" w:styleId="SourceCode">
    <w:name w:val="Source Code"/>
    <w:basedOn w:val="Normal"/>
    <w:pPr>
      <w:wordWrap w:val="0"/>
    </w:pPr>
  </w:style>
  <w:style w:type="character" w:customStyle="1" w:styleId="KeywordTok">
    <w:name w:val="KeywordTok"/>
    <w:rPr>
      <w:b/>
      <w:color w:val="007020"/>
    </w:rPr>
  </w:style>
  <w:style w:type="character" w:customStyle="1" w:styleId="DataTypeTok">
    <w:name w:val="DataTypeTok"/>
    <w:rPr>
      <w:color w:val="902000"/>
    </w:rPr>
  </w:style>
  <w:style w:type="character" w:customStyle="1" w:styleId="DecValTok">
    <w:name w:val="DecValTok"/>
    <w:rPr>
      <w:color w:val="40A070"/>
    </w:rPr>
  </w:style>
  <w:style w:type="character" w:customStyle="1" w:styleId="BaseNTok">
    <w:name w:val="BaseNTok"/>
    <w:rPr>
      <w:color w:val="40A070"/>
    </w:rPr>
  </w:style>
  <w:style w:type="character" w:customStyle="1" w:styleId="FloatTok">
    <w:name w:val="FloatTok"/>
    <w:rPr>
      <w:color w:val="40A070"/>
    </w:rPr>
  </w:style>
  <w:style w:type="character" w:customStyle="1" w:styleId="ConstantTok">
    <w:name w:val="ConstantTok"/>
    <w:rPr>
      <w:color w:val="880000"/>
    </w:rPr>
  </w:style>
  <w:style w:type="character" w:customStyle="1" w:styleId="CharTok">
    <w:name w:val="CharTok"/>
    <w:rPr>
      <w:color w:val="4070A0"/>
    </w:rPr>
  </w:style>
  <w:style w:type="character" w:customStyle="1" w:styleId="SpecialCharTok">
    <w:name w:val="SpecialCharTok"/>
    <w:rPr>
      <w:color w:val="4070A0"/>
    </w:rPr>
  </w:style>
  <w:style w:type="character" w:customStyle="1" w:styleId="StringTok">
    <w:name w:val="StringTok"/>
    <w:rPr>
      <w:color w:val="4070A0"/>
    </w:rPr>
  </w:style>
  <w:style w:type="character" w:customStyle="1" w:styleId="VerbatimStringTok">
    <w:name w:val="VerbatimStringTok"/>
    <w:rPr>
      <w:color w:val="4070A0"/>
    </w:rPr>
  </w:style>
  <w:style w:type="character" w:customStyle="1" w:styleId="SpecialStringTok">
    <w:name w:val="SpecialStringTok"/>
    <w:rPr>
      <w:color w:val="BB6688"/>
    </w:rPr>
  </w:style>
  <w:style w:type="character" w:customStyle="1" w:styleId="ImportTok">
    <w:name w:val="ImportTok"/>
    <w:rPr>
      <w:b/>
      <w:color w:val="008000"/>
    </w:rPr>
  </w:style>
  <w:style w:type="character" w:customStyle="1" w:styleId="CommentTok">
    <w:name w:val="CommentTok"/>
    <w:rPr>
      <w:i/>
      <w:color w:val="60A0B0"/>
    </w:rPr>
  </w:style>
  <w:style w:type="character" w:customStyle="1" w:styleId="DocumentationTok">
    <w:name w:val="DocumentationTok"/>
    <w:rPr>
      <w:i/>
      <w:color w:val="BA2121"/>
    </w:rPr>
  </w:style>
  <w:style w:type="character" w:customStyle="1" w:styleId="AnnotationTok">
    <w:name w:val="AnnotationTok"/>
    <w:rPr>
      <w:b/>
      <w:i/>
      <w:color w:val="60A0B0"/>
    </w:rPr>
  </w:style>
  <w:style w:type="character" w:customStyle="1" w:styleId="CommentVarTok">
    <w:name w:val="CommentVarTok"/>
    <w:rPr>
      <w:b/>
      <w:i/>
      <w:color w:val="60A0B0"/>
    </w:rPr>
  </w:style>
  <w:style w:type="character" w:customStyle="1" w:styleId="OtherTok">
    <w:name w:val="OtherTok"/>
    <w:rPr>
      <w:color w:val="007020"/>
    </w:rPr>
  </w:style>
  <w:style w:type="character" w:customStyle="1" w:styleId="FunctionTok">
    <w:name w:val="FunctionTok"/>
    <w:rPr>
      <w:color w:val="06287E"/>
    </w:rPr>
  </w:style>
  <w:style w:type="character" w:customStyle="1" w:styleId="VariableTok">
    <w:name w:val="VariableTok"/>
    <w:rPr>
      <w:color w:val="19177C"/>
    </w:rPr>
  </w:style>
  <w:style w:type="character" w:customStyle="1" w:styleId="ControlFlowTok">
    <w:name w:val="ControlFlowTok"/>
    <w:rPr>
      <w:b/>
      <w:color w:val="007020"/>
    </w:rPr>
  </w:style>
  <w:style w:type="character" w:customStyle="1" w:styleId="OperatorTok">
    <w:name w:val="OperatorTok"/>
    <w:rPr>
      <w:color w:val="666666"/>
    </w:rPr>
  </w:style>
  <w:style w:type="character" w:customStyle="1" w:styleId="BuiltInTok">
    <w:name w:val="BuiltInTok"/>
    <w:rPr>
      <w:color w:val="008000"/>
    </w:rPr>
  </w:style>
  <w:style w:type="character" w:customStyle="1" w:styleId="ExtensionTok">
    <w:name w:val="ExtensionTok"/>
  </w:style>
  <w:style w:type="character" w:customStyle="1" w:styleId="PreprocessorTok">
    <w:name w:val="PreprocessorTok"/>
    <w:rPr>
      <w:color w:val="BC7A00"/>
    </w:rPr>
  </w:style>
  <w:style w:type="character" w:customStyle="1" w:styleId="AttributeTok">
    <w:name w:val="AttributeTok"/>
    <w:rPr>
      <w:color w:val="7D9029"/>
    </w:rPr>
  </w:style>
  <w:style w:type="character" w:customStyle="1" w:styleId="RegionMarkerTok">
    <w:name w:val="RegionMarkerTok"/>
  </w:style>
  <w:style w:type="character" w:customStyle="1" w:styleId="InformationTok">
    <w:name w:val="InformationTok"/>
    <w:rPr>
      <w:b/>
      <w:i/>
      <w:color w:val="60A0B0"/>
    </w:rPr>
  </w:style>
  <w:style w:type="character" w:customStyle="1" w:styleId="WarningTok">
    <w:name w:val="WarningTok"/>
    <w:rPr>
      <w:b/>
      <w:i/>
      <w:color w:val="60A0B0"/>
    </w:rPr>
  </w:style>
  <w:style w:type="character" w:customStyle="1" w:styleId="AlertTok">
    <w:name w:val="AlertTok"/>
    <w:rPr>
      <w:b/>
      <w:color w:val="FF0000"/>
    </w:rPr>
  </w:style>
  <w:style w:type="character" w:customStyle="1" w:styleId="ErrorTok">
    <w:name w:val="ErrorTok"/>
    <w:rPr>
      <w:b/>
      <w:color w:val="FF0000"/>
    </w:rPr>
  </w:style>
  <w:style w:type="character" w:customStyle="1" w:styleId="NormalTok">
    <w:name w:val="NormalTok"/>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60079">
      <w:bodyDiv w:val="1"/>
      <w:marLeft w:val="0"/>
      <w:marRight w:val="0"/>
      <w:marTop w:val="0"/>
      <w:marBottom w:val="0"/>
      <w:divBdr>
        <w:top w:val="none" w:sz="0" w:space="0" w:color="auto"/>
        <w:left w:val="none" w:sz="0" w:space="0" w:color="auto"/>
        <w:bottom w:val="none" w:sz="0" w:space="0" w:color="auto"/>
        <w:right w:val="none" w:sz="0" w:space="0" w:color="auto"/>
      </w:divBdr>
      <w:divsChild>
        <w:div w:id="6540728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18999">
      <w:bodyDiv w:val="1"/>
      <w:marLeft w:val="0"/>
      <w:marRight w:val="0"/>
      <w:marTop w:val="0"/>
      <w:marBottom w:val="0"/>
      <w:divBdr>
        <w:top w:val="none" w:sz="0" w:space="0" w:color="auto"/>
        <w:left w:val="none" w:sz="0" w:space="0" w:color="auto"/>
        <w:bottom w:val="none" w:sz="0" w:space="0" w:color="auto"/>
        <w:right w:val="none" w:sz="0" w:space="0" w:color="auto"/>
      </w:divBdr>
    </w:div>
    <w:div w:id="8533198">
      <w:bodyDiv w:val="1"/>
      <w:marLeft w:val="0"/>
      <w:marRight w:val="0"/>
      <w:marTop w:val="0"/>
      <w:marBottom w:val="0"/>
      <w:divBdr>
        <w:top w:val="none" w:sz="0" w:space="0" w:color="auto"/>
        <w:left w:val="none" w:sz="0" w:space="0" w:color="auto"/>
        <w:bottom w:val="none" w:sz="0" w:space="0" w:color="auto"/>
        <w:right w:val="none" w:sz="0" w:space="0" w:color="auto"/>
      </w:divBdr>
    </w:div>
    <w:div w:id="13848318">
      <w:bodyDiv w:val="1"/>
      <w:marLeft w:val="0"/>
      <w:marRight w:val="0"/>
      <w:marTop w:val="0"/>
      <w:marBottom w:val="0"/>
      <w:divBdr>
        <w:top w:val="none" w:sz="0" w:space="0" w:color="auto"/>
        <w:left w:val="none" w:sz="0" w:space="0" w:color="auto"/>
        <w:bottom w:val="none" w:sz="0" w:space="0" w:color="auto"/>
        <w:right w:val="none" w:sz="0" w:space="0" w:color="auto"/>
      </w:divBdr>
    </w:div>
    <w:div w:id="16003209">
      <w:bodyDiv w:val="1"/>
      <w:marLeft w:val="0"/>
      <w:marRight w:val="0"/>
      <w:marTop w:val="0"/>
      <w:marBottom w:val="0"/>
      <w:divBdr>
        <w:top w:val="none" w:sz="0" w:space="0" w:color="auto"/>
        <w:left w:val="none" w:sz="0" w:space="0" w:color="auto"/>
        <w:bottom w:val="none" w:sz="0" w:space="0" w:color="auto"/>
        <w:right w:val="none" w:sz="0" w:space="0" w:color="auto"/>
      </w:divBdr>
    </w:div>
    <w:div w:id="18705760">
      <w:bodyDiv w:val="1"/>
      <w:marLeft w:val="0"/>
      <w:marRight w:val="0"/>
      <w:marTop w:val="0"/>
      <w:marBottom w:val="0"/>
      <w:divBdr>
        <w:top w:val="none" w:sz="0" w:space="0" w:color="auto"/>
        <w:left w:val="none" w:sz="0" w:space="0" w:color="auto"/>
        <w:bottom w:val="none" w:sz="0" w:space="0" w:color="auto"/>
        <w:right w:val="none" w:sz="0" w:space="0" w:color="auto"/>
      </w:divBdr>
    </w:div>
    <w:div w:id="20592255">
      <w:bodyDiv w:val="1"/>
      <w:marLeft w:val="0"/>
      <w:marRight w:val="0"/>
      <w:marTop w:val="0"/>
      <w:marBottom w:val="0"/>
      <w:divBdr>
        <w:top w:val="none" w:sz="0" w:space="0" w:color="auto"/>
        <w:left w:val="none" w:sz="0" w:space="0" w:color="auto"/>
        <w:bottom w:val="none" w:sz="0" w:space="0" w:color="auto"/>
        <w:right w:val="none" w:sz="0" w:space="0" w:color="auto"/>
      </w:divBdr>
    </w:div>
    <w:div w:id="21369336">
      <w:bodyDiv w:val="1"/>
      <w:marLeft w:val="0"/>
      <w:marRight w:val="0"/>
      <w:marTop w:val="0"/>
      <w:marBottom w:val="0"/>
      <w:divBdr>
        <w:top w:val="none" w:sz="0" w:space="0" w:color="auto"/>
        <w:left w:val="none" w:sz="0" w:space="0" w:color="auto"/>
        <w:bottom w:val="none" w:sz="0" w:space="0" w:color="auto"/>
        <w:right w:val="none" w:sz="0" w:space="0" w:color="auto"/>
      </w:divBdr>
      <w:divsChild>
        <w:div w:id="6123994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872206">
      <w:bodyDiv w:val="1"/>
      <w:marLeft w:val="0"/>
      <w:marRight w:val="0"/>
      <w:marTop w:val="0"/>
      <w:marBottom w:val="0"/>
      <w:divBdr>
        <w:top w:val="none" w:sz="0" w:space="0" w:color="auto"/>
        <w:left w:val="none" w:sz="0" w:space="0" w:color="auto"/>
        <w:bottom w:val="none" w:sz="0" w:space="0" w:color="auto"/>
        <w:right w:val="none" w:sz="0" w:space="0" w:color="auto"/>
      </w:divBdr>
    </w:div>
    <w:div w:id="32119249">
      <w:bodyDiv w:val="1"/>
      <w:marLeft w:val="0"/>
      <w:marRight w:val="0"/>
      <w:marTop w:val="0"/>
      <w:marBottom w:val="0"/>
      <w:divBdr>
        <w:top w:val="none" w:sz="0" w:space="0" w:color="auto"/>
        <w:left w:val="none" w:sz="0" w:space="0" w:color="auto"/>
        <w:bottom w:val="none" w:sz="0" w:space="0" w:color="auto"/>
        <w:right w:val="none" w:sz="0" w:space="0" w:color="auto"/>
      </w:divBdr>
    </w:div>
    <w:div w:id="35158023">
      <w:bodyDiv w:val="1"/>
      <w:marLeft w:val="0"/>
      <w:marRight w:val="0"/>
      <w:marTop w:val="0"/>
      <w:marBottom w:val="0"/>
      <w:divBdr>
        <w:top w:val="none" w:sz="0" w:space="0" w:color="auto"/>
        <w:left w:val="none" w:sz="0" w:space="0" w:color="auto"/>
        <w:bottom w:val="none" w:sz="0" w:space="0" w:color="auto"/>
        <w:right w:val="none" w:sz="0" w:space="0" w:color="auto"/>
      </w:divBdr>
    </w:div>
    <w:div w:id="37819461">
      <w:bodyDiv w:val="1"/>
      <w:marLeft w:val="0"/>
      <w:marRight w:val="0"/>
      <w:marTop w:val="0"/>
      <w:marBottom w:val="0"/>
      <w:divBdr>
        <w:top w:val="none" w:sz="0" w:space="0" w:color="auto"/>
        <w:left w:val="none" w:sz="0" w:space="0" w:color="auto"/>
        <w:bottom w:val="none" w:sz="0" w:space="0" w:color="auto"/>
        <w:right w:val="none" w:sz="0" w:space="0" w:color="auto"/>
      </w:divBdr>
    </w:div>
    <w:div w:id="38239741">
      <w:bodyDiv w:val="1"/>
      <w:marLeft w:val="0"/>
      <w:marRight w:val="0"/>
      <w:marTop w:val="0"/>
      <w:marBottom w:val="0"/>
      <w:divBdr>
        <w:top w:val="none" w:sz="0" w:space="0" w:color="auto"/>
        <w:left w:val="none" w:sz="0" w:space="0" w:color="auto"/>
        <w:bottom w:val="none" w:sz="0" w:space="0" w:color="auto"/>
        <w:right w:val="none" w:sz="0" w:space="0" w:color="auto"/>
      </w:divBdr>
    </w:div>
    <w:div w:id="38432204">
      <w:bodyDiv w:val="1"/>
      <w:marLeft w:val="0"/>
      <w:marRight w:val="0"/>
      <w:marTop w:val="0"/>
      <w:marBottom w:val="0"/>
      <w:divBdr>
        <w:top w:val="none" w:sz="0" w:space="0" w:color="auto"/>
        <w:left w:val="none" w:sz="0" w:space="0" w:color="auto"/>
        <w:bottom w:val="none" w:sz="0" w:space="0" w:color="auto"/>
        <w:right w:val="none" w:sz="0" w:space="0" w:color="auto"/>
      </w:divBdr>
    </w:div>
    <w:div w:id="41557824">
      <w:bodyDiv w:val="1"/>
      <w:marLeft w:val="0"/>
      <w:marRight w:val="0"/>
      <w:marTop w:val="0"/>
      <w:marBottom w:val="0"/>
      <w:divBdr>
        <w:top w:val="none" w:sz="0" w:space="0" w:color="auto"/>
        <w:left w:val="none" w:sz="0" w:space="0" w:color="auto"/>
        <w:bottom w:val="none" w:sz="0" w:space="0" w:color="auto"/>
        <w:right w:val="none" w:sz="0" w:space="0" w:color="auto"/>
      </w:divBdr>
      <w:divsChild>
        <w:div w:id="12738962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142007">
      <w:bodyDiv w:val="1"/>
      <w:marLeft w:val="0"/>
      <w:marRight w:val="0"/>
      <w:marTop w:val="0"/>
      <w:marBottom w:val="0"/>
      <w:divBdr>
        <w:top w:val="none" w:sz="0" w:space="0" w:color="auto"/>
        <w:left w:val="none" w:sz="0" w:space="0" w:color="auto"/>
        <w:bottom w:val="none" w:sz="0" w:space="0" w:color="auto"/>
        <w:right w:val="none" w:sz="0" w:space="0" w:color="auto"/>
      </w:divBdr>
    </w:div>
    <w:div w:id="44648582">
      <w:bodyDiv w:val="1"/>
      <w:marLeft w:val="0"/>
      <w:marRight w:val="0"/>
      <w:marTop w:val="0"/>
      <w:marBottom w:val="0"/>
      <w:divBdr>
        <w:top w:val="none" w:sz="0" w:space="0" w:color="auto"/>
        <w:left w:val="none" w:sz="0" w:space="0" w:color="auto"/>
        <w:bottom w:val="none" w:sz="0" w:space="0" w:color="auto"/>
        <w:right w:val="none" w:sz="0" w:space="0" w:color="auto"/>
      </w:divBdr>
    </w:div>
    <w:div w:id="45613059">
      <w:bodyDiv w:val="1"/>
      <w:marLeft w:val="0"/>
      <w:marRight w:val="0"/>
      <w:marTop w:val="0"/>
      <w:marBottom w:val="0"/>
      <w:divBdr>
        <w:top w:val="none" w:sz="0" w:space="0" w:color="auto"/>
        <w:left w:val="none" w:sz="0" w:space="0" w:color="auto"/>
        <w:bottom w:val="none" w:sz="0" w:space="0" w:color="auto"/>
        <w:right w:val="none" w:sz="0" w:space="0" w:color="auto"/>
      </w:divBdr>
    </w:div>
    <w:div w:id="46495983">
      <w:bodyDiv w:val="1"/>
      <w:marLeft w:val="0"/>
      <w:marRight w:val="0"/>
      <w:marTop w:val="0"/>
      <w:marBottom w:val="0"/>
      <w:divBdr>
        <w:top w:val="none" w:sz="0" w:space="0" w:color="auto"/>
        <w:left w:val="none" w:sz="0" w:space="0" w:color="auto"/>
        <w:bottom w:val="none" w:sz="0" w:space="0" w:color="auto"/>
        <w:right w:val="none" w:sz="0" w:space="0" w:color="auto"/>
      </w:divBdr>
    </w:div>
    <w:div w:id="46802933">
      <w:bodyDiv w:val="1"/>
      <w:marLeft w:val="0"/>
      <w:marRight w:val="0"/>
      <w:marTop w:val="0"/>
      <w:marBottom w:val="0"/>
      <w:divBdr>
        <w:top w:val="none" w:sz="0" w:space="0" w:color="auto"/>
        <w:left w:val="none" w:sz="0" w:space="0" w:color="auto"/>
        <w:bottom w:val="none" w:sz="0" w:space="0" w:color="auto"/>
        <w:right w:val="none" w:sz="0" w:space="0" w:color="auto"/>
      </w:divBdr>
      <w:divsChild>
        <w:div w:id="190388501">
          <w:blockQuote w:val="1"/>
          <w:marLeft w:val="720"/>
          <w:marRight w:val="720"/>
          <w:marTop w:val="100"/>
          <w:marBottom w:val="100"/>
          <w:divBdr>
            <w:top w:val="none" w:sz="0" w:space="0" w:color="auto"/>
            <w:left w:val="none" w:sz="0" w:space="0" w:color="auto"/>
            <w:bottom w:val="none" w:sz="0" w:space="0" w:color="auto"/>
            <w:right w:val="none" w:sz="0" w:space="0" w:color="auto"/>
          </w:divBdr>
        </w:div>
        <w:div w:id="1049108026">
          <w:blockQuote w:val="1"/>
          <w:marLeft w:val="720"/>
          <w:marRight w:val="720"/>
          <w:marTop w:val="100"/>
          <w:marBottom w:val="100"/>
          <w:divBdr>
            <w:top w:val="none" w:sz="0" w:space="0" w:color="auto"/>
            <w:left w:val="none" w:sz="0" w:space="0" w:color="auto"/>
            <w:bottom w:val="none" w:sz="0" w:space="0" w:color="auto"/>
            <w:right w:val="none" w:sz="0" w:space="0" w:color="auto"/>
          </w:divBdr>
        </w:div>
        <w:div w:id="9228399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505713">
      <w:bodyDiv w:val="1"/>
      <w:marLeft w:val="0"/>
      <w:marRight w:val="0"/>
      <w:marTop w:val="0"/>
      <w:marBottom w:val="0"/>
      <w:divBdr>
        <w:top w:val="none" w:sz="0" w:space="0" w:color="auto"/>
        <w:left w:val="none" w:sz="0" w:space="0" w:color="auto"/>
        <w:bottom w:val="none" w:sz="0" w:space="0" w:color="auto"/>
        <w:right w:val="none" w:sz="0" w:space="0" w:color="auto"/>
      </w:divBdr>
    </w:div>
    <w:div w:id="55010246">
      <w:bodyDiv w:val="1"/>
      <w:marLeft w:val="0"/>
      <w:marRight w:val="0"/>
      <w:marTop w:val="0"/>
      <w:marBottom w:val="0"/>
      <w:divBdr>
        <w:top w:val="none" w:sz="0" w:space="0" w:color="auto"/>
        <w:left w:val="none" w:sz="0" w:space="0" w:color="auto"/>
        <w:bottom w:val="none" w:sz="0" w:space="0" w:color="auto"/>
        <w:right w:val="none" w:sz="0" w:space="0" w:color="auto"/>
      </w:divBdr>
    </w:div>
    <w:div w:id="56125214">
      <w:bodyDiv w:val="1"/>
      <w:marLeft w:val="0"/>
      <w:marRight w:val="0"/>
      <w:marTop w:val="0"/>
      <w:marBottom w:val="0"/>
      <w:divBdr>
        <w:top w:val="none" w:sz="0" w:space="0" w:color="auto"/>
        <w:left w:val="none" w:sz="0" w:space="0" w:color="auto"/>
        <w:bottom w:val="none" w:sz="0" w:space="0" w:color="auto"/>
        <w:right w:val="none" w:sz="0" w:space="0" w:color="auto"/>
      </w:divBdr>
    </w:div>
    <w:div w:id="56982402">
      <w:bodyDiv w:val="1"/>
      <w:marLeft w:val="0"/>
      <w:marRight w:val="0"/>
      <w:marTop w:val="0"/>
      <w:marBottom w:val="0"/>
      <w:divBdr>
        <w:top w:val="none" w:sz="0" w:space="0" w:color="auto"/>
        <w:left w:val="none" w:sz="0" w:space="0" w:color="auto"/>
        <w:bottom w:val="none" w:sz="0" w:space="0" w:color="auto"/>
        <w:right w:val="none" w:sz="0" w:space="0" w:color="auto"/>
      </w:divBdr>
    </w:div>
    <w:div w:id="57632116">
      <w:bodyDiv w:val="1"/>
      <w:marLeft w:val="0"/>
      <w:marRight w:val="0"/>
      <w:marTop w:val="0"/>
      <w:marBottom w:val="0"/>
      <w:divBdr>
        <w:top w:val="none" w:sz="0" w:space="0" w:color="auto"/>
        <w:left w:val="none" w:sz="0" w:space="0" w:color="auto"/>
        <w:bottom w:val="none" w:sz="0" w:space="0" w:color="auto"/>
        <w:right w:val="none" w:sz="0" w:space="0" w:color="auto"/>
      </w:divBdr>
    </w:div>
    <w:div w:id="63340141">
      <w:bodyDiv w:val="1"/>
      <w:marLeft w:val="0"/>
      <w:marRight w:val="0"/>
      <w:marTop w:val="0"/>
      <w:marBottom w:val="0"/>
      <w:divBdr>
        <w:top w:val="none" w:sz="0" w:space="0" w:color="auto"/>
        <w:left w:val="none" w:sz="0" w:space="0" w:color="auto"/>
        <w:bottom w:val="none" w:sz="0" w:space="0" w:color="auto"/>
        <w:right w:val="none" w:sz="0" w:space="0" w:color="auto"/>
      </w:divBdr>
    </w:div>
    <w:div w:id="72553962">
      <w:bodyDiv w:val="1"/>
      <w:marLeft w:val="0"/>
      <w:marRight w:val="0"/>
      <w:marTop w:val="0"/>
      <w:marBottom w:val="0"/>
      <w:divBdr>
        <w:top w:val="none" w:sz="0" w:space="0" w:color="auto"/>
        <w:left w:val="none" w:sz="0" w:space="0" w:color="auto"/>
        <w:bottom w:val="none" w:sz="0" w:space="0" w:color="auto"/>
        <w:right w:val="none" w:sz="0" w:space="0" w:color="auto"/>
      </w:divBdr>
    </w:div>
    <w:div w:id="76679183">
      <w:bodyDiv w:val="1"/>
      <w:marLeft w:val="0"/>
      <w:marRight w:val="0"/>
      <w:marTop w:val="0"/>
      <w:marBottom w:val="0"/>
      <w:divBdr>
        <w:top w:val="none" w:sz="0" w:space="0" w:color="auto"/>
        <w:left w:val="none" w:sz="0" w:space="0" w:color="auto"/>
        <w:bottom w:val="none" w:sz="0" w:space="0" w:color="auto"/>
        <w:right w:val="none" w:sz="0" w:space="0" w:color="auto"/>
      </w:divBdr>
    </w:div>
    <w:div w:id="76951222">
      <w:bodyDiv w:val="1"/>
      <w:marLeft w:val="0"/>
      <w:marRight w:val="0"/>
      <w:marTop w:val="0"/>
      <w:marBottom w:val="0"/>
      <w:divBdr>
        <w:top w:val="none" w:sz="0" w:space="0" w:color="auto"/>
        <w:left w:val="none" w:sz="0" w:space="0" w:color="auto"/>
        <w:bottom w:val="none" w:sz="0" w:space="0" w:color="auto"/>
        <w:right w:val="none" w:sz="0" w:space="0" w:color="auto"/>
      </w:divBdr>
    </w:div>
    <w:div w:id="78329617">
      <w:bodyDiv w:val="1"/>
      <w:marLeft w:val="0"/>
      <w:marRight w:val="0"/>
      <w:marTop w:val="0"/>
      <w:marBottom w:val="0"/>
      <w:divBdr>
        <w:top w:val="none" w:sz="0" w:space="0" w:color="auto"/>
        <w:left w:val="none" w:sz="0" w:space="0" w:color="auto"/>
        <w:bottom w:val="none" w:sz="0" w:space="0" w:color="auto"/>
        <w:right w:val="none" w:sz="0" w:space="0" w:color="auto"/>
      </w:divBdr>
    </w:div>
    <w:div w:id="79370440">
      <w:bodyDiv w:val="1"/>
      <w:marLeft w:val="0"/>
      <w:marRight w:val="0"/>
      <w:marTop w:val="0"/>
      <w:marBottom w:val="0"/>
      <w:divBdr>
        <w:top w:val="none" w:sz="0" w:space="0" w:color="auto"/>
        <w:left w:val="none" w:sz="0" w:space="0" w:color="auto"/>
        <w:bottom w:val="none" w:sz="0" w:space="0" w:color="auto"/>
        <w:right w:val="none" w:sz="0" w:space="0" w:color="auto"/>
      </w:divBdr>
    </w:div>
    <w:div w:id="84226965">
      <w:bodyDiv w:val="1"/>
      <w:marLeft w:val="0"/>
      <w:marRight w:val="0"/>
      <w:marTop w:val="0"/>
      <w:marBottom w:val="0"/>
      <w:divBdr>
        <w:top w:val="none" w:sz="0" w:space="0" w:color="auto"/>
        <w:left w:val="none" w:sz="0" w:space="0" w:color="auto"/>
        <w:bottom w:val="none" w:sz="0" w:space="0" w:color="auto"/>
        <w:right w:val="none" w:sz="0" w:space="0" w:color="auto"/>
      </w:divBdr>
    </w:div>
    <w:div w:id="93213298">
      <w:bodyDiv w:val="1"/>
      <w:marLeft w:val="0"/>
      <w:marRight w:val="0"/>
      <w:marTop w:val="0"/>
      <w:marBottom w:val="0"/>
      <w:divBdr>
        <w:top w:val="none" w:sz="0" w:space="0" w:color="auto"/>
        <w:left w:val="none" w:sz="0" w:space="0" w:color="auto"/>
        <w:bottom w:val="none" w:sz="0" w:space="0" w:color="auto"/>
        <w:right w:val="none" w:sz="0" w:space="0" w:color="auto"/>
      </w:divBdr>
      <w:divsChild>
        <w:div w:id="16099649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107807">
      <w:bodyDiv w:val="1"/>
      <w:marLeft w:val="0"/>
      <w:marRight w:val="0"/>
      <w:marTop w:val="0"/>
      <w:marBottom w:val="0"/>
      <w:divBdr>
        <w:top w:val="none" w:sz="0" w:space="0" w:color="auto"/>
        <w:left w:val="none" w:sz="0" w:space="0" w:color="auto"/>
        <w:bottom w:val="none" w:sz="0" w:space="0" w:color="auto"/>
        <w:right w:val="none" w:sz="0" w:space="0" w:color="auto"/>
      </w:divBdr>
    </w:div>
    <w:div w:id="107242499">
      <w:bodyDiv w:val="1"/>
      <w:marLeft w:val="0"/>
      <w:marRight w:val="0"/>
      <w:marTop w:val="0"/>
      <w:marBottom w:val="0"/>
      <w:divBdr>
        <w:top w:val="none" w:sz="0" w:space="0" w:color="auto"/>
        <w:left w:val="none" w:sz="0" w:space="0" w:color="auto"/>
        <w:bottom w:val="none" w:sz="0" w:space="0" w:color="auto"/>
        <w:right w:val="none" w:sz="0" w:space="0" w:color="auto"/>
      </w:divBdr>
    </w:div>
    <w:div w:id="108941219">
      <w:bodyDiv w:val="1"/>
      <w:marLeft w:val="0"/>
      <w:marRight w:val="0"/>
      <w:marTop w:val="0"/>
      <w:marBottom w:val="0"/>
      <w:divBdr>
        <w:top w:val="none" w:sz="0" w:space="0" w:color="auto"/>
        <w:left w:val="none" w:sz="0" w:space="0" w:color="auto"/>
        <w:bottom w:val="none" w:sz="0" w:space="0" w:color="auto"/>
        <w:right w:val="none" w:sz="0" w:space="0" w:color="auto"/>
      </w:divBdr>
    </w:div>
    <w:div w:id="109663971">
      <w:bodyDiv w:val="1"/>
      <w:marLeft w:val="0"/>
      <w:marRight w:val="0"/>
      <w:marTop w:val="0"/>
      <w:marBottom w:val="0"/>
      <w:divBdr>
        <w:top w:val="none" w:sz="0" w:space="0" w:color="auto"/>
        <w:left w:val="none" w:sz="0" w:space="0" w:color="auto"/>
        <w:bottom w:val="none" w:sz="0" w:space="0" w:color="auto"/>
        <w:right w:val="none" w:sz="0" w:space="0" w:color="auto"/>
      </w:divBdr>
    </w:div>
    <w:div w:id="126434751">
      <w:bodyDiv w:val="1"/>
      <w:marLeft w:val="0"/>
      <w:marRight w:val="0"/>
      <w:marTop w:val="0"/>
      <w:marBottom w:val="0"/>
      <w:divBdr>
        <w:top w:val="none" w:sz="0" w:space="0" w:color="auto"/>
        <w:left w:val="none" w:sz="0" w:space="0" w:color="auto"/>
        <w:bottom w:val="none" w:sz="0" w:space="0" w:color="auto"/>
        <w:right w:val="none" w:sz="0" w:space="0" w:color="auto"/>
      </w:divBdr>
      <w:divsChild>
        <w:div w:id="1114132301">
          <w:blockQuote w:val="1"/>
          <w:marLeft w:val="720"/>
          <w:marRight w:val="720"/>
          <w:marTop w:val="100"/>
          <w:marBottom w:val="100"/>
          <w:divBdr>
            <w:top w:val="none" w:sz="0" w:space="0" w:color="auto"/>
            <w:left w:val="none" w:sz="0" w:space="0" w:color="auto"/>
            <w:bottom w:val="none" w:sz="0" w:space="0" w:color="auto"/>
            <w:right w:val="none" w:sz="0" w:space="0" w:color="auto"/>
          </w:divBdr>
        </w:div>
        <w:div w:id="15292220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949231">
      <w:bodyDiv w:val="1"/>
      <w:marLeft w:val="0"/>
      <w:marRight w:val="0"/>
      <w:marTop w:val="0"/>
      <w:marBottom w:val="0"/>
      <w:divBdr>
        <w:top w:val="none" w:sz="0" w:space="0" w:color="auto"/>
        <w:left w:val="none" w:sz="0" w:space="0" w:color="auto"/>
        <w:bottom w:val="none" w:sz="0" w:space="0" w:color="auto"/>
        <w:right w:val="none" w:sz="0" w:space="0" w:color="auto"/>
      </w:divBdr>
    </w:div>
    <w:div w:id="131992594">
      <w:bodyDiv w:val="1"/>
      <w:marLeft w:val="0"/>
      <w:marRight w:val="0"/>
      <w:marTop w:val="0"/>
      <w:marBottom w:val="0"/>
      <w:divBdr>
        <w:top w:val="none" w:sz="0" w:space="0" w:color="auto"/>
        <w:left w:val="none" w:sz="0" w:space="0" w:color="auto"/>
        <w:bottom w:val="none" w:sz="0" w:space="0" w:color="auto"/>
        <w:right w:val="none" w:sz="0" w:space="0" w:color="auto"/>
      </w:divBdr>
    </w:div>
    <w:div w:id="133185386">
      <w:bodyDiv w:val="1"/>
      <w:marLeft w:val="0"/>
      <w:marRight w:val="0"/>
      <w:marTop w:val="0"/>
      <w:marBottom w:val="0"/>
      <w:divBdr>
        <w:top w:val="none" w:sz="0" w:space="0" w:color="auto"/>
        <w:left w:val="none" w:sz="0" w:space="0" w:color="auto"/>
        <w:bottom w:val="none" w:sz="0" w:space="0" w:color="auto"/>
        <w:right w:val="none" w:sz="0" w:space="0" w:color="auto"/>
      </w:divBdr>
      <w:divsChild>
        <w:div w:id="4452748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530256">
      <w:bodyDiv w:val="1"/>
      <w:marLeft w:val="0"/>
      <w:marRight w:val="0"/>
      <w:marTop w:val="0"/>
      <w:marBottom w:val="0"/>
      <w:divBdr>
        <w:top w:val="none" w:sz="0" w:space="0" w:color="auto"/>
        <w:left w:val="none" w:sz="0" w:space="0" w:color="auto"/>
        <w:bottom w:val="none" w:sz="0" w:space="0" w:color="auto"/>
        <w:right w:val="none" w:sz="0" w:space="0" w:color="auto"/>
      </w:divBdr>
    </w:div>
    <w:div w:id="137185087">
      <w:bodyDiv w:val="1"/>
      <w:marLeft w:val="0"/>
      <w:marRight w:val="0"/>
      <w:marTop w:val="0"/>
      <w:marBottom w:val="0"/>
      <w:divBdr>
        <w:top w:val="none" w:sz="0" w:space="0" w:color="auto"/>
        <w:left w:val="none" w:sz="0" w:space="0" w:color="auto"/>
        <w:bottom w:val="none" w:sz="0" w:space="0" w:color="auto"/>
        <w:right w:val="none" w:sz="0" w:space="0" w:color="auto"/>
      </w:divBdr>
    </w:div>
    <w:div w:id="139546383">
      <w:bodyDiv w:val="1"/>
      <w:marLeft w:val="0"/>
      <w:marRight w:val="0"/>
      <w:marTop w:val="0"/>
      <w:marBottom w:val="0"/>
      <w:divBdr>
        <w:top w:val="none" w:sz="0" w:space="0" w:color="auto"/>
        <w:left w:val="none" w:sz="0" w:space="0" w:color="auto"/>
        <w:bottom w:val="none" w:sz="0" w:space="0" w:color="auto"/>
        <w:right w:val="none" w:sz="0" w:space="0" w:color="auto"/>
      </w:divBdr>
    </w:div>
    <w:div w:id="144931325">
      <w:bodyDiv w:val="1"/>
      <w:marLeft w:val="0"/>
      <w:marRight w:val="0"/>
      <w:marTop w:val="0"/>
      <w:marBottom w:val="0"/>
      <w:divBdr>
        <w:top w:val="none" w:sz="0" w:space="0" w:color="auto"/>
        <w:left w:val="none" w:sz="0" w:space="0" w:color="auto"/>
        <w:bottom w:val="none" w:sz="0" w:space="0" w:color="auto"/>
        <w:right w:val="none" w:sz="0" w:space="0" w:color="auto"/>
      </w:divBdr>
    </w:div>
    <w:div w:id="148638872">
      <w:bodyDiv w:val="1"/>
      <w:marLeft w:val="0"/>
      <w:marRight w:val="0"/>
      <w:marTop w:val="0"/>
      <w:marBottom w:val="0"/>
      <w:divBdr>
        <w:top w:val="none" w:sz="0" w:space="0" w:color="auto"/>
        <w:left w:val="none" w:sz="0" w:space="0" w:color="auto"/>
        <w:bottom w:val="none" w:sz="0" w:space="0" w:color="auto"/>
        <w:right w:val="none" w:sz="0" w:space="0" w:color="auto"/>
      </w:divBdr>
    </w:div>
    <w:div w:id="156118029">
      <w:bodyDiv w:val="1"/>
      <w:marLeft w:val="0"/>
      <w:marRight w:val="0"/>
      <w:marTop w:val="0"/>
      <w:marBottom w:val="0"/>
      <w:divBdr>
        <w:top w:val="none" w:sz="0" w:space="0" w:color="auto"/>
        <w:left w:val="none" w:sz="0" w:space="0" w:color="auto"/>
        <w:bottom w:val="none" w:sz="0" w:space="0" w:color="auto"/>
        <w:right w:val="none" w:sz="0" w:space="0" w:color="auto"/>
      </w:divBdr>
      <w:divsChild>
        <w:div w:id="2072774143">
          <w:marLeft w:val="0"/>
          <w:marRight w:val="0"/>
          <w:marTop w:val="0"/>
          <w:marBottom w:val="0"/>
          <w:divBdr>
            <w:top w:val="none" w:sz="0" w:space="0" w:color="auto"/>
            <w:left w:val="none" w:sz="0" w:space="0" w:color="auto"/>
            <w:bottom w:val="none" w:sz="0" w:space="0" w:color="auto"/>
            <w:right w:val="none" w:sz="0" w:space="0" w:color="auto"/>
          </w:divBdr>
        </w:div>
      </w:divsChild>
    </w:div>
    <w:div w:id="168984245">
      <w:bodyDiv w:val="1"/>
      <w:marLeft w:val="0"/>
      <w:marRight w:val="0"/>
      <w:marTop w:val="0"/>
      <w:marBottom w:val="0"/>
      <w:divBdr>
        <w:top w:val="none" w:sz="0" w:space="0" w:color="auto"/>
        <w:left w:val="none" w:sz="0" w:space="0" w:color="auto"/>
        <w:bottom w:val="none" w:sz="0" w:space="0" w:color="auto"/>
        <w:right w:val="none" w:sz="0" w:space="0" w:color="auto"/>
      </w:divBdr>
      <w:divsChild>
        <w:div w:id="2105103092">
          <w:marLeft w:val="0"/>
          <w:marRight w:val="0"/>
          <w:marTop w:val="0"/>
          <w:marBottom w:val="0"/>
          <w:divBdr>
            <w:top w:val="none" w:sz="0" w:space="0" w:color="auto"/>
            <w:left w:val="none" w:sz="0" w:space="0" w:color="auto"/>
            <w:bottom w:val="none" w:sz="0" w:space="0" w:color="auto"/>
            <w:right w:val="none" w:sz="0" w:space="0" w:color="auto"/>
          </w:divBdr>
          <w:divsChild>
            <w:div w:id="32685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1294">
      <w:bodyDiv w:val="1"/>
      <w:marLeft w:val="0"/>
      <w:marRight w:val="0"/>
      <w:marTop w:val="0"/>
      <w:marBottom w:val="0"/>
      <w:divBdr>
        <w:top w:val="none" w:sz="0" w:space="0" w:color="auto"/>
        <w:left w:val="none" w:sz="0" w:space="0" w:color="auto"/>
        <w:bottom w:val="none" w:sz="0" w:space="0" w:color="auto"/>
        <w:right w:val="none" w:sz="0" w:space="0" w:color="auto"/>
      </w:divBdr>
    </w:div>
    <w:div w:id="171261722">
      <w:bodyDiv w:val="1"/>
      <w:marLeft w:val="0"/>
      <w:marRight w:val="0"/>
      <w:marTop w:val="0"/>
      <w:marBottom w:val="0"/>
      <w:divBdr>
        <w:top w:val="none" w:sz="0" w:space="0" w:color="auto"/>
        <w:left w:val="none" w:sz="0" w:space="0" w:color="auto"/>
        <w:bottom w:val="none" w:sz="0" w:space="0" w:color="auto"/>
        <w:right w:val="none" w:sz="0" w:space="0" w:color="auto"/>
      </w:divBdr>
    </w:div>
    <w:div w:id="180630373">
      <w:bodyDiv w:val="1"/>
      <w:marLeft w:val="0"/>
      <w:marRight w:val="0"/>
      <w:marTop w:val="0"/>
      <w:marBottom w:val="0"/>
      <w:divBdr>
        <w:top w:val="none" w:sz="0" w:space="0" w:color="auto"/>
        <w:left w:val="none" w:sz="0" w:space="0" w:color="auto"/>
        <w:bottom w:val="none" w:sz="0" w:space="0" w:color="auto"/>
        <w:right w:val="none" w:sz="0" w:space="0" w:color="auto"/>
      </w:divBdr>
      <w:divsChild>
        <w:div w:id="7613382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124479">
      <w:bodyDiv w:val="1"/>
      <w:marLeft w:val="0"/>
      <w:marRight w:val="0"/>
      <w:marTop w:val="0"/>
      <w:marBottom w:val="0"/>
      <w:divBdr>
        <w:top w:val="none" w:sz="0" w:space="0" w:color="auto"/>
        <w:left w:val="none" w:sz="0" w:space="0" w:color="auto"/>
        <w:bottom w:val="none" w:sz="0" w:space="0" w:color="auto"/>
        <w:right w:val="none" w:sz="0" w:space="0" w:color="auto"/>
      </w:divBdr>
    </w:div>
    <w:div w:id="202639302">
      <w:bodyDiv w:val="1"/>
      <w:marLeft w:val="0"/>
      <w:marRight w:val="0"/>
      <w:marTop w:val="0"/>
      <w:marBottom w:val="0"/>
      <w:divBdr>
        <w:top w:val="none" w:sz="0" w:space="0" w:color="auto"/>
        <w:left w:val="none" w:sz="0" w:space="0" w:color="auto"/>
        <w:bottom w:val="none" w:sz="0" w:space="0" w:color="auto"/>
        <w:right w:val="none" w:sz="0" w:space="0" w:color="auto"/>
      </w:divBdr>
    </w:div>
    <w:div w:id="204414316">
      <w:bodyDiv w:val="1"/>
      <w:marLeft w:val="0"/>
      <w:marRight w:val="0"/>
      <w:marTop w:val="0"/>
      <w:marBottom w:val="0"/>
      <w:divBdr>
        <w:top w:val="none" w:sz="0" w:space="0" w:color="auto"/>
        <w:left w:val="none" w:sz="0" w:space="0" w:color="auto"/>
        <w:bottom w:val="none" w:sz="0" w:space="0" w:color="auto"/>
        <w:right w:val="none" w:sz="0" w:space="0" w:color="auto"/>
      </w:divBdr>
    </w:div>
    <w:div w:id="204486688">
      <w:bodyDiv w:val="1"/>
      <w:marLeft w:val="0"/>
      <w:marRight w:val="0"/>
      <w:marTop w:val="0"/>
      <w:marBottom w:val="0"/>
      <w:divBdr>
        <w:top w:val="none" w:sz="0" w:space="0" w:color="auto"/>
        <w:left w:val="none" w:sz="0" w:space="0" w:color="auto"/>
        <w:bottom w:val="none" w:sz="0" w:space="0" w:color="auto"/>
        <w:right w:val="none" w:sz="0" w:space="0" w:color="auto"/>
      </w:divBdr>
    </w:div>
    <w:div w:id="220556487">
      <w:bodyDiv w:val="1"/>
      <w:marLeft w:val="0"/>
      <w:marRight w:val="0"/>
      <w:marTop w:val="0"/>
      <w:marBottom w:val="0"/>
      <w:divBdr>
        <w:top w:val="none" w:sz="0" w:space="0" w:color="auto"/>
        <w:left w:val="none" w:sz="0" w:space="0" w:color="auto"/>
        <w:bottom w:val="none" w:sz="0" w:space="0" w:color="auto"/>
        <w:right w:val="none" w:sz="0" w:space="0" w:color="auto"/>
      </w:divBdr>
    </w:div>
    <w:div w:id="223640557">
      <w:bodyDiv w:val="1"/>
      <w:marLeft w:val="0"/>
      <w:marRight w:val="0"/>
      <w:marTop w:val="0"/>
      <w:marBottom w:val="0"/>
      <w:divBdr>
        <w:top w:val="none" w:sz="0" w:space="0" w:color="auto"/>
        <w:left w:val="none" w:sz="0" w:space="0" w:color="auto"/>
        <w:bottom w:val="none" w:sz="0" w:space="0" w:color="auto"/>
        <w:right w:val="none" w:sz="0" w:space="0" w:color="auto"/>
      </w:divBdr>
      <w:divsChild>
        <w:div w:id="2105374743">
          <w:marLeft w:val="0"/>
          <w:marRight w:val="0"/>
          <w:marTop w:val="0"/>
          <w:marBottom w:val="0"/>
          <w:divBdr>
            <w:top w:val="none" w:sz="0" w:space="0" w:color="auto"/>
            <w:left w:val="none" w:sz="0" w:space="0" w:color="auto"/>
            <w:bottom w:val="none" w:sz="0" w:space="0" w:color="auto"/>
            <w:right w:val="none" w:sz="0" w:space="0" w:color="auto"/>
          </w:divBdr>
          <w:divsChild>
            <w:div w:id="1223518048">
              <w:marLeft w:val="0"/>
              <w:marRight w:val="0"/>
              <w:marTop w:val="0"/>
              <w:marBottom w:val="0"/>
              <w:divBdr>
                <w:top w:val="none" w:sz="0" w:space="0" w:color="auto"/>
                <w:left w:val="none" w:sz="0" w:space="0" w:color="auto"/>
                <w:bottom w:val="none" w:sz="0" w:space="0" w:color="auto"/>
                <w:right w:val="none" w:sz="0" w:space="0" w:color="auto"/>
              </w:divBdr>
            </w:div>
          </w:divsChild>
        </w:div>
        <w:div w:id="795097252">
          <w:marLeft w:val="0"/>
          <w:marRight w:val="0"/>
          <w:marTop w:val="0"/>
          <w:marBottom w:val="0"/>
          <w:divBdr>
            <w:top w:val="none" w:sz="0" w:space="0" w:color="auto"/>
            <w:left w:val="none" w:sz="0" w:space="0" w:color="auto"/>
            <w:bottom w:val="none" w:sz="0" w:space="0" w:color="auto"/>
            <w:right w:val="none" w:sz="0" w:space="0" w:color="auto"/>
          </w:divBdr>
          <w:divsChild>
            <w:div w:id="82104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340350">
      <w:bodyDiv w:val="1"/>
      <w:marLeft w:val="0"/>
      <w:marRight w:val="0"/>
      <w:marTop w:val="0"/>
      <w:marBottom w:val="0"/>
      <w:divBdr>
        <w:top w:val="none" w:sz="0" w:space="0" w:color="auto"/>
        <w:left w:val="none" w:sz="0" w:space="0" w:color="auto"/>
        <w:bottom w:val="none" w:sz="0" w:space="0" w:color="auto"/>
        <w:right w:val="none" w:sz="0" w:space="0" w:color="auto"/>
      </w:divBdr>
    </w:div>
    <w:div w:id="228539655">
      <w:bodyDiv w:val="1"/>
      <w:marLeft w:val="0"/>
      <w:marRight w:val="0"/>
      <w:marTop w:val="0"/>
      <w:marBottom w:val="0"/>
      <w:divBdr>
        <w:top w:val="none" w:sz="0" w:space="0" w:color="auto"/>
        <w:left w:val="none" w:sz="0" w:space="0" w:color="auto"/>
        <w:bottom w:val="none" w:sz="0" w:space="0" w:color="auto"/>
        <w:right w:val="none" w:sz="0" w:space="0" w:color="auto"/>
      </w:divBdr>
    </w:div>
    <w:div w:id="229847652">
      <w:bodyDiv w:val="1"/>
      <w:marLeft w:val="0"/>
      <w:marRight w:val="0"/>
      <w:marTop w:val="0"/>
      <w:marBottom w:val="0"/>
      <w:divBdr>
        <w:top w:val="none" w:sz="0" w:space="0" w:color="auto"/>
        <w:left w:val="none" w:sz="0" w:space="0" w:color="auto"/>
        <w:bottom w:val="none" w:sz="0" w:space="0" w:color="auto"/>
        <w:right w:val="none" w:sz="0" w:space="0" w:color="auto"/>
      </w:divBdr>
    </w:div>
    <w:div w:id="231963601">
      <w:bodyDiv w:val="1"/>
      <w:marLeft w:val="0"/>
      <w:marRight w:val="0"/>
      <w:marTop w:val="0"/>
      <w:marBottom w:val="0"/>
      <w:divBdr>
        <w:top w:val="none" w:sz="0" w:space="0" w:color="auto"/>
        <w:left w:val="none" w:sz="0" w:space="0" w:color="auto"/>
        <w:bottom w:val="none" w:sz="0" w:space="0" w:color="auto"/>
        <w:right w:val="none" w:sz="0" w:space="0" w:color="auto"/>
      </w:divBdr>
    </w:div>
    <w:div w:id="236786594">
      <w:bodyDiv w:val="1"/>
      <w:marLeft w:val="0"/>
      <w:marRight w:val="0"/>
      <w:marTop w:val="0"/>
      <w:marBottom w:val="0"/>
      <w:divBdr>
        <w:top w:val="none" w:sz="0" w:space="0" w:color="auto"/>
        <w:left w:val="none" w:sz="0" w:space="0" w:color="auto"/>
        <w:bottom w:val="none" w:sz="0" w:space="0" w:color="auto"/>
        <w:right w:val="none" w:sz="0" w:space="0" w:color="auto"/>
      </w:divBdr>
      <w:divsChild>
        <w:div w:id="856889812">
          <w:marLeft w:val="0"/>
          <w:marRight w:val="0"/>
          <w:marTop w:val="0"/>
          <w:marBottom w:val="0"/>
          <w:divBdr>
            <w:top w:val="none" w:sz="0" w:space="0" w:color="auto"/>
            <w:left w:val="none" w:sz="0" w:space="0" w:color="auto"/>
            <w:bottom w:val="none" w:sz="0" w:space="0" w:color="auto"/>
            <w:right w:val="none" w:sz="0" w:space="0" w:color="auto"/>
          </w:divBdr>
        </w:div>
        <w:div w:id="1155924255">
          <w:marLeft w:val="0"/>
          <w:marRight w:val="0"/>
          <w:marTop w:val="0"/>
          <w:marBottom w:val="0"/>
          <w:divBdr>
            <w:top w:val="none" w:sz="0" w:space="0" w:color="auto"/>
            <w:left w:val="none" w:sz="0" w:space="0" w:color="auto"/>
            <w:bottom w:val="none" w:sz="0" w:space="0" w:color="auto"/>
            <w:right w:val="none" w:sz="0" w:space="0" w:color="auto"/>
          </w:divBdr>
          <w:divsChild>
            <w:div w:id="871377995">
              <w:marLeft w:val="0"/>
              <w:marRight w:val="0"/>
              <w:marTop w:val="0"/>
              <w:marBottom w:val="0"/>
              <w:divBdr>
                <w:top w:val="none" w:sz="0" w:space="0" w:color="auto"/>
                <w:left w:val="none" w:sz="0" w:space="0" w:color="auto"/>
                <w:bottom w:val="none" w:sz="0" w:space="0" w:color="auto"/>
                <w:right w:val="none" w:sz="0" w:space="0" w:color="auto"/>
              </w:divBdr>
              <w:divsChild>
                <w:div w:id="1629164076">
                  <w:marLeft w:val="0"/>
                  <w:marRight w:val="0"/>
                  <w:marTop w:val="0"/>
                  <w:marBottom w:val="0"/>
                  <w:divBdr>
                    <w:top w:val="none" w:sz="0" w:space="0" w:color="auto"/>
                    <w:left w:val="none" w:sz="0" w:space="0" w:color="auto"/>
                    <w:bottom w:val="none" w:sz="0" w:space="0" w:color="auto"/>
                    <w:right w:val="none" w:sz="0" w:space="0" w:color="auto"/>
                  </w:divBdr>
                  <w:divsChild>
                    <w:div w:id="518742022">
                      <w:marLeft w:val="0"/>
                      <w:marRight w:val="0"/>
                      <w:marTop w:val="0"/>
                      <w:marBottom w:val="0"/>
                      <w:divBdr>
                        <w:top w:val="none" w:sz="0" w:space="0" w:color="auto"/>
                        <w:left w:val="none" w:sz="0" w:space="0" w:color="auto"/>
                        <w:bottom w:val="none" w:sz="0" w:space="0" w:color="auto"/>
                        <w:right w:val="none" w:sz="0" w:space="0" w:color="auto"/>
                      </w:divBdr>
                      <w:divsChild>
                        <w:div w:id="1867057407">
                          <w:marLeft w:val="0"/>
                          <w:marRight w:val="0"/>
                          <w:marTop w:val="0"/>
                          <w:marBottom w:val="0"/>
                          <w:divBdr>
                            <w:top w:val="none" w:sz="0" w:space="0" w:color="auto"/>
                            <w:left w:val="none" w:sz="0" w:space="0" w:color="auto"/>
                            <w:bottom w:val="none" w:sz="0" w:space="0" w:color="auto"/>
                            <w:right w:val="none" w:sz="0" w:space="0" w:color="auto"/>
                          </w:divBdr>
                        </w:div>
                      </w:divsChild>
                    </w:div>
                    <w:div w:id="2094163051">
                      <w:marLeft w:val="0"/>
                      <w:marRight w:val="0"/>
                      <w:marTop w:val="0"/>
                      <w:marBottom w:val="0"/>
                      <w:divBdr>
                        <w:top w:val="none" w:sz="0" w:space="0" w:color="auto"/>
                        <w:left w:val="none" w:sz="0" w:space="0" w:color="auto"/>
                        <w:bottom w:val="none" w:sz="0" w:space="0" w:color="auto"/>
                        <w:right w:val="none" w:sz="0" w:space="0" w:color="auto"/>
                      </w:divBdr>
                      <w:divsChild>
                        <w:div w:id="1519927354">
                          <w:marLeft w:val="0"/>
                          <w:marRight w:val="0"/>
                          <w:marTop w:val="0"/>
                          <w:marBottom w:val="0"/>
                          <w:divBdr>
                            <w:top w:val="none" w:sz="0" w:space="0" w:color="auto"/>
                            <w:left w:val="none" w:sz="0" w:space="0" w:color="auto"/>
                            <w:bottom w:val="none" w:sz="0" w:space="0" w:color="auto"/>
                            <w:right w:val="none" w:sz="0" w:space="0" w:color="auto"/>
                          </w:divBdr>
                        </w:div>
                      </w:divsChild>
                    </w:div>
                    <w:div w:id="379281563">
                      <w:marLeft w:val="0"/>
                      <w:marRight w:val="0"/>
                      <w:marTop w:val="0"/>
                      <w:marBottom w:val="0"/>
                      <w:divBdr>
                        <w:top w:val="none" w:sz="0" w:space="0" w:color="auto"/>
                        <w:left w:val="none" w:sz="0" w:space="0" w:color="auto"/>
                        <w:bottom w:val="none" w:sz="0" w:space="0" w:color="auto"/>
                        <w:right w:val="none" w:sz="0" w:space="0" w:color="auto"/>
                      </w:divBdr>
                      <w:divsChild>
                        <w:div w:id="172494176">
                          <w:marLeft w:val="0"/>
                          <w:marRight w:val="0"/>
                          <w:marTop w:val="0"/>
                          <w:marBottom w:val="0"/>
                          <w:divBdr>
                            <w:top w:val="none" w:sz="0" w:space="0" w:color="auto"/>
                            <w:left w:val="none" w:sz="0" w:space="0" w:color="auto"/>
                            <w:bottom w:val="none" w:sz="0" w:space="0" w:color="auto"/>
                            <w:right w:val="none" w:sz="0" w:space="0" w:color="auto"/>
                          </w:divBdr>
                        </w:div>
                      </w:divsChild>
                    </w:div>
                    <w:div w:id="131487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327436">
      <w:bodyDiv w:val="1"/>
      <w:marLeft w:val="0"/>
      <w:marRight w:val="0"/>
      <w:marTop w:val="0"/>
      <w:marBottom w:val="0"/>
      <w:divBdr>
        <w:top w:val="none" w:sz="0" w:space="0" w:color="auto"/>
        <w:left w:val="none" w:sz="0" w:space="0" w:color="auto"/>
        <w:bottom w:val="none" w:sz="0" w:space="0" w:color="auto"/>
        <w:right w:val="none" w:sz="0" w:space="0" w:color="auto"/>
      </w:divBdr>
    </w:div>
    <w:div w:id="239606479">
      <w:bodyDiv w:val="1"/>
      <w:marLeft w:val="0"/>
      <w:marRight w:val="0"/>
      <w:marTop w:val="0"/>
      <w:marBottom w:val="0"/>
      <w:divBdr>
        <w:top w:val="none" w:sz="0" w:space="0" w:color="auto"/>
        <w:left w:val="none" w:sz="0" w:space="0" w:color="auto"/>
        <w:bottom w:val="none" w:sz="0" w:space="0" w:color="auto"/>
        <w:right w:val="none" w:sz="0" w:space="0" w:color="auto"/>
      </w:divBdr>
    </w:div>
    <w:div w:id="239875572">
      <w:bodyDiv w:val="1"/>
      <w:marLeft w:val="0"/>
      <w:marRight w:val="0"/>
      <w:marTop w:val="0"/>
      <w:marBottom w:val="0"/>
      <w:divBdr>
        <w:top w:val="none" w:sz="0" w:space="0" w:color="auto"/>
        <w:left w:val="none" w:sz="0" w:space="0" w:color="auto"/>
        <w:bottom w:val="none" w:sz="0" w:space="0" w:color="auto"/>
        <w:right w:val="none" w:sz="0" w:space="0" w:color="auto"/>
      </w:divBdr>
    </w:div>
    <w:div w:id="243540687">
      <w:bodyDiv w:val="1"/>
      <w:marLeft w:val="0"/>
      <w:marRight w:val="0"/>
      <w:marTop w:val="0"/>
      <w:marBottom w:val="0"/>
      <w:divBdr>
        <w:top w:val="none" w:sz="0" w:space="0" w:color="auto"/>
        <w:left w:val="none" w:sz="0" w:space="0" w:color="auto"/>
        <w:bottom w:val="none" w:sz="0" w:space="0" w:color="auto"/>
        <w:right w:val="none" w:sz="0" w:space="0" w:color="auto"/>
      </w:divBdr>
      <w:divsChild>
        <w:div w:id="218592902">
          <w:marLeft w:val="0"/>
          <w:marRight w:val="0"/>
          <w:marTop w:val="0"/>
          <w:marBottom w:val="0"/>
          <w:divBdr>
            <w:top w:val="none" w:sz="0" w:space="0" w:color="auto"/>
            <w:left w:val="none" w:sz="0" w:space="0" w:color="auto"/>
            <w:bottom w:val="none" w:sz="0" w:space="0" w:color="auto"/>
            <w:right w:val="none" w:sz="0" w:space="0" w:color="auto"/>
          </w:divBdr>
        </w:div>
      </w:divsChild>
    </w:div>
    <w:div w:id="244414055">
      <w:bodyDiv w:val="1"/>
      <w:marLeft w:val="0"/>
      <w:marRight w:val="0"/>
      <w:marTop w:val="0"/>
      <w:marBottom w:val="0"/>
      <w:divBdr>
        <w:top w:val="none" w:sz="0" w:space="0" w:color="auto"/>
        <w:left w:val="none" w:sz="0" w:space="0" w:color="auto"/>
        <w:bottom w:val="none" w:sz="0" w:space="0" w:color="auto"/>
        <w:right w:val="none" w:sz="0" w:space="0" w:color="auto"/>
      </w:divBdr>
      <w:divsChild>
        <w:div w:id="2131893630">
          <w:marLeft w:val="0"/>
          <w:marRight w:val="0"/>
          <w:marTop w:val="0"/>
          <w:marBottom w:val="0"/>
          <w:divBdr>
            <w:top w:val="none" w:sz="0" w:space="0" w:color="auto"/>
            <w:left w:val="none" w:sz="0" w:space="0" w:color="auto"/>
            <w:bottom w:val="none" w:sz="0" w:space="0" w:color="auto"/>
            <w:right w:val="none" w:sz="0" w:space="0" w:color="auto"/>
          </w:divBdr>
        </w:div>
      </w:divsChild>
    </w:div>
    <w:div w:id="248735701">
      <w:bodyDiv w:val="1"/>
      <w:marLeft w:val="0"/>
      <w:marRight w:val="0"/>
      <w:marTop w:val="0"/>
      <w:marBottom w:val="0"/>
      <w:divBdr>
        <w:top w:val="none" w:sz="0" w:space="0" w:color="auto"/>
        <w:left w:val="none" w:sz="0" w:space="0" w:color="auto"/>
        <w:bottom w:val="none" w:sz="0" w:space="0" w:color="auto"/>
        <w:right w:val="none" w:sz="0" w:space="0" w:color="auto"/>
      </w:divBdr>
    </w:div>
    <w:div w:id="249437274">
      <w:bodyDiv w:val="1"/>
      <w:marLeft w:val="0"/>
      <w:marRight w:val="0"/>
      <w:marTop w:val="0"/>
      <w:marBottom w:val="0"/>
      <w:divBdr>
        <w:top w:val="none" w:sz="0" w:space="0" w:color="auto"/>
        <w:left w:val="none" w:sz="0" w:space="0" w:color="auto"/>
        <w:bottom w:val="none" w:sz="0" w:space="0" w:color="auto"/>
        <w:right w:val="none" w:sz="0" w:space="0" w:color="auto"/>
      </w:divBdr>
      <w:divsChild>
        <w:div w:id="2263075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0087189">
      <w:bodyDiv w:val="1"/>
      <w:marLeft w:val="0"/>
      <w:marRight w:val="0"/>
      <w:marTop w:val="0"/>
      <w:marBottom w:val="0"/>
      <w:divBdr>
        <w:top w:val="none" w:sz="0" w:space="0" w:color="auto"/>
        <w:left w:val="none" w:sz="0" w:space="0" w:color="auto"/>
        <w:bottom w:val="none" w:sz="0" w:space="0" w:color="auto"/>
        <w:right w:val="none" w:sz="0" w:space="0" w:color="auto"/>
      </w:divBdr>
      <w:divsChild>
        <w:div w:id="1470634373">
          <w:marLeft w:val="0"/>
          <w:marRight w:val="0"/>
          <w:marTop w:val="0"/>
          <w:marBottom w:val="0"/>
          <w:divBdr>
            <w:top w:val="none" w:sz="0" w:space="0" w:color="auto"/>
            <w:left w:val="none" w:sz="0" w:space="0" w:color="auto"/>
            <w:bottom w:val="none" w:sz="0" w:space="0" w:color="auto"/>
            <w:right w:val="none" w:sz="0" w:space="0" w:color="auto"/>
          </w:divBdr>
        </w:div>
      </w:divsChild>
    </w:div>
    <w:div w:id="252856939">
      <w:bodyDiv w:val="1"/>
      <w:marLeft w:val="0"/>
      <w:marRight w:val="0"/>
      <w:marTop w:val="0"/>
      <w:marBottom w:val="0"/>
      <w:divBdr>
        <w:top w:val="none" w:sz="0" w:space="0" w:color="auto"/>
        <w:left w:val="none" w:sz="0" w:space="0" w:color="auto"/>
        <w:bottom w:val="none" w:sz="0" w:space="0" w:color="auto"/>
        <w:right w:val="none" w:sz="0" w:space="0" w:color="auto"/>
      </w:divBdr>
    </w:div>
    <w:div w:id="262765563">
      <w:bodyDiv w:val="1"/>
      <w:marLeft w:val="0"/>
      <w:marRight w:val="0"/>
      <w:marTop w:val="0"/>
      <w:marBottom w:val="0"/>
      <w:divBdr>
        <w:top w:val="none" w:sz="0" w:space="0" w:color="auto"/>
        <w:left w:val="none" w:sz="0" w:space="0" w:color="auto"/>
        <w:bottom w:val="none" w:sz="0" w:space="0" w:color="auto"/>
        <w:right w:val="none" w:sz="0" w:space="0" w:color="auto"/>
      </w:divBdr>
    </w:div>
    <w:div w:id="264265351">
      <w:bodyDiv w:val="1"/>
      <w:marLeft w:val="0"/>
      <w:marRight w:val="0"/>
      <w:marTop w:val="0"/>
      <w:marBottom w:val="0"/>
      <w:divBdr>
        <w:top w:val="none" w:sz="0" w:space="0" w:color="auto"/>
        <w:left w:val="none" w:sz="0" w:space="0" w:color="auto"/>
        <w:bottom w:val="none" w:sz="0" w:space="0" w:color="auto"/>
        <w:right w:val="none" w:sz="0" w:space="0" w:color="auto"/>
      </w:divBdr>
    </w:div>
    <w:div w:id="266471292">
      <w:bodyDiv w:val="1"/>
      <w:marLeft w:val="0"/>
      <w:marRight w:val="0"/>
      <w:marTop w:val="0"/>
      <w:marBottom w:val="0"/>
      <w:divBdr>
        <w:top w:val="none" w:sz="0" w:space="0" w:color="auto"/>
        <w:left w:val="none" w:sz="0" w:space="0" w:color="auto"/>
        <w:bottom w:val="none" w:sz="0" w:space="0" w:color="auto"/>
        <w:right w:val="none" w:sz="0" w:space="0" w:color="auto"/>
      </w:divBdr>
    </w:div>
    <w:div w:id="269094722">
      <w:bodyDiv w:val="1"/>
      <w:marLeft w:val="0"/>
      <w:marRight w:val="0"/>
      <w:marTop w:val="0"/>
      <w:marBottom w:val="0"/>
      <w:divBdr>
        <w:top w:val="none" w:sz="0" w:space="0" w:color="auto"/>
        <w:left w:val="none" w:sz="0" w:space="0" w:color="auto"/>
        <w:bottom w:val="none" w:sz="0" w:space="0" w:color="auto"/>
        <w:right w:val="none" w:sz="0" w:space="0" w:color="auto"/>
      </w:divBdr>
    </w:div>
    <w:div w:id="276720037">
      <w:bodyDiv w:val="1"/>
      <w:marLeft w:val="0"/>
      <w:marRight w:val="0"/>
      <w:marTop w:val="0"/>
      <w:marBottom w:val="0"/>
      <w:divBdr>
        <w:top w:val="none" w:sz="0" w:space="0" w:color="auto"/>
        <w:left w:val="none" w:sz="0" w:space="0" w:color="auto"/>
        <w:bottom w:val="none" w:sz="0" w:space="0" w:color="auto"/>
        <w:right w:val="none" w:sz="0" w:space="0" w:color="auto"/>
      </w:divBdr>
    </w:div>
    <w:div w:id="276911616">
      <w:bodyDiv w:val="1"/>
      <w:marLeft w:val="0"/>
      <w:marRight w:val="0"/>
      <w:marTop w:val="0"/>
      <w:marBottom w:val="0"/>
      <w:divBdr>
        <w:top w:val="none" w:sz="0" w:space="0" w:color="auto"/>
        <w:left w:val="none" w:sz="0" w:space="0" w:color="auto"/>
        <w:bottom w:val="none" w:sz="0" w:space="0" w:color="auto"/>
        <w:right w:val="none" w:sz="0" w:space="0" w:color="auto"/>
      </w:divBdr>
    </w:div>
    <w:div w:id="280038722">
      <w:bodyDiv w:val="1"/>
      <w:marLeft w:val="0"/>
      <w:marRight w:val="0"/>
      <w:marTop w:val="0"/>
      <w:marBottom w:val="0"/>
      <w:divBdr>
        <w:top w:val="none" w:sz="0" w:space="0" w:color="auto"/>
        <w:left w:val="none" w:sz="0" w:space="0" w:color="auto"/>
        <w:bottom w:val="none" w:sz="0" w:space="0" w:color="auto"/>
        <w:right w:val="none" w:sz="0" w:space="0" w:color="auto"/>
      </w:divBdr>
      <w:divsChild>
        <w:div w:id="1781871209">
          <w:marLeft w:val="0"/>
          <w:marRight w:val="0"/>
          <w:marTop w:val="0"/>
          <w:marBottom w:val="0"/>
          <w:divBdr>
            <w:top w:val="none" w:sz="0" w:space="0" w:color="auto"/>
            <w:left w:val="none" w:sz="0" w:space="0" w:color="auto"/>
            <w:bottom w:val="none" w:sz="0" w:space="0" w:color="auto"/>
            <w:right w:val="none" w:sz="0" w:space="0" w:color="auto"/>
          </w:divBdr>
        </w:div>
        <w:div w:id="1379625148">
          <w:marLeft w:val="0"/>
          <w:marRight w:val="0"/>
          <w:marTop w:val="0"/>
          <w:marBottom w:val="0"/>
          <w:divBdr>
            <w:top w:val="none" w:sz="0" w:space="0" w:color="auto"/>
            <w:left w:val="none" w:sz="0" w:space="0" w:color="auto"/>
            <w:bottom w:val="none" w:sz="0" w:space="0" w:color="auto"/>
            <w:right w:val="none" w:sz="0" w:space="0" w:color="auto"/>
          </w:divBdr>
          <w:divsChild>
            <w:div w:id="1052803056">
              <w:marLeft w:val="0"/>
              <w:marRight w:val="0"/>
              <w:marTop w:val="0"/>
              <w:marBottom w:val="0"/>
              <w:divBdr>
                <w:top w:val="none" w:sz="0" w:space="0" w:color="auto"/>
                <w:left w:val="none" w:sz="0" w:space="0" w:color="auto"/>
                <w:bottom w:val="none" w:sz="0" w:space="0" w:color="auto"/>
                <w:right w:val="none" w:sz="0" w:space="0" w:color="auto"/>
              </w:divBdr>
              <w:divsChild>
                <w:div w:id="1835097723">
                  <w:marLeft w:val="0"/>
                  <w:marRight w:val="0"/>
                  <w:marTop w:val="0"/>
                  <w:marBottom w:val="0"/>
                  <w:divBdr>
                    <w:top w:val="none" w:sz="0" w:space="0" w:color="auto"/>
                    <w:left w:val="none" w:sz="0" w:space="0" w:color="auto"/>
                    <w:bottom w:val="none" w:sz="0" w:space="0" w:color="auto"/>
                    <w:right w:val="none" w:sz="0" w:space="0" w:color="auto"/>
                  </w:divBdr>
                  <w:divsChild>
                    <w:div w:id="1207639249">
                      <w:marLeft w:val="0"/>
                      <w:marRight w:val="0"/>
                      <w:marTop w:val="0"/>
                      <w:marBottom w:val="0"/>
                      <w:divBdr>
                        <w:top w:val="none" w:sz="0" w:space="0" w:color="auto"/>
                        <w:left w:val="none" w:sz="0" w:space="0" w:color="auto"/>
                        <w:bottom w:val="none" w:sz="0" w:space="0" w:color="auto"/>
                        <w:right w:val="none" w:sz="0" w:space="0" w:color="auto"/>
                      </w:divBdr>
                      <w:divsChild>
                        <w:div w:id="1844734525">
                          <w:marLeft w:val="0"/>
                          <w:marRight w:val="0"/>
                          <w:marTop w:val="0"/>
                          <w:marBottom w:val="0"/>
                          <w:divBdr>
                            <w:top w:val="none" w:sz="0" w:space="0" w:color="auto"/>
                            <w:left w:val="none" w:sz="0" w:space="0" w:color="auto"/>
                            <w:bottom w:val="none" w:sz="0" w:space="0" w:color="auto"/>
                            <w:right w:val="none" w:sz="0" w:space="0" w:color="auto"/>
                          </w:divBdr>
                        </w:div>
                      </w:divsChild>
                    </w:div>
                    <w:div w:id="887104892">
                      <w:marLeft w:val="0"/>
                      <w:marRight w:val="0"/>
                      <w:marTop w:val="0"/>
                      <w:marBottom w:val="0"/>
                      <w:divBdr>
                        <w:top w:val="none" w:sz="0" w:space="0" w:color="auto"/>
                        <w:left w:val="none" w:sz="0" w:space="0" w:color="auto"/>
                        <w:bottom w:val="none" w:sz="0" w:space="0" w:color="auto"/>
                        <w:right w:val="none" w:sz="0" w:space="0" w:color="auto"/>
                      </w:divBdr>
                      <w:divsChild>
                        <w:div w:id="298072873">
                          <w:marLeft w:val="0"/>
                          <w:marRight w:val="0"/>
                          <w:marTop w:val="0"/>
                          <w:marBottom w:val="0"/>
                          <w:divBdr>
                            <w:top w:val="none" w:sz="0" w:space="0" w:color="auto"/>
                            <w:left w:val="none" w:sz="0" w:space="0" w:color="auto"/>
                            <w:bottom w:val="none" w:sz="0" w:space="0" w:color="auto"/>
                            <w:right w:val="none" w:sz="0" w:space="0" w:color="auto"/>
                          </w:divBdr>
                        </w:div>
                      </w:divsChild>
                    </w:div>
                    <w:div w:id="982193609">
                      <w:marLeft w:val="0"/>
                      <w:marRight w:val="0"/>
                      <w:marTop w:val="0"/>
                      <w:marBottom w:val="0"/>
                      <w:divBdr>
                        <w:top w:val="none" w:sz="0" w:space="0" w:color="auto"/>
                        <w:left w:val="none" w:sz="0" w:space="0" w:color="auto"/>
                        <w:bottom w:val="none" w:sz="0" w:space="0" w:color="auto"/>
                        <w:right w:val="none" w:sz="0" w:space="0" w:color="auto"/>
                      </w:divBdr>
                      <w:divsChild>
                        <w:div w:id="300774800">
                          <w:marLeft w:val="0"/>
                          <w:marRight w:val="0"/>
                          <w:marTop w:val="0"/>
                          <w:marBottom w:val="0"/>
                          <w:divBdr>
                            <w:top w:val="none" w:sz="0" w:space="0" w:color="auto"/>
                            <w:left w:val="none" w:sz="0" w:space="0" w:color="auto"/>
                            <w:bottom w:val="none" w:sz="0" w:space="0" w:color="auto"/>
                            <w:right w:val="none" w:sz="0" w:space="0" w:color="auto"/>
                          </w:divBdr>
                        </w:div>
                      </w:divsChild>
                    </w:div>
                    <w:div w:id="105095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745035">
      <w:bodyDiv w:val="1"/>
      <w:marLeft w:val="0"/>
      <w:marRight w:val="0"/>
      <w:marTop w:val="0"/>
      <w:marBottom w:val="0"/>
      <w:divBdr>
        <w:top w:val="none" w:sz="0" w:space="0" w:color="auto"/>
        <w:left w:val="none" w:sz="0" w:space="0" w:color="auto"/>
        <w:bottom w:val="none" w:sz="0" w:space="0" w:color="auto"/>
        <w:right w:val="none" w:sz="0" w:space="0" w:color="auto"/>
      </w:divBdr>
    </w:div>
    <w:div w:id="291903904">
      <w:bodyDiv w:val="1"/>
      <w:marLeft w:val="0"/>
      <w:marRight w:val="0"/>
      <w:marTop w:val="0"/>
      <w:marBottom w:val="0"/>
      <w:divBdr>
        <w:top w:val="none" w:sz="0" w:space="0" w:color="auto"/>
        <w:left w:val="none" w:sz="0" w:space="0" w:color="auto"/>
        <w:bottom w:val="none" w:sz="0" w:space="0" w:color="auto"/>
        <w:right w:val="none" w:sz="0" w:space="0" w:color="auto"/>
      </w:divBdr>
    </w:div>
    <w:div w:id="296568772">
      <w:bodyDiv w:val="1"/>
      <w:marLeft w:val="0"/>
      <w:marRight w:val="0"/>
      <w:marTop w:val="0"/>
      <w:marBottom w:val="0"/>
      <w:divBdr>
        <w:top w:val="none" w:sz="0" w:space="0" w:color="auto"/>
        <w:left w:val="none" w:sz="0" w:space="0" w:color="auto"/>
        <w:bottom w:val="none" w:sz="0" w:space="0" w:color="auto"/>
        <w:right w:val="none" w:sz="0" w:space="0" w:color="auto"/>
      </w:divBdr>
      <w:divsChild>
        <w:div w:id="2060704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97416344">
      <w:bodyDiv w:val="1"/>
      <w:marLeft w:val="0"/>
      <w:marRight w:val="0"/>
      <w:marTop w:val="0"/>
      <w:marBottom w:val="0"/>
      <w:divBdr>
        <w:top w:val="none" w:sz="0" w:space="0" w:color="auto"/>
        <w:left w:val="none" w:sz="0" w:space="0" w:color="auto"/>
        <w:bottom w:val="none" w:sz="0" w:space="0" w:color="auto"/>
        <w:right w:val="none" w:sz="0" w:space="0" w:color="auto"/>
      </w:divBdr>
    </w:div>
    <w:div w:id="299893730">
      <w:bodyDiv w:val="1"/>
      <w:marLeft w:val="0"/>
      <w:marRight w:val="0"/>
      <w:marTop w:val="0"/>
      <w:marBottom w:val="0"/>
      <w:divBdr>
        <w:top w:val="none" w:sz="0" w:space="0" w:color="auto"/>
        <w:left w:val="none" w:sz="0" w:space="0" w:color="auto"/>
        <w:bottom w:val="none" w:sz="0" w:space="0" w:color="auto"/>
        <w:right w:val="none" w:sz="0" w:space="0" w:color="auto"/>
      </w:divBdr>
    </w:div>
    <w:div w:id="313334209">
      <w:bodyDiv w:val="1"/>
      <w:marLeft w:val="0"/>
      <w:marRight w:val="0"/>
      <w:marTop w:val="0"/>
      <w:marBottom w:val="0"/>
      <w:divBdr>
        <w:top w:val="none" w:sz="0" w:space="0" w:color="auto"/>
        <w:left w:val="none" w:sz="0" w:space="0" w:color="auto"/>
        <w:bottom w:val="none" w:sz="0" w:space="0" w:color="auto"/>
        <w:right w:val="none" w:sz="0" w:space="0" w:color="auto"/>
      </w:divBdr>
      <w:divsChild>
        <w:div w:id="168566022">
          <w:blockQuote w:val="1"/>
          <w:marLeft w:val="720"/>
          <w:marRight w:val="720"/>
          <w:marTop w:val="100"/>
          <w:marBottom w:val="100"/>
          <w:divBdr>
            <w:top w:val="none" w:sz="0" w:space="0" w:color="auto"/>
            <w:left w:val="none" w:sz="0" w:space="0" w:color="auto"/>
            <w:bottom w:val="none" w:sz="0" w:space="0" w:color="auto"/>
            <w:right w:val="none" w:sz="0" w:space="0" w:color="auto"/>
          </w:divBdr>
        </w:div>
        <w:div w:id="304314438">
          <w:blockQuote w:val="1"/>
          <w:marLeft w:val="720"/>
          <w:marRight w:val="720"/>
          <w:marTop w:val="100"/>
          <w:marBottom w:val="100"/>
          <w:divBdr>
            <w:top w:val="none" w:sz="0" w:space="0" w:color="auto"/>
            <w:left w:val="none" w:sz="0" w:space="0" w:color="auto"/>
            <w:bottom w:val="none" w:sz="0" w:space="0" w:color="auto"/>
            <w:right w:val="none" w:sz="0" w:space="0" w:color="auto"/>
          </w:divBdr>
        </w:div>
        <w:div w:id="1071193493">
          <w:blockQuote w:val="1"/>
          <w:marLeft w:val="720"/>
          <w:marRight w:val="720"/>
          <w:marTop w:val="100"/>
          <w:marBottom w:val="100"/>
          <w:divBdr>
            <w:top w:val="none" w:sz="0" w:space="0" w:color="auto"/>
            <w:left w:val="none" w:sz="0" w:space="0" w:color="auto"/>
            <w:bottom w:val="none" w:sz="0" w:space="0" w:color="auto"/>
            <w:right w:val="none" w:sz="0" w:space="0" w:color="auto"/>
          </w:divBdr>
        </w:div>
        <w:div w:id="11104382">
          <w:blockQuote w:val="1"/>
          <w:marLeft w:val="720"/>
          <w:marRight w:val="720"/>
          <w:marTop w:val="100"/>
          <w:marBottom w:val="100"/>
          <w:divBdr>
            <w:top w:val="none" w:sz="0" w:space="0" w:color="auto"/>
            <w:left w:val="none" w:sz="0" w:space="0" w:color="auto"/>
            <w:bottom w:val="none" w:sz="0" w:space="0" w:color="auto"/>
            <w:right w:val="none" w:sz="0" w:space="0" w:color="auto"/>
          </w:divBdr>
        </w:div>
        <w:div w:id="758407781">
          <w:blockQuote w:val="1"/>
          <w:marLeft w:val="720"/>
          <w:marRight w:val="720"/>
          <w:marTop w:val="100"/>
          <w:marBottom w:val="100"/>
          <w:divBdr>
            <w:top w:val="none" w:sz="0" w:space="0" w:color="auto"/>
            <w:left w:val="none" w:sz="0" w:space="0" w:color="auto"/>
            <w:bottom w:val="none" w:sz="0" w:space="0" w:color="auto"/>
            <w:right w:val="none" w:sz="0" w:space="0" w:color="auto"/>
          </w:divBdr>
        </w:div>
        <w:div w:id="14825728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5694707">
      <w:bodyDiv w:val="1"/>
      <w:marLeft w:val="0"/>
      <w:marRight w:val="0"/>
      <w:marTop w:val="0"/>
      <w:marBottom w:val="0"/>
      <w:divBdr>
        <w:top w:val="none" w:sz="0" w:space="0" w:color="auto"/>
        <w:left w:val="none" w:sz="0" w:space="0" w:color="auto"/>
        <w:bottom w:val="none" w:sz="0" w:space="0" w:color="auto"/>
        <w:right w:val="none" w:sz="0" w:space="0" w:color="auto"/>
      </w:divBdr>
      <w:divsChild>
        <w:div w:id="9939887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9231063">
      <w:bodyDiv w:val="1"/>
      <w:marLeft w:val="0"/>
      <w:marRight w:val="0"/>
      <w:marTop w:val="0"/>
      <w:marBottom w:val="0"/>
      <w:divBdr>
        <w:top w:val="none" w:sz="0" w:space="0" w:color="auto"/>
        <w:left w:val="none" w:sz="0" w:space="0" w:color="auto"/>
        <w:bottom w:val="none" w:sz="0" w:space="0" w:color="auto"/>
        <w:right w:val="none" w:sz="0" w:space="0" w:color="auto"/>
      </w:divBdr>
      <w:divsChild>
        <w:div w:id="16877132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2784589">
      <w:bodyDiv w:val="1"/>
      <w:marLeft w:val="0"/>
      <w:marRight w:val="0"/>
      <w:marTop w:val="0"/>
      <w:marBottom w:val="0"/>
      <w:divBdr>
        <w:top w:val="none" w:sz="0" w:space="0" w:color="auto"/>
        <w:left w:val="none" w:sz="0" w:space="0" w:color="auto"/>
        <w:bottom w:val="none" w:sz="0" w:space="0" w:color="auto"/>
        <w:right w:val="none" w:sz="0" w:space="0" w:color="auto"/>
      </w:divBdr>
      <w:divsChild>
        <w:div w:id="969554235">
          <w:blockQuote w:val="1"/>
          <w:marLeft w:val="720"/>
          <w:marRight w:val="720"/>
          <w:marTop w:val="100"/>
          <w:marBottom w:val="100"/>
          <w:divBdr>
            <w:top w:val="none" w:sz="0" w:space="0" w:color="auto"/>
            <w:left w:val="none" w:sz="0" w:space="0" w:color="auto"/>
            <w:bottom w:val="none" w:sz="0" w:space="0" w:color="auto"/>
            <w:right w:val="none" w:sz="0" w:space="0" w:color="auto"/>
          </w:divBdr>
        </w:div>
        <w:div w:id="700283059">
          <w:blockQuote w:val="1"/>
          <w:marLeft w:val="720"/>
          <w:marRight w:val="720"/>
          <w:marTop w:val="100"/>
          <w:marBottom w:val="100"/>
          <w:divBdr>
            <w:top w:val="none" w:sz="0" w:space="0" w:color="auto"/>
            <w:left w:val="none" w:sz="0" w:space="0" w:color="auto"/>
            <w:bottom w:val="none" w:sz="0" w:space="0" w:color="auto"/>
            <w:right w:val="none" w:sz="0" w:space="0" w:color="auto"/>
          </w:divBdr>
        </w:div>
        <w:div w:id="185289958">
          <w:blockQuote w:val="1"/>
          <w:marLeft w:val="720"/>
          <w:marRight w:val="720"/>
          <w:marTop w:val="100"/>
          <w:marBottom w:val="100"/>
          <w:divBdr>
            <w:top w:val="none" w:sz="0" w:space="0" w:color="auto"/>
            <w:left w:val="none" w:sz="0" w:space="0" w:color="auto"/>
            <w:bottom w:val="none" w:sz="0" w:space="0" w:color="auto"/>
            <w:right w:val="none" w:sz="0" w:space="0" w:color="auto"/>
          </w:divBdr>
        </w:div>
        <w:div w:id="8910389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3345443">
      <w:bodyDiv w:val="1"/>
      <w:marLeft w:val="0"/>
      <w:marRight w:val="0"/>
      <w:marTop w:val="0"/>
      <w:marBottom w:val="0"/>
      <w:divBdr>
        <w:top w:val="none" w:sz="0" w:space="0" w:color="auto"/>
        <w:left w:val="none" w:sz="0" w:space="0" w:color="auto"/>
        <w:bottom w:val="none" w:sz="0" w:space="0" w:color="auto"/>
        <w:right w:val="none" w:sz="0" w:space="0" w:color="auto"/>
      </w:divBdr>
    </w:div>
    <w:div w:id="333460445">
      <w:bodyDiv w:val="1"/>
      <w:marLeft w:val="0"/>
      <w:marRight w:val="0"/>
      <w:marTop w:val="0"/>
      <w:marBottom w:val="0"/>
      <w:divBdr>
        <w:top w:val="none" w:sz="0" w:space="0" w:color="auto"/>
        <w:left w:val="none" w:sz="0" w:space="0" w:color="auto"/>
        <w:bottom w:val="none" w:sz="0" w:space="0" w:color="auto"/>
        <w:right w:val="none" w:sz="0" w:space="0" w:color="auto"/>
      </w:divBdr>
    </w:div>
    <w:div w:id="335352141">
      <w:bodyDiv w:val="1"/>
      <w:marLeft w:val="0"/>
      <w:marRight w:val="0"/>
      <w:marTop w:val="0"/>
      <w:marBottom w:val="0"/>
      <w:divBdr>
        <w:top w:val="none" w:sz="0" w:space="0" w:color="auto"/>
        <w:left w:val="none" w:sz="0" w:space="0" w:color="auto"/>
        <w:bottom w:val="none" w:sz="0" w:space="0" w:color="auto"/>
        <w:right w:val="none" w:sz="0" w:space="0" w:color="auto"/>
      </w:divBdr>
    </w:div>
    <w:div w:id="337316878">
      <w:bodyDiv w:val="1"/>
      <w:marLeft w:val="0"/>
      <w:marRight w:val="0"/>
      <w:marTop w:val="0"/>
      <w:marBottom w:val="0"/>
      <w:divBdr>
        <w:top w:val="none" w:sz="0" w:space="0" w:color="auto"/>
        <w:left w:val="none" w:sz="0" w:space="0" w:color="auto"/>
        <w:bottom w:val="none" w:sz="0" w:space="0" w:color="auto"/>
        <w:right w:val="none" w:sz="0" w:space="0" w:color="auto"/>
      </w:divBdr>
    </w:div>
    <w:div w:id="339087131">
      <w:bodyDiv w:val="1"/>
      <w:marLeft w:val="0"/>
      <w:marRight w:val="0"/>
      <w:marTop w:val="0"/>
      <w:marBottom w:val="0"/>
      <w:divBdr>
        <w:top w:val="none" w:sz="0" w:space="0" w:color="auto"/>
        <w:left w:val="none" w:sz="0" w:space="0" w:color="auto"/>
        <w:bottom w:val="none" w:sz="0" w:space="0" w:color="auto"/>
        <w:right w:val="none" w:sz="0" w:space="0" w:color="auto"/>
      </w:divBdr>
      <w:divsChild>
        <w:div w:id="2594592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41711407">
      <w:bodyDiv w:val="1"/>
      <w:marLeft w:val="0"/>
      <w:marRight w:val="0"/>
      <w:marTop w:val="0"/>
      <w:marBottom w:val="0"/>
      <w:divBdr>
        <w:top w:val="none" w:sz="0" w:space="0" w:color="auto"/>
        <w:left w:val="none" w:sz="0" w:space="0" w:color="auto"/>
        <w:bottom w:val="none" w:sz="0" w:space="0" w:color="auto"/>
        <w:right w:val="none" w:sz="0" w:space="0" w:color="auto"/>
      </w:divBdr>
      <w:divsChild>
        <w:div w:id="1073284633">
          <w:blockQuote w:val="1"/>
          <w:marLeft w:val="720"/>
          <w:marRight w:val="720"/>
          <w:marTop w:val="100"/>
          <w:marBottom w:val="100"/>
          <w:divBdr>
            <w:top w:val="none" w:sz="0" w:space="0" w:color="auto"/>
            <w:left w:val="none" w:sz="0" w:space="0" w:color="auto"/>
            <w:bottom w:val="none" w:sz="0" w:space="0" w:color="auto"/>
            <w:right w:val="none" w:sz="0" w:space="0" w:color="auto"/>
          </w:divBdr>
        </w:div>
        <w:div w:id="537431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52878394">
      <w:bodyDiv w:val="1"/>
      <w:marLeft w:val="0"/>
      <w:marRight w:val="0"/>
      <w:marTop w:val="0"/>
      <w:marBottom w:val="0"/>
      <w:divBdr>
        <w:top w:val="none" w:sz="0" w:space="0" w:color="auto"/>
        <w:left w:val="none" w:sz="0" w:space="0" w:color="auto"/>
        <w:bottom w:val="none" w:sz="0" w:space="0" w:color="auto"/>
        <w:right w:val="none" w:sz="0" w:space="0" w:color="auto"/>
      </w:divBdr>
    </w:div>
    <w:div w:id="359354440">
      <w:bodyDiv w:val="1"/>
      <w:marLeft w:val="0"/>
      <w:marRight w:val="0"/>
      <w:marTop w:val="0"/>
      <w:marBottom w:val="0"/>
      <w:divBdr>
        <w:top w:val="none" w:sz="0" w:space="0" w:color="auto"/>
        <w:left w:val="none" w:sz="0" w:space="0" w:color="auto"/>
        <w:bottom w:val="none" w:sz="0" w:space="0" w:color="auto"/>
        <w:right w:val="none" w:sz="0" w:space="0" w:color="auto"/>
      </w:divBdr>
      <w:divsChild>
        <w:div w:id="1594432940">
          <w:blockQuote w:val="1"/>
          <w:marLeft w:val="720"/>
          <w:marRight w:val="720"/>
          <w:marTop w:val="100"/>
          <w:marBottom w:val="100"/>
          <w:divBdr>
            <w:top w:val="none" w:sz="0" w:space="0" w:color="auto"/>
            <w:left w:val="none" w:sz="0" w:space="0" w:color="auto"/>
            <w:bottom w:val="none" w:sz="0" w:space="0" w:color="auto"/>
            <w:right w:val="none" w:sz="0" w:space="0" w:color="auto"/>
          </w:divBdr>
        </w:div>
        <w:div w:id="2010063538">
          <w:blockQuote w:val="1"/>
          <w:marLeft w:val="720"/>
          <w:marRight w:val="720"/>
          <w:marTop w:val="100"/>
          <w:marBottom w:val="100"/>
          <w:divBdr>
            <w:top w:val="none" w:sz="0" w:space="0" w:color="auto"/>
            <w:left w:val="none" w:sz="0" w:space="0" w:color="auto"/>
            <w:bottom w:val="none" w:sz="0" w:space="0" w:color="auto"/>
            <w:right w:val="none" w:sz="0" w:space="0" w:color="auto"/>
          </w:divBdr>
        </w:div>
        <w:div w:id="231279919">
          <w:blockQuote w:val="1"/>
          <w:marLeft w:val="720"/>
          <w:marRight w:val="720"/>
          <w:marTop w:val="100"/>
          <w:marBottom w:val="100"/>
          <w:divBdr>
            <w:top w:val="none" w:sz="0" w:space="0" w:color="auto"/>
            <w:left w:val="none" w:sz="0" w:space="0" w:color="auto"/>
            <w:bottom w:val="none" w:sz="0" w:space="0" w:color="auto"/>
            <w:right w:val="none" w:sz="0" w:space="0" w:color="auto"/>
          </w:divBdr>
        </w:div>
        <w:div w:id="1574049424">
          <w:blockQuote w:val="1"/>
          <w:marLeft w:val="720"/>
          <w:marRight w:val="720"/>
          <w:marTop w:val="100"/>
          <w:marBottom w:val="100"/>
          <w:divBdr>
            <w:top w:val="none" w:sz="0" w:space="0" w:color="auto"/>
            <w:left w:val="none" w:sz="0" w:space="0" w:color="auto"/>
            <w:bottom w:val="none" w:sz="0" w:space="0" w:color="auto"/>
            <w:right w:val="none" w:sz="0" w:space="0" w:color="auto"/>
          </w:divBdr>
        </w:div>
        <w:div w:id="584612330">
          <w:blockQuote w:val="1"/>
          <w:marLeft w:val="720"/>
          <w:marRight w:val="720"/>
          <w:marTop w:val="100"/>
          <w:marBottom w:val="100"/>
          <w:divBdr>
            <w:top w:val="none" w:sz="0" w:space="0" w:color="auto"/>
            <w:left w:val="none" w:sz="0" w:space="0" w:color="auto"/>
            <w:bottom w:val="none" w:sz="0" w:space="0" w:color="auto"/>
            <w:right w:val="none" w:sz="0" w:space="0" w:color="auto"/>
          </w:divBdr>
        </w:div>
        <w:div w:id="5487605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8998639">
      <w:bodyDiv w:val="1"/>
      <w:marLeft w:val="0"/>
      <w:marRight w:val="0"/>
      <w:marTop w:val="0"/>
      <w:marBottom w:val="0"/>
      <w:divBdr>
        <w:top w:val="none" w:sz="0" w:space="0" w:color="auto"/>
        <w:left w:val="none" w:sz="0" w:space="0" w:color="auto"/>
        <w:bottom w:val="none" w:sz="0" w:space="0" w:color="auto"/>
        <w:right w:val="none" w:sz="0" w:space="0" w:color="auto"/>
      </w:divBdr>
    </w:div>
    <w:div w:id="369232894">
      <w:bodyDiv w:val="1"/>
      <w:marLeft w:val="0"/>
      <w:marRight w:val="0"/>
      <w:marTop w:val="0"/>
      <w:marBottom w:val="0"/>
      <w:divBdr>
        <w:top w:val="none" w:sz="0" w:space="0" w:color="auto"/>
        <w:left w:val="none" w:sz="0" w:space="0" w:color="auto"/>
        <w:bottom w:val="none" w:sz="0" w:space="0" w:color="auto"/>
        <w:right w:val="none" w:sz="0" w:space="0" w:color="auto"/>
      </w:divBdr>
    </w:div>
    <w:div w:id="370611691">
      <w:bodyDiv w:val="1"/>
      <w:marLeft w:val="0"/>
      <w:marRight w:val="0"/>
      <w:marTop w:val="0"/>
      <w:marBottom w:val="0"/>
      <w:divBdr>
        <w:top w:val="none" w:sz="0" w:space="0" w:color="auto"/>
        <w:left w:val="none" w:sz="0" w:space="0" w:color="auto"/>
        <w:bottom w:val="none" w:sz="0" w:space="0" w:color="auto"/>
        <w:right w:val="none" w:sz="0" w:space="0" w:color="auto"/>
      </w:divBdr>
    </w:div>
    <w:div w:id="372466432">
      <w:bodyDiv w:val="1"/>
      <w:marLeft w:val="0"/>
      <w:marRight w:val="0"/>
      <w:marTop w:val="0"/>
      <w:marBottom w:val="0"/>
      <w:divBdr>
        <w:top w:val="none" w:sz="0" w:space="0" w:color="auto"/>
        <w:left w:val="none" w:sz="0" w:space="0" w:color="auto"/>
        <w:bottom w:val="none" w:sz="0" w:space="0" w:color="auto"/>
        <w:right w:val="none" w:sz="0" w:space="0" w:color="auto"/>
      </w:divBdr>
      <w:divsChild>
        <w:div w:id="1577721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0496022">
      <w:bodyDiv w:val="1"/>
      <w:marLeft w:val="0"/>
      <w:marRight w:val="0"/>
      <w:marTop w:val="0"/>
      <w:marBottom w:val="0"/>
      <w:divBdr>
        <w:top w:val="none" w:sz="0" w:space="0" w:color="auto"/>
        <w:left w:val="none" w:sz="0" w:space="0" w:color="auto"/>
        <w:bottom w:val="none" w:sz="0" w:space="0" w:color="auto"/>
        <w:right w:val="none" w:sz="0" w:space="0" w:color="auto"/>
      </w:divBdr>
    </w:div>
    <w:div w:id="392192377">
      <w:bodyDiv w:val="1"/>
      <w:marLeft w:val="0"/>
      <w:marRight w:val="0"/>
      <w:marTop w:val="0"/>
      <w:marBottom w:val="0"/>
      <w:divBdr>
        <w:top w:val="none" w:sz="0" w:space="0" w:color="auto"/>
        <w:left w:val="none" w:sz="0" w:space="0" w:color="auto"/>
        <w:bottom w:val="none" w:sz="0" w:space="0" w:color="auto"/>
        <w:right w:val="none" w:sz="0" w:space="0" w:color="auto"/>
      </w:divBdr>
    </w:div>
    <w:div w:id="392630164">
      <w:bodyDiv w:val="1"/>
      <w:marLeft w:val="0"/>
      <w:marRight w:val="0"/>
      <w:marTop w:val="0"/>
      <w:marBottom w:val="0"/>
      <w:divBdr>
        <w:top w:val="none" w:sz="0" w:space="0" w:color="auto"/>
        <w:left w:val="none" w:sz="0" w:space="0" w:color="auto"/>
        <w:bottom w:val="none" w:sz="0" w:space="0" w:color="auto"/>
        <w:right w:val="none" w:sz="0" w:space="0" w:color="auto"/>
      </w:divBdr>
    </w:div>
    <w:div w:id="397483998">
      <w:bodyDiv w:val="1"/>
      <w:marLeft w:val="0"/>
      <w:marRight w:val="0"/>
      <w:marTop w:val="0"/>
      <w:marBottom w:val="0"/>
      <w:divBdr>
        <w:top w:val="none" w:sz="0" w:space="0" w:color="auto"/>
        <w:left w:val="none" w:sz="0" w:space="0" w:color="auto"/>
        <w:bottom w:val="none" w:sz="0" w:space="0" w:color="auto"/>
        <w:right w:val="none" w:sz="0" w:space="0" w:color="auto"/>
      </w:divBdr>
    </w:div>
    <w:div w:id="398674750">
      <w:bodyDiv w:val="1"/>
      <w:marLeft w:val="0"/>
      <w:marRight w:val="0"/>
      <w:marTop w:val="0"/>
      <w:marBottom w:val="0"/>
      <w:divBdr>
        <w:top w:val="none" w:sz="0" w:space="0" w:color="auto"/>
        <w:left w:val="none" w:sz="0" w:space="0" w:color="auto"/>
        <w:bottom w:val="none" w:sz="0" w:space="0" w:color="auto"/>
        <w:right w:val="none" w:sz="0" w:space="0" w:color="auto"/>
      </w:divBdr>
    </w:div>
    <w:div w:id="399912601">
      <w:bodyDiv w:val="1"/>
      <w:marLeft w:val="0"/>
      <w:marRight w:val="0"/>
      <w:marTop w:val="0"/>
      <w:marBottom w:val="0"/>
      <w:divBdr>
        <w:top w:val="none" w:sz="0" w:space="0" w:color="auto"/>
        <w:left w:val="none" w:sz="0" w:space="0" w:color="auto"/>
        <w:bottom w:val="none" w:sz="0" w:space="0" w:color="auto"/>
        <w:right w:val="none" w:sz="0" w:space="0" w:color="auto"/>
      </w:divBdr>
    </w:div>
    <w:div w:id="406807104">
      <w:bodyDiv w:val="1"/>
      <w:marLeft w:val="0"/>
      <w:marRight w:val="0"/>
      <w:marTop w:val="0"/>
      <w:marBottom w:val="0"/>
      <w:divBdr>
        <w:top w:val="none" w:sz="0" w:space="0" w:color="auto"/>
        <w:left w:val="none" w:sz="0" w:space="0" w:color="auto"/>
        <w:bottom w:val="none" w:sz="0" w:space="0" w:color="auto"/>
        <w:right w:val="none" w:sz="0" w:space="0" w:color="auto"/>
      </w:divBdr>
    </w:div>
    <w:div w:id="410129009">
      <w:bodyDiv w:val="1"/>
      <w:marLeft w:val="0"/>
      <w:marRight w:val="0"/>
      <w:marTop w:val="0"/>
      <w:marBottom w:val="0"/>
      <w:divBdr>
        <w:top w:val="none" w:sz="0" w:space="0" w:color="auto"/>
        <w:left w:val="none" w:sz="0" w:space="0" w:color="auto"/>
        <w:bottom w:val="none" w:sz="0" w:space="0" w:color="auto"/>
        <w:right w:val="none" w:sz="0" w:space="0" w:color="auto"/>
      </w:divBdr>
    </w:div>
    <w:div w:id="414908953">
      <w:bodyDiv w:val="1"/>
      <w:marLeft w:val="0"/>
      <w:marRight w:val="0"/>
      <w:marTop w:val="0"/>
      <w:marBottom w:val="0"/>
      <w:divBdr>
        <w:top w:val="none" w:sz="0" w:space="0" w:color="auto"/>
        <w:left w:val="none" w:sz="0" w:space="0" w:color="auto"/>
        <w:bottom w:val="none" w:sz="0" w:space="0" w:color="auto"/>
        <w:right w:val="none" w:sz="0" w:space="0" w:color="auto"/>
      </w:divBdr>
    </w:div>
    <w:div w:id="420444077">
      <w:bodyDiv w:val="1"/>
      <w:marLeft w:val="0"/>
      <w:marRight w:val="0"/>
      <w:marTop w:val="0"/>
      <w:marBottom w:val="0"/>
      <w:divBdr>
        <w:top w:val="none" w:sz="0" w:space="0" w:color="auto"/>
        <w:left w:val="none" w:sz="0" w:space="0" w:color="auto"/>
        <w:bottom w:val="none" w:sz="0" w:space="0" w:color="auto"/>
        <w:right w:val="none" w:sz="0" w:space="0" w:color="auto"/>
      </w:divBdr>
      <w:divsChild>
        <w:div w:id="1227838014">
          <w:marLeft w:val="0"/>
          <w:marRight w:val="0"/>
          <w:marTop w:val="0"/>
          <w:marBottom w:val="0"/>
          <w:divBdr>
            <w:top w:val="none" w:sz="0" w:space="0" w:color="auto"/>
            <w:left w:val="none" w:sz="0" w:space="0" w:color="auto"/>
            <w:bottom w:val="none" w:sz="0" w:space="0" w:color="auto"/>
            <w:right w:val="none" w:sz="0" w:space="0" w:color="auto"/>
          </w:divBdr>
          <w:divsChild>
            <w:div w:id="1668047257">
              <w:marLeft w:val="0"/>
              <w:marRight w:val="0"/>
              <w:marTop w:val="0"/>
              <w:marBottom w:val="0"/>
              <w:divBdr>
                <w:top w:val="none" w:sz="0" w:space="0" w:color="auto"/>
                <w:left w:val="none" w:sz="0" w:space="0" w:color="auto"/>
                <w:bottom w:val="none" w:sz="0" w:space="0" w:color="auto"/>
                <w:right w:val="none" w:sz="0" w:space="0" w:color="auto"/>
              </w:divBdr>
            </w:div>
          </w:divsChild>
        </w:div>
        <w:div w:id="60718166">
          <w:marLeft w:val="0"/>
          <w:marRight w:val="0"/>
          <w:marTop w:val="0"/>
          <w:marBottom w:val="0"/>
          <w:divBdr>
            <w:top w:val="none" w:sz="0" w:space="0" w:color="auto"/>
            <w:left w:val="none" w:sz="0" w:space="0" w:color="auto"/>
            <w:bottom w:val="none" w:sz="0" w:space="0" w:color="auto"/>
            <w:right w:val="none" w:sz="0" w:space="0" w:color="auto"/>
          </w:divBdr>
          <w:divsChild>
            <w:div w:id="115090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833920">
      <w:bodyDiv w:val="1"/>
      <w:marLeft w:val="0"/>
      <w:marRight w:val="0"/>
      <w:marTop w:val="0"/>
      <w:marBottom w:val="0"/>
      <w:divBdr>
        <w:top w:val="none" w:sz="0" w:space="0" w:color="auto"/>
        <w:left w:val="none" w:sz="0" w:space="0" w:color="auto"/>
        <w:bottom w:val="none" w:sz="0" w:space="0" w:color="auto"/>
        <w:right w:val="none" w:sz="0" w:space="0" w:color="auto"/>
      </w:divBdr>
    </w:div>
    <w:div w:id="426535590">
      <w:bodyDiv w:val="1"/>
      <w:marLeft w:val="0"/>
      <w:marRight w:val="0"/>
      <w:marTop w:val="0"/>
      <w:marBottom w:val="0"/>
      <w:divBdr>
        <w:top w:val="none" w:sz="0" w:space="0" w:color="auto"/>
        <w:left w:val="none" w:sz="0" w:space="0" w:color="auto"/>
        <w:bottom w:val="none" w:sz="0" w:space="0" w:color="auto"/>
        <w:right w:val="none" w:sz="0" w:space="0" w:color="auto"/>
      </w:divBdr>
      <w:divsChild>
        <w:div w:id="212355050">
          <w:blockQuote w:val="1"/>
          <w:marLeft w:val="720"/>
          <w:marRight w:val="720"/>
          <w:marTop w:val="100"/>
          <w:marBottom w:val="100"/>
          <w:divBdr>
            <w:top w:val="none" w:sz="0" w:space="0" w:color="auto"/>
            <w:left w:val="none" w:sz="0" w:space="0" w:color="auto"/>
            <w:bottom w:val="none" w:sz="0" w:space="0" w:color="auto"/>
            <w:right w:val="none" w:sz="0" w:space="0" w:color="auto"/>
          </w:divBdr>
        </w:div>
        <w:div w:id="18076248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2366402">
      <w:bodyDiv w:val="1"/>
      <w:marLeft w:val="0"/>
      <w:marRight w:val="0"/>
      <w:marTop w:val="0"/>
      <w:marBottom w:val="0"/>
      <w:divBdr>
        <w:top w:val="none" w:sz="0" w:space="0" w:color="auto"/>
        <w:left w:val="none" w:sz="0" w:space="0" w:color="auto"/>
        <w:bottom w:val="none" w:sz="0" w:space="0" w:color="auto"/>
        <w:right w:val="none" w:sz="0" w:space="0" w:color="auto"/>
      </w:divBdr>
    </w:div>
    <w:div w:id="440684728">
      <w:bodyDiv w:val="1"/>
      <w:marLeft w:val="0"/>
      <w:marRight w:val="0"/>
      <w:marTop w:val="0"/>
      <w:marBottom w:val="0"/>
      <w:divBdr>
        <w:top w:val="none" w:sz="0" w:space="0" w:color="auto"/>
        <w:left w:val="none" w:sz="0" w:space="0" w:color="auto"/>
        <w:bottom w:val="none" w:sz="0" w:space="0" w:color="auto"/>
        <w:right w:val="none" w:sz="0" w:space="0" w:color="auto"/>
      </w:divBdr>
    </w:div>
    <w:div w:id="443305217">
      <w:bodyDiv w:val="1"/>
      <w:marLeft w:val="0"/>
      <w:marRight w:val="0"/>
      <w:marTop w:val="0"/>
      <w:marBottom w:val="0"/>
      <w:divBdr>
        <w:top w:val="none" w:sz="0" w:space="0" w:color="auto"/>
        <w:left w:val="none" w:sz="0" w:space="0" w:color="auto"/>
        <w:bottom w:val="none" w:sz="0" w:space="0" w:color="auto"/>
        <w:right w:val="none" w:sz="0" w:space="0" w:color="auto"/>
      </w:divBdr>
      <w:divsChild>
        <w:div w:id="1285921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45394055">
      <w:bodyDiv w:val="1"/>
      <w:marLeft w:val="0"/>
      <w:marRight w:val="0"/>
      <w:marTop w:val="0"/>
      <w:marBottom w:val="0"/>
      <w:divBdr>
        <w:top w:val="none" w:sz="0" w:space="0" w:color="auto"/>
        <w:left w:val="none" w:sz="0" w:space="0" w:color="auto"/>
        <w:bottom w:val="none" w:sz="0" w:space="0" w:color="auto"/>
        <w:right w:val="none" w:sz="0" w:space="0" w:color="auto"/>
      </w:divBdr>
      <w:divsChild>
        <w:div w:id="934551936">
          <w:blockQuote w:val="1"/>
          <w:marLeft w:val="720"/>
          <w:marRight w:val="720"/>
          <w:marTop w:val="100"/>
          <w:marBottom w:val="100"/>
          <w:divBdr>
            <w:top w:val="none" w:sz="0" w:space="0" w:color="auto"/>
            <w:left w:val="none" w:sz="0" w:space="0" w:color="auto"/>
            <w:bottom w:val="none" w:sz="0" w:space="0" w:color="auto"/>
            <w:right w:val="none" w:sz="0" w:space="0" w:color="auto"/>
          </w:divBdr>
        </w:div>
        <w:div w:id="11502896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45514194">
      <w:bodyDiv w:val="1"/>
      <w:marLeft w:val="0"/>
      <w:marRight w:val="0"/>
      <w:marTop w:val="0"/>
      <w:marBottom w:val="0"/>
      <w:divBdr>
        <w:top w:val="none" w:sz="0" w:space="0" w:color="auto"/>
        <w:left w:val="none" w:sz="0" w:space="0" w:color="auto"/>
        <w:bottom w:val="none" w:sz="0" w:space="0" w:color="auto"/>
        <w:right w:val="none" w:sz="0" w:space="0" w:color="auto"/>
      </w:divBdr>
    </w:div>
    <w:div w:id="445583948">
      <w:bodyDiv w:val="1"/>
      <w:marLeft w:val="0"/>
      <w:marRight w:val="0"/>
      <w:marTop w:val="0"/>
      <w:marBottom w:val="0"/>
      <w:divBdr>
        <w:top w:val="none" w:sz="0" w:space="0" w:color="auto"/>
        <w:left w:val="none" w:sz="0" w:space="0" w:color="auto"/>
        <w:bottom w:val="none" w:sz="0" w:space="0" w:color="auto"/>
        <w:right w:val="none" w:sz="0" w:space="0" w:color="auto"/>
      </w:divBdr>
    </w:div>
    <w:div w:id="446199153">
      <w:bodyDiv w:val="1"/>
      <w:marLeft w:val="0"/>
      <w:marRight w:val="0"/>
      <w:marTop w:val="0"/>
      <w:marBottom w:val="0"/>
      <w:divBdr>
        <w:top w:val="none" w:sz="0" w:space="0" w:color="auto"/>
        <w:left w:val="none" w:sz="0" w:space="0" w:color="auto"/>
        <w:bottom w:val="none" w:sz="0" w:space="0" w:color="auto"/>
        <w:right w:val="none" w:sz="0" w:space="0" w:color="auto"/>
      </w:divBdr>
    </w:div>
    <w:div w:id="447625606">
      <w:bodyDiv w:val="1"/>
      <w:marLeft w:val="0"/>
      <w:marRight w:val="0"/>
      <w:marTop w:val="0"/>
      <w:marBottom w:val="0"/>
      <w:divBdr>
        <w:top w:val="none" w:sz="0" w:space="0" w:color="auto"/>
        <w:left w:val="none" w:sz="0" w:space="0" w:color="auto"/>
        <w:bottom w:val="none" w:sz="0" w:space="0" w:color="auto"/>
        <w:right w:val="none" w:sz="0" w:space="0" w:color="auto"/>
      </w:divBdr>
    </w:div>
    <w:div w:id="450831109">
      <w:bodyDiv w:val="1"/>
      <w:marLeft w:val="0"/>
      <w:marRight w:val="0"/>
      <w:marTop w:val="0"/>
      <w:marBottom w:val="0"/>
      <w:divBdr>
        <w:top w:val="none" w:sz="0" w:space="0" w:color="auto"/>
        <w:left w:val="none" w:sz="0" w:space="0" w:color="auto"/>
        <w:bottom w:val="none" w:sz="0" w:space="0" w:color="auto"/>
        <w:right w:val="none" w:sz="0" w:space="0" w:color="auto"/>
      </w:divBdr>
    </w:div>
    <w:div w:id="453208716">
      <w:bodyDiv w:val="1"/>
      <w:marLeft w:val="0"/>
      <w:marRight w:val="0"/>
      <w:marTop w:val="0"/>
      <w:marBottom w:val="0"/>
      <w:divBdr>
        <w:top w:val="none" w:sz="0" w:space="0" w:color="auto"/>
        <w:left w:val="none" w:sz="0" w:space="0" w:color="auto"/>
        <w:bottom w:val="none" w:sz="0" w:space="0" w:color="auto"/>
        <w:right w:val="none" w:sz="0" w:space="0" w:color="auto"/>
      </w:divBdr>
    </w:div>
    <w:div w:id="453334529">
      <w:bodyDiv w:val="1"/>
      <w:marLeft w:val="0"/>
      <w:marRight w:val="0"/>
      <w:marTop w:val="0"/>
      <w:marBottom w:val="0"/>
      <w:divBdr>
        <w:top w:val="none" w:sz="0" w:space="0" w:color="auto"/>
        <w:left w:val="none" w:sz="0" w:space="0" w:color="auto"/>
        <w:bottom w:val="none" w:sz="0" w:space="0" w:color="auto"/>
        <w:right w:val="none" w:sz="0" w:space="0" w:color="auto"/>
      </w:divBdr>
      <w:divsChild>
        <w:div w:id="1128864377">
          <w:marLeft w:val="0"/>
          <w:marRight w:val="0"/>
          <w:marTop w:val="0"/>
          <w:marBottom w:val="0"/>
          <w:divBdr>
            <w:top w:val="none" w:sz="0" w:space="0" w:color="auto"/>
            <w:left w:val="none" w:sz="0" w:space="0" w:color="auto"/>
            <w:bottom w:val="none" w:sz="0" w:space="0" w:color="auto"/>
            <w:right w:val="none" w:sz="0" w:space="0" w:color="auto"/>
          </w:divBdr>
        </w:div>
        <w:div w:id="820081926">
          <w:marLeft w:val="0"/>
          <w:marRight w:val="0"/>
          <w:marTop w:val="0"/>
          <w:marBottom w:val="0"/>
          <w:divBdr>
            <w:top w:val="none" w:sz="0" w:space="0" w:color="auto"/>
            <w:left w:val="none" w:sz="0" w:space="0" w:color="auto"/>
            <w:bottom w:val="none" w:sz="0" w:space="0" w:color="auto"/>
            <w:right w:val="none" w:sz="0" w:space="0" w:color="auto"/>
          </w:divBdr>
        </w:div>
        <w:div w:id="504630328">
          <w:marLeft w:val="0"/>
          <w:marRight w:val="0"/>
          <w:marTop w:val="0"/>
          <w:marBottom w:val="0"/>
          <w:divBdr>
            <w:top w:val="none" w:sz="0" w:space="0" w:color="auto"/>
            <w:left w:val="none" w:sz="0" w:space="0" w:color="auto"/>
            <w:bottom w:val="none" w:sz="0" w:space="0" w:color="auto"/>
            <w:right w:val="none" w:sz="0" w:space="0" w:color="auto"/>
          </w:divBdr>
        </w:div>
        <w:div w:id="1103301158">
          <w:marLeft w:val="0"/>
          <w:marRight w:val="0"/>
          <w:marTop w:val="0"/>
          <w:marBottom w:val="0"/>
          <w:divBdr>
            <w:top w:val="none" w:sz="0" w:space="0" w:color="auto"/>
            <w:left w:val="none" w:sz="0" w:space="0" w:color="auto"/>
            <w:bottom w:val="none" w:sz="0" w:space="0" w:color="auto"/>
            <w:right w:val="none" w:sz="0" w:space="0" w:color="auto"/>
          </w:divBdr>
        </w:div>
        <w:div w:id="1269578203">
          <w:marLeft w:val="0"/>
          <w:marRight w:val="0"/>
          <w:marTop w:val="0"/>
          <w:marBottom w:val="0"/>
          <w:divBdr>
            <w:top w:val="none" w:sz="0" w:space="0" w:color="auto"/>
            <w:left w:val="none" w:sz="0" w:space="0" w:color="auto"/>
            <w:bottom w:val="none" w:sz="0" w:space="0" w:color="auto"/>
            <w:right w:val="none" w:sz="0" w:space="0" w:color="auto"/>
          </w:divBdr>
        </w:div>
        <w:div w:id="492138602">
          <w:marLeft w:val="0"/>
          <w:marRight w:val="0"/>
          <w:marTop w:val="0"/>
          <w:marBottom w:val="0"/>
          <w:divBdr>
            <w:top w:val="none" w:sz="0" w:space="0" w:color="auto"/>
            <w:left w:val="none" w:sz="0" w:space="0" w:color="auto"/>
            <w:bottom w:val="none" w:sz="0" w:space="0" w:color="auto"/>
            <w:right w:val="none" w:sz="0" w:space="0" w:color="auto"/>
          </w:divBdr>
        </w:div>
        <w:div w:id="768237584">
          <w:marLeft w:val="0"/>
          <w:marRight w:val="0"/>
          <w:marTop w:val="0"/>
          <w:marBottom w:val="0"/>
          <w:divBdr>
            <w:top w:val="none" w:sz="0" w:space="0" w:color="auto"/>
            <w:left w:val="none" w:sz="0" w:space="0" w:color="auto"/>
            <w:bottom w:val="none" w:sz="0" w:space="0" w:color="auto"/>
            <w:right w:val="none" w:sz="0" w:space="0" w:color="auto"/>
          </w:divBdr>
        </w:div>
        <w:div w:id="1571115855">
          <w:marLeft w:val="0"/>
          <w:marRight w:val="0"/>
          <w:marTop w:val="0"/>
          <w:marBottom w:val="0"/>
          <w:divBdr>
            <w:top w:val="none" w:sz="0" w:space="0" w:color="auto"/>
            <w:left w:val="none" w:sz="0" w:space="0" w:color="auto"/>
            <w:bottom w:val="none" w:sz="0" w:space="0" w:color="auto"/>
            <w:right w:val="none" w:sz="0" w:space="0" w:color="auto"/>
          </w:divBdr>
        </w:div>
      </w:divsChild>
    </w:div>
    <w:div w:id="460999438">
      <w:bodyDiv w:val="1"/>
      <w:marLeft w:val="0"/>
      <w:marRight w:val="0"/>
      <w:marTop w:val="0"/>
      <w:marBottom w:val="0"/>
      <w:divBdr>
        <w:top w:val="none" w:sz="0" w:space="0" w:color="auto"/>
        <w:left w:val="none" w:sz="0" w:space="0" w:color="auto"/>
        <w:bottom w:val="none" w:sz="0" w:space="0" w:color="auto"/>
        <w:right w:val="none" w:sz="0" w:space="0" w:color="auto"/>
      </w:divBdr>
    </w:div>
    <w:div w:id="476259868">
      <w:bodyDiv w:val="1"/>
      <w:marLeft w:val="0"/>
      <w:marRight w:val="0"/>
      <w:marTop w:val="0"/>
      <w:marBottom w:val="0"/>
      <w:divBdr>
        <w:top w:val="none" w:sz="0" w:space="0" w:color="auto"/>
        <w:left w:val="none" w:sz="0" w:space="0" w:color="auto"/>
        <w:bottom w:val="none" w:sz="0" w:space="0" w:color="auto"/>
        <w:right w:val="none" w:sz="0" w:space="0" w:color="auto"/>
      </w:divBdr>
    </w:div>
    <w:div w:id="478308841">
      <w:bodyDiv w:val="1"/>
      <w:marLeft w:val="0"/>
      <w:marRight w:val="0"/>
      <w:marTop w:val="0"/>
      <w:marBottom w:val="0"/>
      <w:divBdr>
        <w:top w:val="none" w:sz="0" w:space="0" w:color="auto"/>
        <w:left w:val="none" w:sz="0" w:space="0" w:color="auto"/>
        <w:bottom w:val="none" w:sz="0" w:space="0" w:color="auto"/>
        <w:right w:val="none" w:sz="0" w:space="0" w:color="auto"/>
      </w:divBdr>
    </w:div>
    <w:div w:id="478810980">
      <w:bodyDiv w:val="1"/>
      <w:marLeft w:val="0"/>
      <w:marRight w:val="0"/>
      <w:marTop w:val="0"/>
      <w:marBottom w:val="0"/>
      <w:divBdr>
        <w:top w:val="none" w:sz="0" w:space="0" w:color="auto"/>
        <w:left w:val="none" w:sz="0" w:space="0" w:color="auto"/>
        <w:bottom w:val="none" w:sz="0" w:space="0" w:color="auto"/>
        <w:right w:val="none" w:sz="0" w:space="0" w:color="auto"/>
      </w:divBdr>
      <w:divsChild>
        <w:div w:id="18903380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2622925">
      <w:bodyDiv w:val="1"/>
      <w:marLeft w:val="0"/>
      <w:marRight w:val="0"/>
      <w:marTop w:val="0"/>
      <w:marBottom w:val="0"/>
      <w:divBdr>
        <w:top w:val="none" w:sz="0" w:space="0" w:color="auto"/>
        <w:left w:val="none" w:sz="0" w:space="0" w:color="auto"/>
        <w:bottom w:val="none" w:sz="0" w:space="0" w:color="auto"/>
        <w:right w:val="none" w:sz="0" w:space="0" w:color="auto"/>
      </w:divBdr>
    </w:div>
    <w:div w:id="482893104">
      <w:bodyDiv w:val="1"/>
      <w:marLeft w:val="0"/>
      <w:marRight w:val="0"/>
      <w:marTop w:val="0"/>
      <w:marBottom w:val="0"/>
      <w:divBdr>
        <w:top w:val="none" w:sz="0" w:space="0" w:color="auto"/>
        <w:left w:val="none" w:sz="0" w:space="0" w:color="auto"/>
        <w:bottom w:val="none" w:sz="0" w:space="0" w:color="auto"/>
        <w:right w:val="none" w:sz="0" w:space="0" w:color="auto"/>
      </w:divBdr>
      <w:divsChild>
        <w:div w:id="11987401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3133434">
      <w:bodyDiv w:val="1"/>
      <w:marLeft w:val="0"/>
      <w:marRight w:val="0"/>
      <w:marTop w:val="0"/>
      <w:marBottom w:val="0"/>
      <w:divBdr>
        <w:top w:val="none" w:sz="0" w:space="0" w:color="auto"/>
        <w:left w:val="none" w:sz="0" w:space="0" w:color="auto"/>
        <w:bottom w:val="none" w:sz="0" w:space="0" w:color="auto"/>
        <w:right w:val="none" w:sz="0" w:space="0" w:color="auto"/>
      </w:divBdr>
    </w:div>
    <w:div w:id="483819478">
      <w:bodyDiv w:val="1"/>
      <w:marLeft w:val="0"/>
      <w:marRight w:val="0"/>
      <w:marTop w:val="0"/>
      <w:marBottom w:val="0"/>
      <w:divBdr>
        <w:top w:val="none" w:sz="0" w:space="0" w:color="auto"/>
        <w:left w:val="none" w:sz="0" w:space="0" w:color="auto"/>
        <w:bottom w:val="none" w:sz="0" w:space="0" w:color="auto"/>
        <w:right w:val="none" w:sz="0" w:space="0" w:color="auto"/>
      </w:divBdr>
    </w:div>
    <w:div w:id="490105392">
      <w:bodyDiv w:val="1"/>
      <w:marLeft w:val="0"/>
      <w:marRight w:val="0"/>
      <w:marTop w:val="0"/>
      <w:marBottom w:val="0"/>
      <w:divBdr>
        <w:top w:val="none" w:sz="0" w:space="0" w:color="auto"/>
        <w:left w:val="none" w:sz="0" w:space="0" w:color="auto"/>
        <w:bottom w:val="none" w:sz="0" w:space="0" w:color="auto"/>
        <w:right w:val="none" w:sz="0" w:space="0" w:color="auto"/>
      </w:divBdr>
    </w:div>
    <w:div w:id="493572090">
      <w:bodyDiv w:val="1"/>
      <w:marLeft w:val="0"/>
      <w:marRight w:val="0"/>
      <w:marTop w:val="0"/>
      <w:marBottom w:val="0"/>
      <w:divBdr>
        <w:top w:val="none" w:sz="0" w:space="0" w:color="auto"/>
        <w:left w:val="none" w:sz="0" w:space="0" w:color="auto"/>
        <w:bottom w:val="none" w:sz="0" w:space="0" w:color="auto"/>
        <w:right w:val="none" w:sz="0" w:space="0" w:color="auto"/>
      </w:divBdr>
      <w:divsChild>
        <w:div w:id="229658226">
          <w:marLeft w:val="0"/>
          <w:marRight w:val="0"/>
          <w:marTop w:val="0"/>
          <w:marBottom w:val="0"/>
          <w:divBdr>
            <w:top w:val="none" w:sz="0" w:space="0" w:color="auto"/>
            <w:left w:val="none" w:sz="0" w:space="0" w:color="auto"/>
            <w:bottom w:val="none" w:sz="0" w:space="0" w:color="auto"/>
            <w:right w:val="none" w:sz="0" w:space="0" w:color="auto"/>
          </w:divBdr>
        </w:div>
      </w:divsChild>
    </w:div>
    <w:div w:id="500196110">
      <w:bodyDiv w:val="1"/>
      <w:marLeft w:val="0"/>
      <w:marRight w:val="0"/>
      <w:marTop w:val="0"/>
      <w:marBottom w:val="0"/>
      <w:divBdr>
        <w:top w:val="none" w:sz="0" w:space="0" w:color="auto"/>
        <w:left w:val="none" w:sz="0" w:space="0" w:color="auto"/>
        <w:bottom w:val="none" w:sz="0" w:space="0" w:color="auto"/>
        <w:right w:val="none" w:sz="0" w:space="0" w:color="auto"/>
      </w:divBdr>
    </w:div>
    <w:div w:id="506794649">
      <w:bodyDiv w:val="1"/>
      <w:marLeft w:val="0"/>
      <w:marRight w:val="0"/>
      <w:marTop w:val="0"/>
      <w:marBottom w:val="0"/>
      <w:divBdr>
        <w:top w:val="none" w:sz="0" w:space="0" w:color="auto"/>
        <w:left w:val="none" w:sz="0" w:space="0" w:color="auto"/>
        <w:bottom w:val="none" w:sz="0" w:space="0" w:color="auto"/>
        <w:right w:val="none" w:sz="0" w:space="0" w:color="auto"/>
      </w:divBdr>
    </w:div>
    <w:div w:id="515774199">
      <w:bodyDiv w:val="1"/>
      <w:marLeft w:val="0"/>
      <w:marRight w:val="0"/>
      <w:marTop w:val="0"/>
      <w:marBottom w:val="0"/>
      <w:divBdr>
        <w:top w:val="none" w:sz="0" w:space="0" w:color="auto"/>
        <w:left w:val="none" w:sz="0" w:space="0" w:color="auto"/>
        <w:bottom w:val="none" w:sz="0" w:space="0" w:color="auto"/>
        <w:right w:val="none" w:sz="0" w:space="0" w:color="auto"/>
      </w:divBdr>
    </w:div>
    <w:div w:id="520627245">
      <w:bodyDiv w:val="1"/>
      <w:marLeft w:val="0"/>
      <w:marRight w:val="0"/>
      <w:marTop w:val="0"/>
      <w:marBottom w:val="0"/>
      <w:divBdr>
        <w:top w:val="none" w:sz="0" w:space="0" w:color="auto"/>
        <w:left w:val="none" w:sz="0" w:space="0" w:color="auto"/>
        <w:bottom w:val="none" w:sz="0" w:space="0" w:color="auto"/>
        <w:right w:val="none" w:sz="0" w:space="0" w:color="auto"/>
      </w:divBdr>
    </w:div>
    <w:div w:id="530070618">
      <w:bodyDiv w:val="1"/>
      <w:marLeft w:val="0"/>
      <w:marRight w:val="0"/>
      <w:marTop w:val="0"/>
      <w:marBottom w:val="0"/>
      <w:divBdr>
        <w:top w:val="none" w:sz="0" w:space="0" w:color="auto"/>
        <w:left w:val="none" w:sz="0" w:space="0" w:color="auto"/>
        <w:bottom w:val="none" w:sz="0" w:space="0" w:color="auto"/>
        <w:right w:val="none" w:sz="0" w:space="0" w:color="auto"/>
      </w:divBdr>
    </w:div>
    <w:div w:id="533422037">
      <w:bodyDiv w:val="1"/>
      <w:marLeft w:val="0"/>
      <w:marRight w:val="0"/>
      <w:marTop w:val="0"/>
      <w:marBottom w:val="0"/>
      <w:divBdr>
        <w:top w:val="none" w:sz="0" w:space="0" w:color="auto"/>
        <w:left w:val="none" w:sz="0" w:space="0" w:color="auto"/>
        <w:bottom w:val="none" w:sz="0" w:space="0" w:color="auto"/>
        <w:right w:val="none" w:sz="0" w:space="0" w:color="auto"/>
      </w:divBdr>
    </w:div>
    <w:div w:id="535581406">
      <w:bodyDiv w:val="1"/>
      <w:marLeft w:val="0"/>
      <w:marRight w:val="0"/>
      <w:marTop w:val="0"/>
      <w:marBottom w:val="0"/>
      <w:divBdr>
        <w:top w:val="none" w:sz="0" w:space="0" w:color="auto"/>
        <w:left w:val="none" w:sz="0" w:space="0" w:color="auto"/>
        <w:bottom w:val="none" w:sz="0" w:space="0" w:color="auto"/>
        <w:right w:val="none" w:sz="0" w:space="0" w:color="auto"/>
      </w:divBdr>
    </w:div>
    <w:div w:id="544372669">
      <w:bodyDiv w:val="1"/>
      <w:marLeft w:val="0"/>
      <w:marRight w:val="0"/>
      <w:marTop w:val="0"/>
      <w:marBottom w:val="0"/>
      <w:divBdr>
        <w:top w:val="none" w:sz="0" w:space="0" w:color="auto"/>
        <w:left w:val="none" w:sz="0" w:space="0" w:color="auto"/>
        <w:bottom w:val="none" w:sz="0" w:space="0" w:color="auto"/>
        <w:right w:val="none" w:sz="0" w:space="0" w:color="auto"/>
      </w:divBdr>
      <w:divsChild>
        <w:div w:id="4334819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5409154">
      <w:bodyDiv w:val="1"/>
      <w:marLeft w:val="0"/>
      <w:marRight w:val="0"/>
      <w:marTop w:val="0"/>
      <w:marBottom w:val="0"/>
      <w:divBdr>
        <w:top w:val="none" w:sz="0" w:space="0" w:color="auto"/>
        <w:left w:val="none" w:sz="0" w:space="0" w:color="auto"/>
        <w:bottom w:val="none" w:sz="0" w:space="0" w:color="auto"/>
        <w:right w:val="none" w:sz="0" w:space="0" w:color="auto"/>
      </w:divBdr>
    </w:div>
    <w:div w:id="566452794">
      <w:bodyDiv w:val="1"/>
      <w:marLeft w:val="0"/>
      <w:marRight w:val="0"/>
      <w:marTop w:val="0"/>
      <w:marBottom w:val="0"/>
      <w:divBdr>
        <w:top w:val="none" w:sz="0" w:space="0" w:color="auto"/>
        <w:left w:val="none" w:sz="0" w:space="0" w:color="auto"/>
        <w:bottom w:val="none" w:sz="0" w:space="0" w:color="auto"/>
        <w:right w:val="none" w:sz="0" w:space="0" w:color="auto"/>
      </w:divBdr>
    </w:div>
    <w:div w:id="568735477">
      <w:bodyDiv w:val="1"/>
      <w:marLeft w:val="0"/>
      <w:marRight w:val="0"/>
      <w:marTop w:val="0"/>
      <w:marBottom w:val="0"/>
      <w:divBdr>
        <w:top w:val="none" w:sz="0" w:space="0" w:color="auto"/>
        <w:left w:val="none" w:sz="0" w:space="0" w:color="auto"/>
        <w:bottom w:val="none" w:sz="0" w:space="0" w:color="auto"/>
        <w:right w:val="none" w:sz="0" w:space="0" w:color="auto"/>
      </w:divBdr>
    </w:div>
    <w:div w:id="575476017">
      <w:bodyDiv w:val="1"/>
      <w:marLeft w:val="0"/>
      <w:marRight w:val="0"/>
      <w:marTop w:val="0"/>
      <w:marBottom w:val="0"/>
      <w:divBdr>
        <w:top w:val="none" w:sz="0" w:space="0" w:color="auto"/>
        <w:left w:val="none" w:sz="0" w:space="0" w:color="auto"/>
        <w:bottom w:val="none" w:sz="0" w:space="0" w:color="auto"/>
        <w:right w:val="none" w:sz="0" w:space="0" w:color="auto"/>
      </w:divBdr>
      <w:divsChild>
        <w:div w:id="1153718269">
          <w:marLeft w:val="0"/>
          <w:marRight w:val="0"/>
          <w:marTop w:val="0"/>
          <w:marBottom w:val="0"/>
          <w:divBdr>
            <w:top w:val="none" w:sz="0" w:space="0" w:color="auto"/>
            <w:left w:val="none" w:sz="0" w:space="0" w:color="auto"/>
            <w:bottom w:val="none" w:sz="0" w:space="0" w:color="auto"/>
            <w:right w:val="none" w:sz="0" w:space="0" w:color="auto"/>
          </w:divBdr>
          <w:divsChild>
            <w:div w:id="49172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936004">
      <w:bodyDiv w:val="1"/>
      <w:marLeft w:val="0"/>
      <w:marRight w:val="0"/>
      <w:marTop w:val="0"/>
      <w:marBottom w:val="0"/>
      <w:divBdr>
        <w:top w:val="none" w:sz="0" w:space="0" w:color="auto"/>
        <w:left w:val="none" w:sz="0" w:space="0" w:color="auto"/>
        <w:bottom w:val="none" w:sz="0" w:space="0" w:color="auto"/>
        <w:right w:val="none" w:sz="0" w:space="0" w:color="auto"/>
      </w:divBdr>
      <w:divsChild>
        <w:div w:id="1286887755">
          <w:marLeft w:val="0"/>
          <w:marRight w:val="0"/>
          <w:marTop w:val="0"/>
          <w:marBottom w:val="0"/>
          <w:divBdr>
            <w:top w:val="none" w:sz="0" w:space="0" w:color="auto"/>
            <w:left w:val="none" w:sz="0" w:space="0" w:color="auto"/>
            <w:bottom w:val="none" w:sz="0" w:space="0" w:color="auto"/>
            <w:right w:val="none" w:sz="0" w:space="0" w:color="auto"/>
          </w:divBdr>
        </w:div>
      </w:divsChild>
    </w:div>
    <w:div w:id="587811176">
      <w:bodyDiv w:val="1"/>
      <w:marLeft w:val="0"/>
      <w:marRight w:val="0"/>
      <w:marTop w:val="0"/>
      <w:marBottom w:val="0"/>
      <w:divBdr>
        <w:top w:val="none" w:sz="0" w:space="0" w:color="auto"/>
        <w:left w:val="none" w:sz="0" w:space="0" w:color="auto"/>
        <w:bottom w:val="none" w:sz="0" w:space="0" w:color="auto"/>
        <w:right w:val="none" w:sz="0" w:space="0" w:color="auto"/>
      </w:divBdr>
    </w:div>
    <w:div w:id="588583315">
      <w:bodyDiv w:val="1"/>
      <w:marLeft w:val="0"/>
      <w:marRight w:val="0"/>
      <w:marTop w:val="0"/>
      <w:marBottom w:val="0"/>
      <w:divBdr>
        <w:top w:val="none" w:sz="0" w:space="0" w:color="auto"/>
        <w:left w:val="none" w:sz="0" w:space="0" w:color="auto"/>
        <w:bottom w:val="none" w:sz="0" w:space="0" w:color="auto"/>
        <w:right w:val="none" w:sz="0" w:space="0" w:color="auto"/>
      </w:divBdr>
    </w:div>
    <w:div w:id="590700826">
      <w:bodyDiv w:val="1"/>
      <w:marLeft w:val="0"/>
      <w:marRight w:val="0"/>
      <w:marTop w:val="0"/>
      <w:marBottom w:val="0"/>
      <w:divBdr>
        <w:top w:val="none" w:sz="0" w:space="0" w:color="auto"/>
        <w:left w:val="none" w:sz="0" w:space="0" w:color="auto"/>
        <w:bottom w:val="none" w:sz="0" w:space="0" w:color="auto"/>
        <w:right w:val="none" w:sz="0" w:space="0" w:color="auto"/>
      </w:divBdr>
    </w:div>
    <w:div w:id="592395302">
      <w:bodyDiv w:val="1"/>
      <w:marLeft w:val="0"/>
      <w:marRight w:val="0"/>
      <w:marTop w:val="0"/>
      <w:marBottom w:val="0"/>
      <w:divBdr>
        <w:top w:val="none" w:sz="0" w:space="0" w:color="auto"/>
        <w:left w:val="none" w:sz="0" w:space="0" w:color="auto"/>
        <w:bottom w:val="none" w:sz="0" w:space="0" w:color="auto"/>
        <w:right w:val="none" w:sz="0" w:space="0" w:color="auto"/>
      </w:divBdr>
    </w:div>
    <w:div w:id="599681636">
      <w:bodyDiv w:val="1"/>
      <w:marLeft w:val="0"/>
      <w:marRight w:val="0"/>
      <w:marTop w:val="0"/>
      <w:marBottom w:val="0"/>
      <w:divBdr>
        <w:top w:val="none" w:sz="0" w:space="0" w:color="auto"/>
        <w:left w:val="none" w:sz="0" w:space="0" w:color="auto"/>
        <w:bottom w:val="none" w:sz="0" w:space="0" w:color="auto"/>
        <w:right w:val="none" w:sz="0" w:space="0" w:color="auto"/>
      </w:divBdr>
    </w:div>
    <w:div w:id="607464929">
      <w:bodyDiv w:val="1"/>
      <w:marLeft w:val="0"/>
      <w:marRight w:val="0"/>
      <w:marTop w:val="0"/>
      <w:marBottom w:val="0"/>
      <w:divBdr>
        <w:top w:val="none" w:sz="0" w:space="0" w:color="auto"/>
        <w:left w:val="none" w:sz="0" w:space="0" w:color="auto"/>
        <w:bottom w:val="none" w:sz="0" w:space="0" w:color="auto"/>
        <w:right w:val="none" w:sz="0" w:space="0" w:color="auto"/>
      </w:divBdr>
    </w:div>
    <w:div w:id="613245491">
      <w:bodyDiv w:val="1"/>
      <w:marLeft w:val="0"/>
      <w:marRight w:val="0"/>
      <w:marTop w:val="0"/>
      <w:marBottom w:val="0"/>
      <w:divBdr>
        <w:top w:val="none" w:sz="0" w:space="0" w:color="auto"/>
        <w:left w:val="none" w:sz="0" w:space="0" w:color="auto"/>
        <w:bottom w:val="none" w:sz="0" w:space="0" w:color="auto"/>
        <w:right w:val="none" w:sz="0" w:space="0" w:color="auto"/>
      </w:divBdr>
    </w:div>
    <w:div w:id="613514847">
      <w:bodyDiv w:val="1"/>
      <w:marLeft w:val="0"/>
      <w:marRight w:val="0"/>
      <w:marTop w:val="0"/>
      <w:marBottom w:val="0"/>
      <w:divBdr>
        <w:top w:val="none" w:sz="0" w:space="0" w:color="auto"/>
        <w:left w:val="none" w:sz="0" w:space="0" w:color="auto"/>
        <w:bottom w:val="none" w:sz="0" w:space="0" w:color="auto"/>
        <w:right w:val="none" w:sz="0" w:space="0" w:color="auto"/>
      </w:divBdr>
    </w:div>
    <w:div w:id="614019463">
      <w:bodyDiv w:val="1"/>
      <w:marLeft w:val="0"/>
      <w:marRight w:val="0"/>
      <w:marTop w:val="0"/>
      <w:marBottom w:val="0"/>
      <w:divBdr>
        <w:top w:val="none" w:sz="0" w:space="0" w:color="auto"/>
        <w:left w:val="none" w:sz="0" w:space="0" w:color="auto"/>
        <w:bottom w:val="none" w:sz="0" w:space="0" w:color="auto"/>
        <w:right w:val="none" w:sz="0" w:space="0" w:color="auto"/>
      </w:divBdr>
    </w:div>
    <w:div w:id="620964277">
      <w:bodyDiv w:val="1"/>
      <w:marLeft w:val="0"/>
      <w:marRight w:val="0"/>
      <w:marTop w:val="0"/>
      <w:marBottom w:val="0"/>
      <w:divBdr>
        <w:top w:val="none" w:sz="0" w:space="0" w:color="auto"/>
        <w:left w:val="none" w:sz="0" w:space="0" w:color="auto"/>
        <w:bottom w:val="none" w:sz="0" w:space="0" w:color="auto"/>
        <w:right w:val="none" w:sz="0" w:space="0" w:color="auto"/>
      </w:divBdr>
    </w:div>
    <w:div w:id="622006213">
      <w:bodyDiv w:val="1"/>
      <w:marLeft w:val="0"/>
      <w:marRight w:val="0"/>
      <w:marTop w:val="0"/>
      <w:marBottom w:val="0"/>
      <w:divBdr>
        <w:top w:val="none" w:sz="0" w:space="0" w:color="auto"/>
        <w:left w:val="none" w:sz="0" w:space="0" w:color="auto"/>
        <w:bottom w:val="none" w:sz="0" w:space="0" w:color="auto"/>
        <w:right w:val="none" w:sz="0" w:space="0" w:color="auto"/>
      </w:divBdr>
    </w:div>
    <w:div w:id="623971815">
      <w:bodyDiv w:val="1"/>
      <w:marLeft w:val="0"/>
      <w:marRight w:val="0"/>
      <w:marTop w:val="0"/>
      <w:marBottom w:val="0"/>
      <w:divBdr>
        <w:top w:val="none" w:sz="0" w:space="0" w:color="auto"/>
        <w:left w:val="none" w:sz="0" w:space="0" w:color="auto"/>
        <w:bottom w:val="none" w:sz="0" w:space="0" w:color="auto"/>
        <w:right w:val="none" w:sz="0" w:space="0" w:color="auto"/>
      </w:divBdr>
    </w:div>
    <w:div w:id="627443275">
      <w:bodyDiv w:val="1"/>
      <w:marLeft w:val="0"/>
      <w:marRight w:val="0"/>
      <w:marTop w:val="0"/>
      <w:marBottom w:val="0"/>
      <w:divBdr>
        <w:top w:val="none" w:sz="0" w:space="0" w:color="auto"/>
        <w:left w:val="none" w:sz="0" w:space="0" w:color="auto"/>
        <w:bottom w:val="none" w:sz="0" w:space="0" w:color="auto"/>
        <w:right w:val="none" w:sz="0" w:space="0" w:color="auto"/>
      </w:divBdr>
    </w:div>
    <w:div w:id="630668285">
      <w:bodyDiv w:val="1"/>
      <w:marLeft w:val="0"/>
      <w:marRight w:val="0"/>
      <w:marTop w:val="0"/>
      <w:marBottom w:val="0"/>
      <w:divBdr>
        <w:top w:val="none" w:sz="0" w:space="0" w:color="auto"/>
        <w:left w:val="none" w:sz="0" w:space="0" w:color="auto"/>
        <w:bottom w:val="none" w:sz="0" w:space="0" w:color="auto"/>
        <w:right w:val="none" w:sz="0" w:space="0" w:color="auto"/>
      </w:divBdr>
    </w:div>
    <w:div w:id="642392080">
      <w:bodyDiv w:val="1"/>
      <w:marLeft w:val="0"/>
      <w:marRight w:val="0"/>
      <w:marTop w:val="0"/>
      <w:marBottom w:val="0"/>
      <w:divBdr>
        <w:top w:val="none" w:sz="0" w:space="0" w:color="auto"/>
        <w:left w:val="none" w:sz="0" w:space="0" w:color="auto"/>
        <w:bottom w:val="none" w:sz="0" w:space="0" w:color="auto"/>
        <w:right w:val="none" w:sz="0" w:space="0" w:color="auto"/>
      </w:divBdr>
      <w:divsChild>
        <w:div w:id="7852716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8025267">
      <w:bodyDiv w:val="1"/>
      <w:marLeft w:val="0"/>
      <w:marRight w:val="0"/>
      <w:marTop w:val="0"/>
      <w:marBottom w:val="0"/>
      <w:divBdr>
        <w:top w:val="none" w:sz="0" w:space="0" w:color="auto"/>
        <w:left w:val="none" w:sz="0" w:space="0" w:color="auto"/>
        <w:bottom w:val="none" w:sz="0" w:space="0" w:color="auto"/>
        <w:right w:val="none" w:sz="0" w:space="0" w:color="auto"/>
      </w:divBdr>
    </w:div>
    <w:div w:id="650868298">
      <w:bodyDiv w:val="1"/>
      <w:marLeft w:val="0"/>
      <w:marRight w:val="0"/>
      <w:marTop w:val="0"/>
      <w:marBottom w:val="0"/>
      <w:divBdr>
        <w:top w:val="none" w:sz="0" w:space="0" w:color="auto"/>
        <w:left w:val="none" w:sz="0" w:space="0" w:color="auto"/>
        <w:bottom w:val="none" w:sz="0" w:space="0" w:color="auto"/>
        <w:right w:val="none" w:sz="0" w:space="0" w:color="auto"/>
      </w:divBdr>
    </w:div>
    <w:div w:id="663361320">
      <w:bodyDiv w:val="1"/>
      <w:marLeft w:val="0"/>
      <w:marRight w:val="0"/>
      <w:marTop w:val="0"/>
      <w:marBottom w:val="0"/>
      <w:divBdr>
        <w:top w:val="none" w:sz="0" w:space="0" w:color="auto"/>
        <w:left w:val="none" w:sz="0" w:space="0" w:color="auto"/>
        <w:bottom w:val="none" w:sz="0" w:space="0" w:color="auto"/>
        <w:right w:val="none" w:sz="0" w:space="0" w:color="auto"/>
      </w:divBdr>
      <w:divsChild>
        <w:div w:id="4145233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8943180">
      <w:bodyDiv w:val="1"/>
      <w:marLeft w:val="0"/>
      <w:marRight w:val="0"/>
      <w:marTop w:val="0"/>
      <w:marBottom w:val="0"/>
      <w:divBdr>
        <w:top w:val="none" w:sz="0" w:space="0" w:color="auto"/>
        <w:left w:val="none" w:sz="0" w:space="0" w:color="auto"/>
        <w:bottom w:val="none" w:sz="0" w:space="0" w:color="auto"/>
        <w:right w:val="none" w:sz="0" w:space="0" w:color="auto"/>
      </w:divBdr>
    </w:div>
    <w:div w:id="670333543">
      <w:bodyDiv w:val="1"/>
      <w:marLeft w:val="0"/>
      <w:marRight w:val="0"/>
      <w:marTop w:val="0"/>
      <w:marBottom w:val="0"/>
      <w:divBdr>
        <w:top w:val="none" w:sz="0" w:space="0" w:color="auto"/>
        <w:left w:val="none" w:sz="0" w:space="0" w:color="auto"/>
        <w:bottom w:val="none" w:sz="0" w:space="0" w:color="auto"/>
        <w:right w:val="none" w:sz="0" w:space="0" w:color="auto"/>
      </w:divBdr>
    </w:div>
    <w:div w:id="673535894">
      <w:bodyDiv w:val="1"/>
      <w:marLeft w:val="0"/>
      <w:marRight w:val="0"/>
      <w:marTop w:val="0"/>
      <w:marBottom w:val="0"/>
      <w:divBdr>
        <w:top w:val="none" w:sz="0" w:space="0" w:color="auto"/>
        <w:left w:val="none" w:sz="0" w:space="0" w:color="auto"/>
        <w:bottom w:val="none" w:sz="0" w:space="0" w:color="auto"/>
        <w:right w:val="none" w:sz="0" w:space="0" w:color="auto"/>
      </w:divBdr>
      <w:divsChild>
        <w:div w:id="834027439">
          <w:marLeft w:val="0"/>
          <w:marRight w:val="0"/>
          <w:marTop w:val="0"/>
          <w:marBottom w:val="0"/>
          <w:divBdr>
            <w:top w:val="none" w:sz="0" w:space="0" w:color="auto"/>
            <w:left w:val="none" w:sz="0" w:space="0" w:color="auto"/>
            <w:bottom w:val="none" w:sz="0" w:space="0" w:color="auto"/>
            <w:right w:val="none" w:sz="0" w:space="0" w:color="auto"/>
          </w:divBdr>
          <w:divsChild>
            <w:div w:id="1400206545">
              <w:blockQuote w:val="1"/>
              <w:marLeft w:val="720"/>
              <w:marRight w:val="720"/>
              <w:marTop w:val="100"/>
              <w:marBottom w:val="100"/>
              <w:divBdr>
                <w:top w:val="none" w:sz="0" w:space="0" w:color="auto"/>
                <w:left w:val="none" w:sz="0" w:space="0" w:color="auto"/>
                <w:bottom w:val="none" w:sz="0" w:space="0" w:color="auto"/>
                <w:right w:val="none" w:sz="0" w:space="0" w:color="auto"/>
              </w:divBdr>
            </w:div>
            <w:div w:id="4753391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13006605">
              <w:blockQuote w:val="1"/>
              <w:marLeft w:val="720"/>
              <w:marRight w:val="720"/>
              <w:marTop w:val="100"/>
              <w:marBottom w:val="100"/>
              <w:divBdr>
                <w:top w:val="none" w:sz="0" w:space="0" w:color="auto"/>
                <w:left w:val="none" w:sz="0" w:space="0" w:color="auto"/>
                <w:bottom w:val="none" w:sz="0" w:space="0" w:color="auto"/>
                <w:right w:val="none" w:sz="0" w:space="0" w:color="auto"/>
              </w:divBdr>
            </w:div>
            <w:div w:id="942372516">
              <w:blockQuote w:val="1"/>
              <w:marLeft w:val="720"/>
              <w:marRight w:val="720"/>
              <w:marTop w:val="100"/>
              <w:marBottom w:val="100"/>
              <w:divBdr>
                <w:top w:val="none" w:sz="0" w:space="0" w:color="auto"/>
                <w:left w:val="none" w:sz="0" w:space="0" w:color="auto"/>
                <w:bottom w:val="none" w:sz="0" w:space="0" w:color="auto"/>
                <w:right w:val="none" w:sz="0" w:space="0" w:color="auto"/>
              </w:divBdr>
            </w:div>
            <w:div w:id="690691287">
              <w:blockQuote w:val="1"/>
              <w:marLeft w:val="720"/>
              <w:marRight w:val="720"/>
              <w:marTop w:val="100"/>
              <w:marBottom w:val="100"/>
              <w:divBdr>
                <w:top w:val="none" w:sz="0" w:space="0" w:color="auto"/>
                <w:left w:val="none" w:sz="0" w:space="0" w:color="auto"/>
                <w:bottom w:val="none" w:sz="0" w:space="0" w:color="auto"/>
                <w:right w:val="none" w:sz="0" w:space="0" w:color="auto"/>
              </w:divBdr>
            </w:div>
            <w:div w:id="17511242">
              <w:blockQuote w:val="1"/>
              <w:marLeft w:val="720"/>
              <w:marRight w:val="720"/>
              <w:marTop w:val="100"/>
              <w:marBottom w:val="100"/>
              <w:divBdr>
                <w:top w:val="none" w:sz="0" w:space="0" w:color="auto"/>
                <w:left w:val="none" w:sz="0" w:space="0" w:color="auto"/>
                <w:bottom w:val="none" w:sz="0" w:space="0" w:color="auto"/>
                <w:right w:val="none" w:sz="0" w:space="0" w:color="auto"/>
              </w:divBdr>
            </w:div>
            <w:div w:id="714742038">
              <w:blockQuote w:val="1"/>
              <w:marLeft w:val="720"/>
              <w:marRight w:val="720"/>
              <w:marTop w:val="100"/>
              <w:marBottom w:val="100"/>
              <w:divBdr>
                <w:top w:val="none" w:sz="0" w:space="0" w:color="auto"/>
                <w:left w:val="none" w:sz="0" w:space="0" w:color="auto"/>
                <w:bottom w:val="none" w:sz="0" w:space="0" w:color="auto"/>
                <w:right w:val="none" w:sz="0" w:space="0" w:color="auto"/>
              </w:divBdr>
            </w:div>
            <w:div w:id="2020503588">
              <w:blockQuote w:val="1"/>
              <w:marLeft w:val="720"/>
              <w:marRight w:val="720"/>
              <w:marTop w:val="100"/>
              <w:marBottom w:val="100"/>
              <w:divBdr>
                <w:top w:val="none" w:sz="0" w:space="0" w:color="auto"/>
                <w:left w:val="none" w:sz="0" w:space="0" w:color="auto"/>
                <w:bottom w:val="none" w:sz="0" w:space="0" w:color="auto"/>
                <w:right w:val="none" w:sz="0" w:space="0" w:color="auto"/>
              </w:divBdr>
            </w:div>
            <w:div w:id="1075014433">
              <w:blockQuote w:val="1"/>
              <w:marLeft w:val="720"/>
              <w:marRight w:val="720"/>
              <w:marTop w:val="100"/>
              <w:marBottom w:val="100"/>
              <w:divBdr>
                <w:top w:val="none" w:sz="0" w:space="0" w:color="auto"/>
                <w:left w:val="none" w:sz="0" w:space="0" w:color="auto"/>
                <w:bottom w:val="none" w:sz="0" w:space="0" w:color="auto"/>
                <w:right w:val="none" w:sz="0" w:space="0" w:color="auto"/>
              </w:divBdr>
            </w:div>
            <w:div w:id="20492584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74770883">
      <w:bodyDiv w:val="1"/>
      <w:marLeft w:val="0"/>
      <w:marRight w:val="0"/>
      <w:marTop w:val="0"/>
      <w:marBottom w:val="0"/>
      <w:divBdr>
        <w:top w:val="none" w:sz="0" w:space="0" w:color="auto"/>
        <w:left w:val="none" w:sz="0" w:space="0" w:color="auto"/>
        <w:bottom w:val="none" w:sz="0" w:space="0" w:color="auto"/>
        <w:right w:val="none" w:sz="0" w:space="0" w:color="auto"/>
      </w:divBdr>
    </w:div>
    <w:div w:id="675886506">
      <w:bodyDiv w:val="1"/>
      <w:marLeft w:val="0"/>
      <w:marRight w:val="0"/>
      <w:marTop w:val="0"/>
      <w:marBottom w:val="0"/>
      <w:divBdr>
        <w:top w:val="none" w:sz="0" w:space="0" w:color="auto"/>
        <w:left w:val="none" w:sz="0" w:space="0" w:color="auto"/>
        <w:bottom w:val="none" w:sz="0" w:space="0" w:color="auto"/>
        <w:right w:val="none" w:sz="0" w:space="0" w:color="auto"/>
      </w:divBdr>
      <w:divsChild>
        <w:div w:id="19794146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78310748">
      <w:bodyDiv w:val="1"/>
      <w:marLeft w:val="0"/>
      <w:marRight w:val="0"/>
      <w:marTop w:val="0"/>
      <w:marBottom w:val="0"/>
      <w:divBdr>
        <w:top w:val="none" w:sz="0" w:space="0" w:color="auto"/>
        <w:left w:val="none" w:sz="0" w:space="0" w:color="auto"/>
        <w:bottom w:val="none" w:sz="0" w:space="0" w:color="auto"/>
        <w:right w:val="none" w:sz="0" w:space="0" w:color="auto"/>
      </w:divBdr>
    </w:div>
    <w:div w:id="679242184">
      <w:bodyDiv w:val="1"/>
      <w:marLeft w:val="0"/>
      <w:marRight w:val="0"/>
      <w:marTop w:val="0"/>
      <w:marBottom w:val="0"/>
      <w:divBdr>
        <w:top w:val="none" w:sz="0" w:space="0" w:color="auto"/>
        <w:left w:val="none" w:sz="0" w:space="0" w:color="auto"/>
        <w:bottom w:val="none" w:sz="0" w:space="0" w:color="auto"/>
        <w:right w:val="none" w:sz="0" w:space="0" w:color="auto"/>
      </w:divBdr>
    </w:div>
    <w:div w:id="680619576">
      <w:bodyDiv w:val="1"/>
      <w:marLeft w:val="0"/>
      <w:marRight w:val="0"/>
      <w:marTop w:val="0"/>
      <w:marBottom w:val="0"/>
      <w:divBdr>
        <w:top w:val="none" w:sz="0" w:space="0" w:color="auto"/>
        <w:left w:val="none" w:sz="0" w:space="0" w:color="auto"/>
        <w:bottom w:val="none" w:sz="0" w:space="0" w:color="auto"/>
        <w:right w:val="none" w:sz="0" w:space="0" w:color="auto"/>
      </w:divBdr>
    </w:div>
    <w:div w:id="683478244">
      <w:bodyDiv w:val="1"/>
      <w:marLeft w:val="0"/>
      <w:marRight w:val="0"/>
      <w:marTop w:val="0"/>
      <w:marBottom w:val="0"/>
      <w:divBdr>
        <w:top w:val="none" w:sz="0" w:space="0" w:color="auto"/>
        <w:left w:val="none" w:sz="0" w:space="0" w:color="auto"/>
        <w:bottom w:val="none" w:sz="0" w:space="0" w:color="auto"/>
        <w:right w:val="none" w:sz="0" w:space="0" w:color="auto"/>
      </w:divBdr>
    </w:div>
    <w:div w:id="697659284">
      <w:bodyDiv w:val="1"/>
      <w:marLeft w:val="0"/>
      <w:marRight w:val="0"/>
      <w:marTop w:val="0"/>
      <w:marBottom w:val="0"/>
      <w:divBdr>
        <w:top w:val="none" w:sz="0" w:space="0" w:color="auto"/>
        <w:left w:val="none" w:sz="0" w:space="0" w:color="auto"/>
        <w:bottom w:val="none" w:sz="0" w:space="0" w:color="auto"/>
        <w:right w:val="none" w:sz="0" w:space="0" w:color="auto"/>
      </w:divBdr>
    </w:div>
    <w:div w:id="699471470">
      <w:bodyDiv w:val="1"/>
      <w:marLeft w:val="0"/>
      <w:marRight w:val="0"/>
      <w:marTop w:val="0"/>
      <w:marBottom w:val="0"/>
      <w:divBdr>
        <w:top w:val="none" w:sz="0" w:space="0" w:color="auto"/>
        <w:left w:val="none" w:sz="0" w:space="0" w:color="auto"/>
        <w:bottom w:val="none" w:sz="0" w:space="0" w:color="auto"/>
        <w:right w:val="none" w:sz="0" w:space="0" w:color="auto"/>
      </w:divBdr>
    </w:div>
    <w:div w:id="702906135">
      <w:bodyDiv w:val="1"/>
      <w:marLeft w:val="0"/>
      <w:marRight w:val="0"/>
      <w:marTop w:val="0"/>
      <w:marBottom w:val="0"/>
      <w:divBdr>
        <w:top w:val="none" w:sz="0" w:space="0" w:color="auto"/>
        <w:left w:val="none" w:sz="0" w:space="0" w:color="auto"/>
        <w:bottom w:val="none" w:sz="0" w:space="0" w:color="auto"/>
        <w:right w:val="none" w:sz="0" w:space="0" w:color="auto"/>
      </w:divBdr>
      <w:divsChild>
        <w:div w:id="535894356">
          <w:blockQuote w:val="1"/>
          <w:marLeft w:val="720"/>
          <w:marRight w:val="720"/>
          <w:marTop w:val="100"/>
          <w:marBottom w:val="100"/>
          <w:divBdr>
            <w:top w:val="none" w:sz="0" w:space="0" w:color="auto"/>
            <w:left w:val="none" w:sz="0" w:space="0" w:color="auto"/>
            <w:bottom w:val="none" w:sz="0" w:space="0" w:color="auto"/>
            <w:right w:val="none" w:sz="0" w:space="0" w:color="auto"/>
          </w:divBdr>
        </w:div>
        <w:div w:id="1007682056">
          <w:blockQuote w:val="1"/>
          <w:marLeft w:val="720"/>
          <w:marRight w:val="720"/>
          <w:marTop w:val="100"/>
          <w:marBottom w:val="100"/>
          <w:divBdr>
            <w:top w:val="none" w:sz="0" w:space="0" w:color="auto"/>
            <w:left w:val="none" w:sz="0" w:space="0" w:color="auto"/>
            <w:bottom w:val="none" w:sz="0" w:space="0" w:color="auto"/>
            <w:right w:val="none" w:sz="0" w:space="0" w:color="auto"/>
          </w:divBdr>
        </w:div>
        <w:div w:id="2069958153">
          <w:blockQuote w:val="1"/>
          <w:marLeft w:val="720"/>
          <w:marRight w:val="720"/>
          <w:marTop w:val="100"/>
          <w:marBottom w:val="100"/>
          <w:divBdr>
            <w:top w:val="none" w:sz="0" w:space="0" w:color="auto"/>
            <w:left w:val="none" w:sz="0" w:space="0" w:color="auto"/>
            <w:bottom w:val="none" w:sz="0" w:space="0" w:color="auto"/>
            <w:right w:val="none" w:sz="0" w:space="0" w:color="auto"/>
          </w:divBdr>
        </w:div>
        <w:div w:id="2111273802">
          <w:blockQuote w:val="1"/>
          <w:marLeft w:val="720"/>
          <w:marRight w:val="720"/>
          <w:marTop w:val="100"/>
          <w:marBottom w:val="100"/>
          <w:divBdr>
            <w:top w:val="none" w:sz="0" w:space="0" w:color="auto"/>
            <w:left w:val="none" w:sz="0" w:space="0" w:color="auto"/>
            <w:bottom w:val="none" w:sz="0" w:space="0" w:color="auto"/>
            <w:right w:val="none" w:sz="0" w:space="0" w:color="auto"/>
          </w:divBdr>
        </w:div>
        <w:div w:id="1997873233">
          <w:blockQuote w:val="1"/>
          <w:marLeft w:val="720"/>
          <w:marRight w:val="720"/>
          <w:marTop w:val="100"/>
          <w:marBottom w:val="100"/>
          <w:divBdr>
            <w:top w:val="none" w:sz="0" w:space="0" w:color="auto"/>
            <w:left w:val="none" w:sz="0" w:space="0" w:color="auto"/>
            <w:bottom w:val="none" w:sz="0" w:space="0" w:color="auto"/>
            <w:right w:val="none" w:sz="0" w:space="0" w:color="auto"/>
          </w:divBdr>
        </w:div>
        <w:div w:id="1309238992">
          <w:blockQuote w:val="1"/>
          <w:marLeft w:val="720"/>
          <w:marRight w:val="720"/>
          <w:marTop w:val="100"/>
          <w:marBottom w:val="100"/>
          <w:divBdr>
            <w:top w:val="none" w:sz="0" w:space="0" w:color="auto"/>
            <w:left w:val="none" w:sz="0" w:space="0" w:color="auto"/>
            <w:bottom w:val="none" w:sz="0" w:space="0" w:color="auto"/>
            <w:right w:val="none" w:sz="0" w:space="0" w:color="auto"/>
          </w:divBdr>
        </w:div>
        <w:div w:id="1492217412">
          <w:blockQuote w:val="1"/>
          <w:marLeft w:val="720"/>
          <w:marRight w:val="720"/>
          <w:marTop w:val="100"/>
          <w:marBottom w:val="100"/>
          <w:divBdr>
            <w:top w:val="none" w:sz="0" w:space="0" w:color="auto"/>
            <w:left w:val="none" w:sz="0" w:space="0" w:color="auto"/>
            <w:bottom w:val="none" w:sz="0" w:space="0" w:color="auto"/>
            <w:right w:val="none" w:sz="0" w:space="0" w:color="auto"/>
          </w:divBdr>
        </w:div>
        <w:div w:id="1547795857">
          <w:blockQuote w:val="1"/>
          <w:marLeft w:val="720"/>
          <w:marRight w:val="720"/>
          <w:marTop w:val="100"/>
          <w:marBottom w:val="100"/>
          <w:divBdr>
            <w:top w:val="none" w:sz="0" w:space="0" w:color="auto"/>
            <w:left w:val="none" w:sz="0" w:space="0" w:color="auto"/>
            <w:bottom w:val="none" w:sz="0" w:space="0" w:color="auto"/>
            <w:right w:val="none" w:sz="0" w:space="0" w:color="auto"/>
          </w:divBdr>
        </w:div>
        <w:div w:id="1471169207">
          <w:blockQuote w:val="1"/>
          <w:marLeft w:val="720"/>
          <w:marRight w:val="720"/>
          <w:marTop w:val="100"/>
          <w:marBottom w:val="100"/>
          <w:divBdr>
            <w:top w:val="none" w:sz="0" w:space="0" w:color="auto"/>
            <w:left w:val="none" w:sz="0" w:space="0" w:color="auto"/>
            <w:bottom w:val="none" w:sz="0" w:space="0" w:color="auto"/>
            <w:right w:val="none" w:sz="0" w:space="0" w:color="auto"/>
          </w:divBdr>
        </w:div>
        <w:div w:id="260914215">
          <w:blockQuote w:val="1"/>
          <w:marLeft w:val="720"/>
          <w:marRight w:val="720"/>
          <w:marTop w:val="100"/>
          <w:marBottom w:val="100"/>
          <w:divBdr>
            <w:top w:val="none" w:sz="0" w:space="0" w:color="auto"/>
            <w:left w:val="none" w:sz="0" w:space="0" w:color="auto"/>
            <w:bottom w:val="none" w:sz="0" w:space="0" w:color="auto"/>
            <w:right w:val="none" w:sz="0" w:space="0" w:color="auto"/>
          </w:divBdr>
        </w:div>
        <w:div w:id="1100024752">
          <w:blockQuote w:val="1"/>
          <w:marLeft w:val="720"/>
          <w:marRight w:val="720"/>
          <w:marTop w:val="100"/>
          <w:marBottom w:val="100"/>
          <w:divBdr>
            <w:top w:val="none" w:sz="0" w:space="0" w:color="auto"/>
            <w:left w:val="none" w:sz="0" w:space="0" w:color="auto"/>
            <w:bottom w:val="none" w:sz="0" w:space="0" w:color="auto"/>
            <w:right w:val="none" w:sz="0" w:space="0" w:color="auto"/>
          </w:divBdr>
        </w:div>
        <w:div w:id="1751586632">
          <w:blockQuote w:val="1"/>
          <w:marLeft w:val="720"/>
          <w:marRight w:val="720"/>
          <w:marTop w:val="100"/>
          <w:marBottom w:val="100"/>
          <w:divBdr>
            <w:top w:val="none" w:sz="0" w:space="0" w:color="auto"/>
            <w:left w:val="none" w:sz="0" w:space="0" w:color="auto"/>
            <w:bottom w:val="none" w:sz="0" w:space="0" w:color="auto"/>
            <w:right w:val="none" w:sz="0" w:space="0" w:color="auto"/>
          </w:divBdr>
        </w:div>
        <w:div w:id="1124075830">
          <w:blockQuote w:val="1"/>
          <w:marLeft w:val="720"/>
          <w:marRight w:val="720"/>
          <w:marTop w:val="100"/>
          <w:marBottom w:val="100"/>
          <w:divBdr>
            <w:top w:val="none" w:sz="0" w:space="0" w:color="auto"/>
            <w:left w:val="none" w:sz="0" w:space="0" w:color="auto"/>
            <w:bottom w:val="none" w:sz="0" w:space="0" w:color="auto"/>
            <w:right w:val="none" w:sz="0" w:space="0" w:color="auto"/>
          </w:divBdr>
        </w:div>
        <w:div w:id="159528438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48085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9459099">
      <w:bodyDiv w:val="1"/>
      <w:marLeft w:val="0"/>
      <w:marRight w:val="0"/>
      <w:marTop w:val="0"/>
      <w:marBottom w:val="0"/>
      <w:divBdr>
        <w:top w:val="none" w:sz="0" w:space="0" w:color="auto"/>
        <w:left w:val="none" w:sz="0" w:space="0" w:color="auto"/>
        <w:bottom w:val="none" w:sz="0" w:space="0" w:color="auto"/>
        <w:right w:val="none" w:sz="0" w:space="0" w:color="auto"/>
      </w:divBdr>
    </w:div>
    <w:div w:id="715549755">
      <w:bodyDiv w:val="1"/>
      <w:marLeft w:val="0"/>
      <w:marRight w:val="0"/>
      <w:marTop w:val="0"/>
      <w:marBottom w:val="0"/>
      <w:divBdr>
        <w:top w:val="none" w:sz="0" w:space="0" w:color="auto"/>
        <w:left w:val="none" w:sz="0" w:space="0" w:color="auto"/>
        <w:bottom w:val="none" w:sz="0" w:space="0" w:color="auto"/>
        <w:right w:val="none" w:sz="0" w:space="0" w:color="auto"/>
      </w:divBdr>
    </w:div>
    <w:div w:id="719062709">
      <w:bodyDiv w:val="1"/>
      <w:marLeft w:val="0"/>
      <w:marRight w:val="0"/>
      <w:marTop w:val="0"/>
      <w:marBottom w:val="0"/>
      <w:divBdr>
        <w:top w:val="none" w:sz="0" w:space="0" w:color="auto"/>
        <w:left w:val="none" w:sz="0" w:space="0" w:color="auto"/>
        <w:bottom w:val="none" w:sz="0" w:space="0" w:color="auto"/>
        <w:right w:val="none" w:sz="0" w:space="0" w:color="auto"/>
      </w:divBdr>
    </w:div>
    <w:div w:id="724107869">
      <w:bodyDiv w:val="1"/>
      <w:marLeft w:val="0"/>
      <w:marRight w:val="0"/>
      <w:marTop w:val="0"/>
      <w:marBottom w:val="0"/>
      <w:divBdr>
        <w:top w:val="none" w:sz="0" w:space="0" w:color="auto"/>
        <w:left w:val="none" w:sz="0" w:space="0" w:color="auto"/>
        <w:bottom w:val="none" w:sz="0" w:space="0" w:color="auto"/>
        <w:right w:val="none" w:sz="0" w:space="0" w:color="auto"/>
      </w:divBdr>
    </w:div>
    <w:div w:id="728264700">
      <w:bodyDiv w:val="1"/>
      <w:marLeft w:val="0"/>
      <w:marRight w:val="0"/>
      <w:marTop w:val="0"/>
      <w:marBottom w:val="0"/>
      <w:divBdr>
        <w:top w:val="none" w:sz="0" w:space="0" w:color="auto"/>
        <w:left w:val="none" w:sz="0" w:space="0" w:color="auto"/>
        <w:bottom w:val="none" w:sz="0" w:space="0" w:color="auto"/>
        <w:right w:val="none" w:sz="0" w:space="0" w:color="auto"/>
      </w:divBdr>
    </w:div>
    <w:div w:id="728312198">
      <w:bodyDiv w:val="1"/>
      <w:marLeft w:val="0"/>
      <w:marRight w:val="0"/>
      <w:marTop w:val="0"/>
      <w:marBottom w:val="0"/>
      <w:divBdr>
        <w:top w:val="none" w:sz="0" w:space="0" w:color="auto"/>
        <w:left w:val="none" w:sz="0" w:space="0" w:color="auto"/>
        <w:bottom w:val="none" w:sz="0" w:space="0" w:color="auto"/>
        <w:right w:val="none" w:sz="0" w:space="0" w:color="auto"/>
      </w:divBdr>
    </w:div>
    <w:div w:id="731536301">
      <w:bodyDiv w:val="1"/>
      <w:marLeft w:val="0"/>
      <w:marRight w:val="0"/>
      <w:marTop w:val="0"/>
      <w:marBottom w:val="0"/>
      <w:divBdr>
        <w:top w:val="none" w:sz="0" w:space="0" w:color="auto"/>
        <w:left w:val="none" w:sz="0" w:space="0" w:color="auto"/>
        <w:bottom w:val="none" w:sz="0" w:space="0" w:color="auto"/>
        <w:right w:val="none" w:sz="0" w:space="0" w:color="auto"/>
      </w:divBdr>
    </w:div>
    <w:div w:id="749426171">
      <w:bodyDiv w:val="1"/>
      <w:marLeft w:val="0"/>
      <w:marRight w:val="0"/>
      <w:marTop w:val="0"/>
      <w:marBottom w:val="0"/>
      <w:divBdr>
        <w:top w:val="none" w:sz="0" w:space="0" w:color="auto"/>
        <w:left w:val="none" w:sz="0" w:space="0" w:color="auto"/>
        <w:bottom w:val="none" w:sz="0" w:space="0" w:color="auto"/>
        <w:right w:val="none" w:sz="0" w:space="0" w:color="auto"/>
      </w:divBdr>
      <w:divsChild>
        <w:div w:id="4619209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0737421">
      <w:bodyDiv w:val="1"/>
      <w:marLeft w:val="0"/>
      <w:marRight w:val="0"/>
      <w:marTop w:val="0"/>
      <w:marBottom w:val="0"/>
      <w:divBdr>
        <w:top w:val="none" w:sz="0" w:space="0" w:color="auto"/>
        <w:left w:val="none" w:sz="0" w:space="0" w:color="auto"/>
        <w:bottom w:val="none" w:sz="0" w:space="0" w:color="auto"/>
        <w:right w:val="none" w:sz="0" w:space="0" w:color="auto"/>
      </w:divBdr>
    </w:div>
    <w:div w:id="753088057">
      <w:bodyDiv w:val="1"/>
      <w:marLeft w:val="0"/>
      <w:marRight w:val="0"/>
      <w:marTop w:val="0"/>
      <w:marBottom w:val="0"/>
      <w:divBdr>
        <w:top w:val="none" w:sz="0" w:space="0" w:color="auto"/>
        <w:left w:val="none" w:sz="0" w:space="0" w:color="auto"/>
        <w:bottom w:val="none" w:sz="0" w:space="0" w:color="auto"/>
        <w:right w:val="none" w:sz="0" w:space="0" w:color="auto"/>
      </w:divBdr>
    </w:div>
    <w:div w:id="754934136">
      <w:bodyDiv w:val="1"/>
      <w:marLeft w:val="0"/>
      <w:marRight w:val="0"/>
      <w:marTop w:val="0"/>
      <w:marBottom w:val="0"/>
      <w:divBdr>
        <w:top w:val="none" w:sz="0" w:space="0" w:color="auto"/>
        <w:left w:val="none" w:sz="0" w:space="0" w:color="auto"/>
        <w:bottom w:val="none" w:sz="0" w:space="0" w:color="auto"/>
        <w:right w:val="none" w:sz="0" w:space="0" w:color="auto"/>
      </w:divBdr>
      <w:divsChild>
        <w:div w:id="11914505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1534301">
      <w:bodyDiv w:val="1"/>
      <w:marLeft w:val="0"/>
      <w:marRight w:val="0"/>
      <w:marTop w:val="0"/>
      <w:marBottom w:val="0"/>
      <w:divBdr>
        <w:top w:val="none" w:sz="0" w:space="0" w:color="auto"/>
        <w:left w:val="none" w:sz="0" w:space="0" w:color="auto"/>
        <w:bottom w:val="none" w:sz="0" w:space="0" w:color="auto"/>
        <w:right w:val="none" w:sz="0" w:space="0" w:color="auto"/>
      </w:divBdr>
    </w:div>
    <w:div w:id="764302328">
      <w:bodyDiv w:val="1"/>
      <w:marLeft w:val="0"/>
      <w:marRight w:val="0"/>
      <w:marTop w:val="0"/>
      <w:marBottom w:val="0"/>
      <w:divBdr>
        <w:top w:val="none" w:sz="0" w:space="0" w:color="auto"/>
        <w:left w:val="none" w:sz="0" w:space="0" w:color="auto"/>
        <w:bottom w:val="none" w:sz="0" w:space="0" w:color="auto"/>
        <w:right w:val="none" w:sz="0" w:space="0" w:color="auto"/>
      </w:divBdr>
    </w:div>
    <w:div w:id="766313805">
      <w:bodyDiv w:val="1"/>
      <w:marLeft w:val="0"/>
      <w:marRight w:val="0"/>
      <w:marTop w:val="0"/>
      <w:marBottom w:val="0"/>
      <w:divBdr>
        <w:top w:val="none" w:sz="0" w:space="0" w:color="auto"/>
        <w:left w:val="none" w:sz="0" w:space="0" w:color="auto"/>
        <w:bottom w:val="none" w:sz="0" w:space="0" w:color="auto"/>
        <w:right w:val="none" w:sz="0" w:space="0" w:color="auto"/>
      </w:divBdr>
    </w:div>
    <w:div w:id="771440962">
      <w:bodyDiv w:val="1"/>
      <w:marLeft w:val="0"/>
      <w:marRight w:val="0"/>
      <w:marTop w:val="0"/>
      <w:marBottom w:val="0"/>
      <w:divBdr>
        <w:top w:val="none" w:sz="0" w:space="0" w:color="auto"/>
        <w:left w:val="none" w:sz="0" w:space="0" w:color="auto"/>
        <w:bottom w:val="none" w:sz="0" w:space="0" w:color="auto"/>
        <w:right w:val="none" w:sz="0" w:space="0" w:color="auto"/>
      </w:divBdr>
    </w:div>
    <w:div w:id="778909220">
      <w:bodyDiv w:val="1"/>
      <w:marLeft w:val="0"/>
      <w:marRight w:val="0"/>
      <w:marTop w:val="0"/>
      <w:marBottom w:val="0"/>
      <w:divBdr>
        <w:top w:val="none" w:sz="0" w:space="0" w:color="auto"/>
        <w:left w:val="none" w:sz="0" w:space="0" w:color="auto"/>
        <w:bottom w:val="none" w:sz="0" w:space="0" w:color="auto"/>
        <w:right w:val="none" w:sz="0" w:space="0" w:color="auto"/>
      </w:divBdr>
    </w:div>
    <w:div w:id="787510594">
      <w:bodyDiv w:val="1"/>
      <w:marLeft w:val="0"/>
      <w:marRight w:val="0"/>
      <w:marTop w:val="0"/>
      <w:marBottom w:val="0"/>
      <w:divBdr>
        <w:top w:val="none" w:sz="0" w:space="0" w:color="auto"/>
        <w:left w:val="none" w:sz="0" w:space="0" w:color="auto"/>
        <w:bottom w:val="none" w:sz="0" w:space="0" w:color="auto"/>
        <w:right w:val="none" w:sz="0" w:space="0" w:color="auto"/>
      </w:divBdr>
    </w:div>
    <w:div w:id="788666617">
      <w:bodyDiv w:val="1"/>
      <w:marLeft w:val="0"/>
      <w:marRight w:val="0"/>
      <w:marTop w:val="0"/>
      <w:marBottom w:val="0"/>
      <w:divBdr>
        <w:top w:val="none" w:sz="0" w:space="0" w:color="auto"/>
        <w:left w:val="none" w:sz="0" w:space="0" w:color="auto"/>
        <w:bottom w:val="none" w:sz="0" w:space="0" w:color="auto"/>
        <w:right w:val="none" w:sz="0" w:space="0" w:color="auto"/>
      </w:divBdr>
    </w:div>
    <w:div w:id="788668014">
      <w:bodyDiv w:val="1"/>
      <w:marLeft w:val="0"/>
      <w:marRight w:val="0"/>
      <w:marTop w:val="0"/>
      <w:marBottom w:val="0"/>
      <w:divBdr>
        <w:top w:val="none" w:sz="0" w:space="0" w:color="auto"/>
        <w:left w:val="none" w:sz="0" w:space="0" w:color="auto"/>
        <w:bottom w:val="none" w:sz="0" w:space="0" w:color="auto"/>
        <w:right w:val="none" w:sz="0" w:space="0" w:color="auto"/>
      </w:divBdr>
    </w:div>
    <w:div w:id="790705697">
      <w:bodyDiv w:val="1"/>
      <w:marLeft w:val="0"/>
      <w:marRight w:val="0"/>
      <w:marTop w:val="0"/>
      <w:marBottom w:val="0"/>
      <w:divBdr>
        <w:top w:val="none" w:sz="0" w:space="0" w:color="auto"/>
        <w:left w:val="none" w:sz="0" w:space="0" w:color="auto"/>
        <w:bottom w:val="none" w:sz="0" w:space="0" w:color="auto"/>
        <w:right w:val="none" w:sz="0" w:space="0" w:color="auto"/>
      </w:divBdr>
    </w:div>
    <w:div w:id="795491067">
      <w:bodyDiv w:val="1"/>
      <w:marLeft w:val="0"/>
      <w:marRight w:val="0"/>
      <w:marTop w:val="0"/>
      <w:marBottom w:val="0"/>
      <w:divBdr>
        <w:top w:val="none" w:sz="0" w:space="0" w:color="auto"/>
        <w:left w:val="none" w:sz="0" w:space="0" w:color="auto"/>
        <w:bottom w:val="none" w:sz="0" w:space="0" w:color="auto"/>
        <w:right w:val="none" w:sz="0" w:space="0" w:color="auto"/>
      </w:divBdr>
    </w:div>
    <w:div w:id="796292757">
      <w:bodyDiv w:val="1"/>
      <w:marLeft w:val="0"/>
      <w:marRight w:val="0"/>
      <w:marTop w:val="0"/>
      <w:marBottom w:val="0"/>
      <w:divBdr>
        <w:top w:val="none" w:sz="0" w:space="0" w:color="auto"/>
        <w:left w:val="none" w:sz="0" w:space="0" w:color="auto"/>
        <w:bottom w:val="none" w:sz="0" w:space="0" w:color="auto"/>
        <w:right w:val="none" w:sz="0" w:space="0" w:color="auto"/>
      </w:divBdr>
    </w:div>
    <w:div w:id="800221716">
      <w:bodyDiv w:val="1"/>
      <w:marLeft w:val="0"/>
      <w:marRight w:val="0"/>
      <w:marTop w:val="0"/>
      <w:marBottom w:val="0"/>
      <w:divBdr>
        <w:top w:val="none" w:sz="0" w:space="0" w:color="auto"/>
        <w:left w:val="none" w:sz="0" w:space="0" w:color="auto"/>
        <w:bottom w:val="none" w:sz="0" w:space="0" w:color="auto"/>
        <w:right w:val="none" w:sz="0" w:space="0" w:color="auto"/>
      </w:divBdr>
    </w:div>
    <w:div w:id="802191116">
      <w:bodyDiv w:val="1"/>
      <w:marLeft w:val="0"/>
      <w:marRight w:val="0"/>
      <w:marTop w:val="0"/>
      <w:marBottom w:val="0"/>
      <w:divBdr>
        <w:top w:val="none" w:sz="0" w:space="0" w:color="auto"/>
        <w:left w:val="none" w:sz="0" w:space="0" w:color="auto"/>
        <w:bottom w:val="none" w:sz="0" w:space="0" w:color="auto"/>
        <w:right w:val="none" w:sz="0" w:space="0" w:color="auto"/>
      </w:divBdr>
    </w:div>
    <w:div w:id="818613599">
      <w:bodyDiv w:val="1"/>
      <w:marLeft w:val="0"/>
      <w:marRight w:val="0"/>
      <w:marTop w:val="0"/>
      <w:marBottom w:val="0"/>
      <w:divBdr>
        <w:top w:val="none" w:sz="0" w:space="0" w:color="auto"/>
        <w:left w:val="none" w:sz="0" w:space="0" w:color="auto"/>
        <w:bottom w:val="none" w:sz="0" w:space="0" w:color="auto"/>
        <w:right w:val="none" w:sz="0" w:space="0" w:color="auto"/>
      </w:divBdr>
      <w:divsChild>
        <w:div w:id="1613433648">
          <w:marLeft w:val="0"/>
          <w:marRight w:val="0"/>
          <w:marTop w:val="0"/>
          <w:marBottom w:val="0"/>
          <w:divBdr>
            <w:top w:val="none" w:sz="0" w:space="0" w:color="auto"/>
            <w:left w:val="none" w:sz="0" w:space="0" w:color="auto"/>
            <w:bottom w:val="none" w:sz="0" w:space="0" w:color="auto"/>
            <w:right w:val="none" w:sz="0" w:space="0" w:color="auto"/>
          </w:divBdr>
          <w:divsChild>
            <w:div w:id="473108723">
              <w:blockQuote w:val="1"/>
              <w:marLeft w:val="720"/>
              <w:marRight w:val="720"/>
              <w:marTop w:val="100"/>
              <w:marBottom w:val="100"/>
              <w:divBdr>
                <w:top w:val="none" w:sz="0" w:space="0" w:color="auto"/>
                <w:left w:val="none" w:sz="0" w:space="0" w:color="auto"/>
                <w:bottom w:val="none" w:sz="0" w:space="0" w:color="auto"/>
                <w:right w:val="none" w:sz="0" w:space="0" w:color="auto"/>
              </w:divBdr>
            </w:div>
            <w:div w:id="1333600903">
              <w:blockQuote w:val="1"/>
              <w:marLeft w:val="720"/>
              <w:marRight w:val="720"/>
              <w:marTop w:val="100"/>
              <w:marBottom w:val="100"/>
              <w:divBdr>
                <w:top w:val="none" w:sz="0" w:space="0" w:color="auto"/>
                <w:left w:val="none" w:sz="0" w:space="0" w:color="auto"/>
                <w:bottom w:val="none" w:sz="0" w:space="0" w:color="auto"/>
                <w:right w:val="none" w:sz="0" w:space="0" w:color="auto"/>
              </w:divBdr>
            </w:div>
            <w:div w:id="387345969">
              <w:blockQuote w:val="1"/>
              <w:marLeft w:val="720"/>
              <w:marRight w:val="720"/>
              <w:marTop w:val="100"/>
              <w:marBottom w:val="100"/>
              <w:divBdr>
                <w:top w:val="none" w:sz="0" w:space="0" w:color="auto"/>
                <w:left w:val="none" w:sz="0" w:space="0" w:color="auto"/>
                <w:bottom w:val="none" w:sz="0" w:space="0" w:color="auto"/>
                <w:right w:val="none" w:sz="0" w:space="0" w:color="auto"/>
              </w:divBdr>
            </w:div>
            <w:div w:id="61216140">
              <w:blockQuote w:val="1"/>
              <w:marLeft w:val="720"/>
              <w:marRight w:val="720"/>
              <w:marTop w:val="100"/>
              <w:marBottom w:val="100"/>
              <w:divBdr>
                <w:top w:val="none" w:sz="0" w:space="0" w:color="auto"/>
                <w:left w:val="none" w:sz="0" w:space="0" w:color="auto"/>
                <w:bottom w:val="none" w:sz="0" w:space="0" w:color="auto"/>
                <w:right w:val="none" w:sz="0" w:space="0" w:color="auto"/>
              </w:divBdr>
            </w:div>
            <w:div w:id="1012413192">
              <w:blockQuote w:val="1"/>
              <w:marLeft w:val="720"/>
              <w:marRight w:val="720"/>
              <w:marTop w:val="100"/>
              <w:marBottom w:val="100"/>
              <w:divBdr>
                <w:top w:val="none" w:sz="0" w:space="0" w:color="auto"/>
                <w:left w:val="none" w:sz="0" w:space="0" w:color="auto"/>
                <w:bottom w:val="none" w:sz="0" w:space="0" w:color="auto"/>
                <w:right w:val="none" w:sz="0" w:space="0" w:color="auto"/>
              </w:divBdr>
            </w:div>
            <w:div w:id="1179545461">
              <w:blockQuote w:val="1"/>
              <w:marLeft w:val="720"/>
              <w:marRight w:val="720"/>
              <w:marTop w:val="100"/>
              <w:marBottom w:val="100"/>
              <w:divBdr>
                <w:top w:val="none" w:sz="0" w:space="0" w:color="auto"/>
                <w:left w:val="none" w:sz="0" w:space="0" w:color="auto"/>
                <w:bottom w:val="none" w:sz="0" w:space="0" w:color="auto"/>
                <w:right w:val="none" w:sz="0" w:space="0" w:color="auto"/>
              </w:divBdr>
            </w:div>
            <w:div w:id="11155588">
              <w:blockQuote w:val="1"/>
              <w:marLeft w:val="720"/>
              <w:marRight w:val="720"/>
              <w:marTop w:val="100"/>
              <w:marBottom w:val="100"/>
              <w:divBdr>
                <w:top w:val="none" w:sz="0" w:space="0" w:color="auto"/>
                <w:left w:val="none" w:sz="0" w:space="0" w:color="auto"/>
                <w:bottom w:val="none" w:sz="0" w:space="0" w:color="auto"/>
                <w:right w:val="none" w:sz="0" w:space="0" w:color="auto"/>
              </w:divBdr>
            </w:div>
            <w:div w:id="832917615">
              <w:blockQuote w:val="1"/>
              <w:marLeft w:val="720"/>
              <w:marRight w:val="720"/>
              <w:marTop w:val="100"/>
              <w:marBottom w:val="100"/>
              <w:divBdr>
                <w:top w:val="none" w:sz="0" w:space="0" w:color="auto"/>
                <w:left w:val="none" w:sz="0" w:space="0" w:color="auto"/>
                <w:bottom w:val="none" w:sz="0" w:space="0" w:color="auto"/>
                <w:right w:val="none" w:sz="0" w:space="0" w:color="auto"/>
              </w:divBdr>
            </w:div>
            <w:div w:id="1412656311">
              <w:blockQuote w:val="1"/>
              <w:marLeft w:val="720"/>
              <w:marRight w:val="720"/>
              <w:marTop w:val="100"/>
              <w:marBottom w:val="100"/>
              <w:divBdr>
                <w:top w:val="none" w:sz="0" w:space="0" w:color="auto"/>
                <w:left w:val="none" w:sz="0" w:space="0" w:color="auto"/>
                <w:bottom w:val="none" w:sz="0" w:space="0" w:color="auto"/>
                <w:right w:val="none" w:sz="0" w:space="0" w:color="auto"/>
              </w:divBdr>
            </w:div>
            <w:div w:id="15823251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9427201">
      <w:bodyDiv w:val="1"/>
      <w:marLeft w:val="0"/>
      <w:marRight w:val="0"/>
      <w:marTop w:val="0"/>
      <w:marBottom w:val="0"/>
      <w:divBdr>
        <w:top w:val="none" w:sz="0" w:space="0" w:color="auto"/>
        <w:left w:val="none" w:sz="0" w:space="0" w:color="auto"/>
        <w:bottom w:val="none" w:sz="0" w:space="0" w:color="auto"/>
        <w:right w:val="none" w:sz="0" w:space="0" w:color="auto"/>
      </w:divBdr>
    </w:div>
    <w:div w:id="819806291">
      <w:bodyDiv w:val="1"/>
      <w:marLeft w:val="0"/>
      <w:marRight w:val="0"/>
      <w:marTop w:val="0"/>
      <w:marBottom w:val="0"/>
      <w:divBdr>
        <w:top w:val="none" w:sz="0" w:space="0" w:color="auto"/>
        <w:left w:val="none" w:sz="0" w:space="0" w:color="auto"/>
        <w:bottom w:val="none" w:sz="0" w:space="0" w:color="auto"/>
        <w:right w:val="none" w:sz="0" w:space="0" w:color="auto"/>
      </w:divBdr>
    </w:div>
    <w:div w:id="820267315">
      <w:bodyDiv w:val="1"/>
      <w:marLeft w:val="0"/>
      <w:marRight w:val="0"/>
      <w:marTop w:val="0"/>
      <w:marBottom w:val="0"/>
      <w:divBdr>
        <w:top w:val="none" w:sz="0" w:space="0" w:color="auto"/>
        <w:left w:val="none" w:sz="0" w:space="0" w:color="auto"/>
        <w:bottom w:val="none" w:sz="0" w:space="0" w:color="auto"/>
        <w:right w:val="none" w:sz="0" w:space="0" w:color="auto"/>
      </w:divBdr>
    </w:div>
    <w:div w:id="823012433">
      <w:bodyDiv w:val="1"/>
      <w:marLeft w:val="0"/>
      <w:marRight w:val="0"/>
      <w:marTop w:val="0"/>
      <w:marBottom w:val="0"/>
      <w:divBdr>
        <w:top w:val="none" w:sz="0" w:space="0" w:color="auto"/>
        <w:left w:val="none" w:sz="0" w:space="0" w:color="auto"/>
        <w:bottom w:val="none" w:sz="0" w:space="0" w:color="auto"/>
        <w:right w:val="none" w:sz="0" w:space="0" w:color="auto"/>
      </w:divBdr>
    </w:div>
    <w:div w:id="825702957">
      <w:bodyDiv w:val="1"/>
      <w:marLeft w:val="0"/>
      <w:marRight w:val="0"/>
      <w:marTop w:val="0"/>
      <w:marBottom w:val="0"/>
      <w:divBdr>
        <w:top w:val="none" w:sz="0" w:space="0" w:color="auto"/>
        <w:left w:val="none" w:sz="0" w:space="0" w:color="auto"/>
        <w:bottom w:val="none" w:sz="0" w:space="0" w:color="auto"/>
        <w:right w:val="none" w:sz="0" w:space="0" w:color="auto"/>
      </w:divBdr>
    </w:div>
    <w:div w:id="831027589">
      <w:bodyDiv w:val="1"/>
      <w:marLeft w:val="0"/>
      <w:marRight w:val="0"/>
      <w:marTop w:val="0"/>
      <w:marBottom w:val="0"/>
      <w:divBdr>
        <w:top w:val="none" w:sz="0" w:space="0" w:color="auto"/>
        <w:left w:val="none" w:sz="0" w:space="0" w:color="auto"/>
        <w:bottom w:val="none" w:sz="0" w:space="0" w:color="auto"/>
        <w:right w:val="none" w:sz="0" w:space="0" w:color="auto"/>
      </w:divBdr>
    </w:div>
    <w:div w:id="831221221">
      <w:bodyDiv w:val="1"/>
      <w:marLeft w:val="0"/>
      <w:marRight w:val="0"/>
      <w:marTop w:val="0"/>
      <w:marBottom w:val="0"/>
      <w:divBdr>
        <w:top w:val="none" w:sz="0" w:space="0" w:color="auto"/>
        <w:left w:val="none" w:sz="0" w:space="0" w:color="auto"/>
        <w:bottom w:val="none" w:sz="0" w:space="0" w:color="auto"/>
        <w:right w:val="none" w:sz="0" w:space="0" w:color="auto"/>
      </w:divBdr>
      <w:divsChild>
        <w:div w:id="421951353">
          <w:blockQuote w:val="1"/>
          <w:marLeft w:val="720"/>
          <w:marRight w:val="720"/>
          <w:marTop w:val="100"/>
          <w:marBottom w:val="100"/>
          <w:divBdr>
            <w:top w:val="none" w:sz="0" w:space="0" w:color="auto"/>
            <w:left w:val="none" w:sz="0" w:space="0" w:color="auto"/>
            <w:bottom w:val="none" w:sz="0" w:space="0" w:color="auto"/>
            <w:right w:val="none" w:sz="0" w:space="0" w:color="auto"/>
          </w:divBdr>
        </w:div>
        <w:div w:id="123277344">
          <w:blockQuote w:val="1"/>
          <w:marLeft w:val="720"/>
          <w:marRight w:val="720"/>
          <w:marTop w:val="100"/>
          <w:marBottom w:val="100"/>
          <w:divBdr>
            <w:top w:val="none" w:sz="0" w:space="0" w:color="auto"/>
            <w:left w:val="none" w:sz="0" w:space="0" w:color="auto"/>
            <w:bottom w:val="none" w:sz="0" w:space="0" w:color="auto"/>
            <w:right w:val="none" w:sz="0" w:space="0" w:color="auto"/>
          </w:divBdr>
        </w:div>
        <w:div w:id="1929535383">
          <w:blockQuote w:val="1"/>
          <w:marLeft w:val="720"/>
          <w:marRight w:val="720"/>
          <w:marTop w:val="100"/>
          <w:marBottom w:val="100"/>
          <w:divBdr>
            <w:top w:val="none" w:sz="0" w:space="0" w:color="auto"/>
            <w:left w:val="none" w:sz="0" w:space="0" w:color="auto"/>
            <w:bottom w:val="none" w:sz="0" w:space="0" w:color="auto"/>
            <w:right w:val="none" w:sz="0" w:space="0" w:color="auto"/>
          </w:divBdr>
        </w:div>
        <w:div w:id="1170213490">
          <w:blockQuote w:val="1"/>
          <w:marLeft w:val="720"/>
          <w:marRight w:val="720"/>
          <w:marTop w:val="100"/>
          <w:marBottom w:val="100"/>
          <w:divBdr>
            <w:top w:val="none" w:sz="0" w:space="0" w:color="auto"/>
            <w:left w:val="none" w:sz="0" w:space="0" w:color="auto"/>
            <w:bottom w:val="none" w:sz="0" w:space="0" w:color="auto"/>
            <w:right w:val="none" w:sz="0" w:space="0" w:color="auto"/>
          </w:divBdr>
        </w:div>
        <w:div w:id="1422294522">
          <w:blockQuote w:val="1"/>
          <w:marLeft w:val="720"/>
          <w:marRight w:val="720"/>
          <w:marTop w:val="100"/>
          <w:marBottom w:val="100"/>
          <w:divBdr>
            <w:top w:val="none" w:sz="0" w:space="0" w:color="auto"/>
            <w:left w:val="none" w:sz="0" w:space="0" w:color="auto"/>
            <w:bottom w:val="none" w:sz="0" w:space="0" w:color="auto"/>
            <w:right w:val="none" w:sz="0" w:space="0" w:color="auto"/>
          </w:divBdr>
        </w:div>
        <w:div w:id="383141309">
          <w:blockQuote w:val="1"/>
          <w:marLeft w:val="720"/>
          <w:marRight w:val="720"/>
          <w:marTop w:val="100"/>
          <w:marBottom w:val="100"/>
          <w:divBdr>
            <w:top w:val="none" w:sz="0" w:space="0" w:color="auto"/>
            <w:left w:val="none" w:sz="0" w:space="0" w:color="auto"/>
            <w:bottom w:val="none" w:sz="0" w:space="0" w:color="auto"/>
            <w:right w:val="none" w:sz="0" w:space="0" w:color="auto"/>
          </w:divBdr>
        </w:div>
        <w:div w:id="34041094">
          <w:blockQuote w:val="1"/>
          <w:marLeft w:val="720"/>
          <w:marRight w:val="720"/>
          <w:marTop w:val="100"/>
          <w:marBottom w:val="100"/>
          <w:divBdr>
            <w:top w:val="none" w:sz="0" w:space="0" w:color="auto"/>
            <w:left w:val="none" w:sz="0" w:space="0" w:color="auto"/>
            <w:bottom w:val="none" w:sz="0" w:space="0" w:color="auto"/>
            <w:right w:val="none" w:sz="0" w:space="0" w:color="auto"/>
          </w:divBdr>
        </w:div>
        <w:div w:id="506750390">
          <w:blockQuote w:val="1"/>
          <w:marLeft w:val="720"/>
          <w:marRight w:val="720"/>
          <w:marTop w:val="100"/>
          <w:marBottom w:val="100"/>
          <w:divBdr>
            <w:top w:val="none" w:sz="0" w:space="0" w:color="auto"/>
            <w:left w:val="none" w:sz="0" w:space="0" w:color="auto"/>
            <w:bottom w:val="none" w:sz="0" w:space="0" w:color="auto"/>
            <w:right w:val="none" w:sz="0" w:space="0" w:color="auto"/>
          </w:divBdr>
        </w:div>
        <w:div w:id="5180805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6847095">
      <w:bodyDiv w:val="1"/>
      <w:marLeft w:val="0"/>
      <w:marRight w:val="0"/>
      <w:marTop w:val="0"/>
      <w:marBottom w:val="0"/>
      <w:divBdr>
        <w:top w:val="none" w:sz="0" w:space="0" w:color="auto"/>
        <w:left w:val="none" w:sz="0" w:space="0" w:color="auto"/>
        <w:bottom w:val="none" w:sz="0" w:space="0" w:color="auto"/>
        <w:right w:val="none" w:sz="0" w:space="0" w:color="auto"/>
      </w:divBdr>
      <w:divsChild>
        <w:div w:id="17468803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7312484">
      <w:bodyDiv w:val="1"/>
      <w:marLeft w:val="0"/>
      <w:marRight w:val="0"/>
      <w:marTop w:val="0"/>
      <w:marBottom w:val="0"/>
      <w:divBdr>
        <w:top w:val="none" w:sz="0" w:space="0" w:color="auto"/>
        <w:left w:val="none" w:sz="0" w:space="0" w:color="auto"/>
        <w:bottom w:val="none" w:sz="0" w:space="0" w:color="auto"/>
        <w:right w:val="none" w:sz="0" w:space="0" w:color="auto"/>
      </w:divBdr>
    </w:div>
    <w:div w:id="840510179">
      <w:bodyDiv w:val="1"/>
      <w:marLeft w:val="0"/>
      <w:marRight w:val="0"/>
      <w:marTop w:val="0"/>
      <w:marBottom w:val="0"/>
      <w:divBdr>
        <w:top w:val="none" w:sz="0" w:space="0" w:color="auto"/>
        <w:left w:val="none" w:sz="0" w:space="0" w:color="auto"/>
        <w:bottom w:val="none" w:sz="0" w:space="0" w:color="auto"/>
        <w:right w:val="none" w:sz="0" w:space="0" w:color="auto"/>
      </w:divBdr>
      <w:divsChild>
        <w:div w:id="15300995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0701904">
      <w:bodyDiv w:val="1"/>
      <w:marLeft w:val="0"/>
      <w:marRight w:val="0"/>
      <w:marTop w:val="0"/>
      <w:marBottom w:val="0"/>
      <w:divBdr>
        <w:top w:val="none" w:sz="0" w:space="0" w:color="auto"/>
        <w:left w:val="none" w:sz="0" w:space="0" w:color="auto"/>
        <w:bottom w:val="none" w:sz="0" w:space="0" w:color="auto"/>
        <w:right w:val="none" w:sz="0" w:space="0" w:color="auto"/>
      </w:divBdr>
      <w:divsChild>
        <w:div w:id="14789559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0951101">
      <w:bodyDiv w:val="1"/>
      <w:marLeft w:val="0"/>
      <w:marRight w:val="0"/>
      <w:marTop w:val="0"/>
      <w:marBottom w:val="0"/>
      <w:divBdr>
        <w:top w:val="none" w:sz="0" w:space="0" w:color="auto"/>
        <w:left w:val="none" w:sz="0" w:space="0" w:color="auto"/>
        <w:bottom w:val="none" w:sz="0" w:space="0" w:color="auto"/>
        <w:right w:val="none" w:sz="0" w:space="0" w:color="auto"/>
      </w:divBdr>
    </w:div>
    <w:div w:id="857504252">
      <w:bodyDiv w:val="1"/>
      <w:marLeft w:val="0"/>
      <w:marRight w:val="0"/>
      <w:marTop w:val="0"/>
      <w:marBottom w:val="0"/>
      <w:divBdr>
        <w:top w:val="none" w:sz="0" w:space="0" w:color="auto"/>
        <w:left w:val="none" w:sz="0" w:space="0" w:color="auto"/>
        <w:bottom w:val="none" w:sz="0" w:space="0" w:color="auto"/>
        <w:right w:val="none" w:sz="0" w:space="0" w:color="auto"/>
      </w:divBdr>
      <w:divsChild>
        <w:div w:id="138233379">
          <w:blockQuote w:val="1"/>
          <w:marLeft w:val="720"/>
          <w:marRight w:val="720"/>
          <w:marTop w:val="100"/>
          <w:marBottom w:val="100"/>
          <w:divBdr>
            <w:top w:val="none" w:sz="0" w:space="0" w:color="auto"/>
            <w:left w:val="none" w:sz="0" w:space="0" w:color="auto"/>
            <w:bottom w:val="none" w:sz="0" w:space="0" w:color="auto"/>
            <w:right w:val="none" w:sz="0" w:space="0" w:color="auto"/>
          </w:divBdr>
        </w:div>
        <w:div w:id="11718764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9589793">
      <w:bodyDiv w:val="1"/>
      <w:marLeft w:val="0"/>
      <w:marRight w:val="0"/>
      <w:marTop w:val="0"/>
      <w:marBottom w:val="0"/>
      <w:divBdr>
        <w:top w:val="none" w:sz="0" w:space="0" w:color="auto"/>
        <w:left w:val="none" w:sz="0" w:space="0" w:color="auto"/>
        <w:bottom w:val="none" w:sz="0" w:space="0" w:color="auto"/>
        <w:right w:val="none" w:sz="0" w:space="0" w:color="auto"/>
      </w:divBdr>
    </w:div>
    <w:div w:id="859859105">
      <w:bodyDiv w:val="1"/>
      <w:marLeft w:val="0"/>
      <w:marRight w:val="0"/>
      <w:marTop w:val="0"/>
      <w:marBottom w:val="0"/>
      <w:divBdr>
        <w:top w:val="none" w:sz="0" w:space="0" w:color="auto"/>
        <w:left w:val="none" w:sz="0" w:space="0" w:color="auto"/>
        <w:bottom w:val="none" w:sz="0" w:space="0" w:color="auto"/>
        <w:right w:val="none" w:sz="0" w:space="0" w:color="auto"/>
      </w:divBdr>
    </w:div>
    <w:div w:id="864319984">
      <w:bodyDiv w:val="1"/>
      <w:marLeft w:val="0"/>
      <w:marRight w:val="0"/>
      <w:marTop w:val="0"/>
      <w:marBottom w:val="0"/>
      <w:divBdr>
        <w:top w:val="none" w:sz="0" w:space="0" w:color="auto"/>
        <w:left w:val="none" w:sz="0" w:space="0" w:color="auto"/>
        <w:bottom w:val="none" w:sz="0" w:space="0" w:color="auto"/>
        <w:right w:val="none" w:sz="0" w:space="0" w:color="auto"/>
      </w:divBdr>
    </w:div>
    <w:div w:id="865748403">
      <w:bodyDiv w:val="1"/>
      <w:marLeft w:val="0"/>
      <w:marRight w:val="0"/>
      <w:marTop w:val="0"/>
      <w:marBottom w:val="0"/>
      <w:divBdr>
        <w:top w:val="none" w:sz="0" w:space="0" w:color="auto"/>
        <w:left w:val="none" w:sz="0" w:space="0" w:color="auto"/>
        <w:bottom w:val="none" w:sz="0" w:space="0" w:color="auto"/>
        <w:right w:val="none" w:sz="0" w:space="0" w:color="auto"/>
      </w:divBdr>
    </w:div>
    <w:div w:id="868487392">
      <w:bodyDiv w:val="1"/>
      <w:marLeft w:val="0"/>
      <w:marRight w:val="0"/>
      <w:marTop w:val="0"/>
      <w:marBottom w:val="0"/>
      <w:divBdr>
        <w:top w:val="none" w:sz="0" w:space="0" w:color="auto"/>
        <w:left w:val="none" w:sz="0" w:space="0" w:color="auto"/>
        <w:bottom w:val="none" w:sz="0" w:space="0" w:color="auto"/>
        <w:right w:val="none" w:sz="0" w:space="0" w:color="auto"/>
      </w:divBdr>
    </w:div>
    <w:div w:id="868878084">
      <w:bodyDiv w:val="1"/>
      <w:marLeft w:val="0"/>
      <w:marRight w:val="0"/>
      <w:marTop w:val="0"/>
      <w:marBottom w:val="0"/>
      <w:divBdr>
        <w:top w:val="none" w:sz="0" w:space="0" w:color="auto"/>
        <w:left w:val="none" w:sz="0" w:space="0" w:color="auto"/>
        <w:bottom w:val="none" w:sz="0" w:space="0" w:color="auto"/>
        <w:right w:val="none" w:sz="0" w:space="0" w:color="auto"/>
      </w:divBdr>
    </w:div>
    <w:div w:id="870536810">
      <w:bodyDiv w:val="1"/>
      <w:marLeft w:val="0"/>
      <w:marRight w:val="0"/>
      <w:marTop w:val="0"/>
      <w:marBottom w:val="0"/>
      <w:divBdr>
        <w:top w:val="none" w:sz="0" w:space="0" w:color="auto"/>
        <w:left w:val="none" w:sz="0" w:space="0" w:color="auto"/>
        <w:bottom w:val="none" w:sz="0" w:space="0" w:color="auto"/>
        <w:right w:val="none" w:sz="0" w:space="0" w:color="auto"/>
      </w:divBdr>
    </w:div>
    <w:div w:id="882063350">
      <w:bodyDiv w:val="1"/>
      <w:marLeft w:val="0"/>
      <w:marRight w:val="0"/>
      <w:marTop w:val="0"/>
      <w:marBottom w:val="0"/>
      <w:divBdr>
        <w:top w:val="none" w:sz="0" w:space="0" w:color="auto"/>
        <w:left w:val="none" w:sz="0" w:space="0" w:color="auto"/>
        <w:bottom w:val="none" w:sz="0" w:space="0" w:color="auto"/>
        <w:right w:val="none" w:sz="0" w:space="0" w:color="auto"/>
      </w:divBdr>
    </w:div>
    <w:div w:id="885871499">
      <w:bodyDiv w:val="1"/>
      <w:marLeft w:val="0"/>
      <w:marRight w:val="0"/>
      <w:marTop w:val="0"/>
      <w:marBottom w:val="0"/>
      <w:divBdr>
        <w:top w:val="none" w:sz="0" w:space="0" w:color="auto"/>
        <w:left w:val="none" w:sz="0" w:space="0" w:color="auto"/>
        <w:bottom w:val="none" w:sz="0" w:space="0" w:color="auto"/>
        <w:right w:val="none" w:sz="0" w:space="0" w:color="auto"/>
      </w:divBdr>
    </w:div>
    <w:div w:id="888607531">
      <w:bodyDiv w:val="1"/>
      <w:marLeft w:val="0"/>
      <w:marRight w:val="0"/>
      <w:marTop w:val="0"/>
      <w:marBottom w:val="0"/>
      <w:divBdr>
        <w:top w:val="none" w:sz="0" w:space="0" w:color="auto"/>
        <w:left w:val="none" w:sz="0" w:space="0" w:color="auto"/>
        <w:bottom w:val="none" w:sz="0" w:space="0" w:color="auto"/>
        <w:right w:val="none" w:sz="0" w:space="0" w:color="auto"/>
      </w:divBdr>
    </w:div>
    <w:div w:id="894003590">
      <w:bodyDiv w:val="1"/>
      <w:marLeft w:val="0"/>
      <w:marRight w:val="0"/>
      <w:marTop w:val="0"/>
      <w:marBottom w:val="0"/>
      <w:divBdr>
        <w:top w:val="none" w:sz="0" w:space="0" w:color="auto"/>
        <w:left w:val="none" w:sz="0" w:space="0" w:color="auto"/>
        <w:bottom w:val="none" w:sz="0" w:space="0" w:color="auto"/>
        <w:right w:val="none" w:sz="0" w:space="0" w:color="auto"/>
      </w:divBdr>
    </w:div>
    <w:div w:id="896475529">
      <w:bodyDiv w:val="1"/>
      <w:marLeft w:val="0"/>
      <w:marRight w:val="0"/>
      <w:marTop w:val="0"/>
      <w:marBottom w:val="0"/>
      <w:divBdr>
        <w:top w:val="none" w:sz="0" w:space="0" w:color="auto"/>
        <w:left w:val="none" w:sz="0" w:space="0" w:color="auto"/>
        <w:bottom w:val="none" w:sz="0" w:space="0" w:color="auto"/>
        <w:right w:val="none" w:sz="0" w:space="0" w:color="auto"/>
      </w:divBdr>
    </w:div>
    <w:div w:id="897320565">
      <w:bodyDiv w:val="1"/>
      <w:marLeft w:val="0"/>
      <w:marRight w:val="0"/>
      <w:marTop w:val="0"/>
      <w:marBottom w:val="0"/>
      <w:divBdr>
        <w:top w:val="none" w:sz="0" w:space="0" w:color="auto"/>
        <w:left w:val="none" w:sz="0" w:space="0" w:color="auto"/>
        <w:bottom w:val="none" w:sz="0" w:space="0" w:color="auto"/>
        <w:right w:val="none" w:sz="0" w:space="0" w:color="auto"/>
      </w:divBdr>
    </w:div>
    <w:div w:id="900596696">
      <w:bodyDiv w:val="1"/>
      <w:marLeft w:val="0"/>
      <w:marRight w:val="0"/>
      <w:marTop w:val="0"/>
      <w:marBottom w:val="0"/>
      <w:divBdr>
        <w:top w:val="none" w:sz="0" w:space="0" w:color="auto"/>
        <w:left w:val="none" w:sz="0" w:space="0" w:color="auto"/>
        <w:bottom w:val="none" w:sz="0" w:space="0" w:color="auto"/>
        <w:right w:val="none" w:sz="0" w:space="0" w:color="auto"/>
      </w:divBdr>
    </w:div>
    <w:div w:id="901407139">
      <w:bodyDiv w:val="1"/>
      <w:marLeft w:val="0"/>
      <w:marRight w:val="0"/>
      <w:marTop w:val="0"/>
      <w:marBottom w:val="0"/>
      <w:divBdr>
        <w:top w:val="none" w:sz="0" w:space="0" w:color="auto"/>
        <w:left w:val="none" w:sz="0" w:space="0" w:color="auto"/>
        <w:bottom w:val="none" w:sz="0" w:space="0" w:color="auto"/>
        <w:right w:val="none" w:sz="0" w:space="0" w:color="auto"/>
      </w:divBdr>
    </w:div>
    <w:div w:id="906300156">
      <w:bodyDiv w:val="1"/>
      <w:marLeft w:val="0"/>
      <w:marRight w:val="0"/>
      <w:marTop w:val="0"/>
      <w:marBottom w:val="0"/>
      <w:divBdr>
        <w:top w:val="none" w:sz="0" w:space="0" w:color="auto"/>
        <w:left w:val="none" w:sz="0" w:space="0" w:color="auto"/>
        <w:bottom w:val="none" w:sz="0" w:space="0" w:color="auto"/>
        <w:right w:val="none" w:sz="0" w:space="0" w:color="auto"/>
      </w:divBdr>
      <w:divsChild>
        <w:div w:id="620310653">
          <w:marLeft w:val="0"/>
          <w:marRight w:val="0"/>
          <w:marTop w:val="0"/>
          <w:marBottom w:val="0"/>
          <w:divBdr>
            <w:top w:val="none" w:sz="0" w:space="0" w:color="auto"/>
            <w:left w:val="none" w:sz="0" w:space="0" w:color="auto"/>
            <w:bottom w:val="none" w:sz="0" w:space="0" w:color="auto"/>
            <w:right w:val="none" w:sz="0" w:space="0" w:color="auto"/>
          </w:divBdr>
        </w:div>
      </w:divsChild>
    </w:div>
    <w:div w:id="909847288">
      <w:bodyDiv w:val="1"/>
      <w:marLeft w:val="0"/>
      <w:marRight w:val="0"/>
      <w:marTop w:val="0"/>
      <w:marBottom w:val="0"/>
      <w:divBdr>
        <w:top w:val="none" w:sz="0" w:space="0" w:color="auto"/>
        <w:left w:val="none" w:sz="0" w:space="0" w:color="auto"/>
        <w:bottom w:val="none" w:sz="0" w:space="0" w:color="auto"/>
        <w:right w:val="none" w:sz="0" w:space="0" w:color="auto"/>
      </w:divBdr>
    </w:div>
    <w:div w:id="913321713">
      <w:bodyDiv w:val="1"/>
      <w:marLeft w:val="0"/>
      <w:marRight w:val="0"/>
      <w:marTop w:val="0"/>
      <w:marBottom w:val="0"/>
      <w:divBdr>
        <w:top w:val="none" w:sz="0" w:space="0" w:color="auto"/>
        <w:left w:val="none" w:sz="0" w:space="0" w:color="auto"/>
        <w:bottom w:val="none" w:sz="0" w:space="0" w:color="auto"/>
        <w:right w:val="none" w:sz="0" w:space="0" w:color="auto"/>
      </w:divBdr>
    </w:div>
    <w:div w:id="914583901">
      <w:bodyDiv w:val="1"/>
      <w:marLeft w:val="0"/>
      <w:marRight w:val="0"/>
      <w:marTop w:val="0"/>
      <w:marBottom w:val="0"/>
      <w:divBdr>
        <w:top w:val="none" w:sz="0" w:space="0" w:color="auto"/>
        <w:left w:val="none" w:sz="0" w:space="0" w:color="auto"/>
        <w:bottom w:val="none" w:sz="0" w:space="0" w:color="auto"/>
        <w:right w:val="none" w:sz="0" w:space="0" w:color="auto"/>
      </w:divBdr>
    </w:div>
    <w:div w:id="920986275">
      <w:bodyDiv w:val="1"/>
      <w:marLeft w:val="0"/>
      <w:marRight w:val="0"/>
      <w:marTop w:val="0"/>
      <w:marBottom w:val="0"/>
      <w:divBdr>
        <w:top w:val="none" w:sz="0" w:space="0" w:color="auto"/>
        <w:left w:val="none" w:sz="0" w:space="0" w:color="auto"/>
        <w:bottom w:val="none" w:sz="0" w:space="0" w:color="auto"/>
        <w:right w:val="none" w:sz="0" w:space="0" w:color="auto"/>
      </w:divBdr>
    </w:div>
    <w:div w:id="923150820">
      <w:bodyDiv w:val="1"/>
      <w:marLeft w:val="0"/>
      <w:marRight w:val="0"/>
      <w:marTop w:val="0"/>
      <w:marBottom w:val="0"/>
      <w:divBdr>
        <w:top w:val="none" w:sz="0" w:space="0" w:color="auto"/>
        <w:left w:val="none" w:sz="0" w:space="0" w:color="auto"/>
        <w:bottom w:val="none" w:sz="0" w:space="0" w:color="auto"/>
        <w:right w:val="none" w:sz="0" w:space="0" w:color="auto"/>
      </w:divBdr>
      <w:divsChild>
        <w:div w:id="111756225">
          <w:blockQuote w:val="1"/>
          <w:marLeft w:val="720"/>
          <w:marRight w:val="720"/>
          <w:marTop w:val="100"/>
          <w:marBottom w:val="100"/>
          <w:divBdr>
            <w:top w:val="none" w:sz="0" w:space="0" w:color="auto"/>
            <w:left w:val="none" w:sz="0" w:space="0" w:color="auto"/>
            <w:bottom w:val="none" w:sz="0" w:space="0" w:color="auto"/>
            <w:right w:val="none" w:sz="0" w:space="0" w:color="auto"/>
          </w:divBdr>
        </w:div>
        <w:div w:id="16854785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5120493">
      <w:bodyDiv w:val="1"/>
      <w:marLeft w:val="0"/>
      <w:marRight w:val="0"/>
      <w:marTop w:val="0"/>
      <w:marBottom w:val="0"/>
      <w:divBdr>
        <w:top w:val="none" w:sz="0" w:space="0" w:color="auto"/>
        <w:left w:val="none" w:sz="0" w:space="0" w:color="auto"/>
        <w:bottom w:val="none" w:sz="0" w:space="0" w:color="auto"/>
        <w:right w:val="none" w:sz="0" w:space="0" w:color="auto"/>
      </w:divBdr>
    </w:div>
    <w:div w:id="946425591">
      <w:bodyDiv w:val="1"/>
      <w:marLeft w:val="0"/>
      <w:marRight w:val="0"/>
      <w:marTop w:val="0"/>
      <w:marBottom w:val="0"/>
      <w:divBdr>
        <w:top w:val="none" w:sz="0" w:space="0" w:color="auto"/>
        <w:left w:val="none" w:sz="0" w:space="0" w:color="auto"/>
        <w:bottom w:val="none" w:sz="0" w:space="0" w:color="auto"/>
        <w:right w:val="none" w:sz="0" w:space="0" w:color="auto"/>
      </w:divBdr>
    </w:div>
    <w:div w:id="960958972">
      <w:bodyDiv w:val="1"/>
      <w:marLeft w:val="0"/>
      <w:marRight w:val="0"/>
      <w:marTop w:val="0"/>
      <w:marBottom w:val="0"/>
      <w:divBdr>
        <w:top w:val="none" w:sz="0" w:space="0" w:color="auto"/>
        <w:left w:val="none" w:sz="0" w:space="0" w:color="auto"/>
        <w:bottom w:val="none" w:sz="0" w:space="0" w:color="auto"/>
        <w:right w:val="none" w:sz="0" w:space="0" w:color="auto"/>
      </w:divBdr>
    </w:div>
    <w:div w:id="961765930">
      <w:bodyDiv w:val="1"/>
      <w:marLeft w:val="0"/>
      <w:marRight w:val="0"/>
      <w:marTop w:val="0"/>
      <w:marBottom w:val="0"/>
      <w:divBdr>
        <w:top w:val="none" w:sz="0" w:space="0" w:color="auto"/>
        <w:left w:val="none" w:sz="0" w:space="0" w:color="auto"/>
        <w:bottom w:val="none" w:sz="0" w:space="0" w:color="auto"/>
        <w:right w:val="none" w:sz="0" w:space="0" w:color="auto"/>
      </w:divBdr>
    </w:div>
    <w:div w:id="967315793">
      <w:bodyDiv w:val="1"/>
      <w:marLeft w:val="0"/>
      <w:marRight w:val="0"/>
      <w:marTop w:val="0"/>
      <w:marBottom w:val="0"/>
      <w:divBdr>
        <w:top w:val="none" w:sz="0" w:space="0" w:color="auto"/>
        <w:left w:val="none" w:sz="0" w:space="0" w:color="auto"/>
        <w:bottom w:val="none" w:sz="0" w:space="0" w:color="auto"/>
        <w:right w:val="none" w:sz="0" w:space="0" w:color="auto"/>
      </w:divBdr>
    </w:div>
    <w:div w:id="971247683">
      <w:bodyDiv w:val="1"/>
      <w:marLeft w:val="0"/>
      <w:marRight w:val="0"/>
      <w:marTop w:val="0"/>
      <w:marBottom w:val="0"/>
      <w:divBdr>
        <w:top w:val="none" w:sz="0" w:space="0" w:color="auto"/>
        <w:left w:val="none" w:sz="0" w:space="0" w:color="auto"/>
        <w:bottom w:val="none" w:sz="0" w:space="0" w:color="auto"/>
        <w:right w:val="none" w:sz="0" w:space="0" w:color="auto"/>
      </w:divBdr>
    </w:div>
    <w:div w:id="987055225">
      <w:bodyDiv w:val="1"/>
      <w:marLeft w:val="0"/>
      <w:marRight w:val="0"/>
      <w:marTop w:val="0"/>
      <w:marBottom w:val="0"/>
      <w:divBdr>
        <w:top w:val="none" w:sz="0" w:space="0" w:color="auto"/>
        <w:left w:val="none" w:sz="0" w:space="0" w:color="auto"/>
        <w:bottom w:val="none" w:sz="0" w:space="0" w:color="auto"/>
        <w:right w:val="none" w:sz="0" w:space="0" w:color="auto"/>
      </w:divBdr>
      <w:divsChild>
        <w:div w:id="1388257460">
          <w:marLeft w:val="0"/>
          <w:marRight w:val="0"/>
          <w:marTop w:val="0"/>
          <w:marBottom w:val="0"/>
          <w:divBdr>
            <w:top w:val="none" w:sz="0" w:space="0" w:color="auto"/>
            <w:left w:val="none" w:sz="0" w:space="0" w:color="auto"/>
            <w:bottom w:val="none" w:sz="0" w:space="0" w:color="auto"/>
            <w:right w:val="none" w:sz="0" w:space="0" w:color="auto"/>
          </w:divBdr>
          <w:divsChild>
            <w:div w:id="599794950">
              <w:blockQuote w:val="1"/>
              <w:marLeft w:val="720"/>
              <w:marRight w:val="720"/>
              <w:marTop w:val="100"/>
              <w:marBottom w:val="100"/>
              <w:divBdr>
                <w:top w:val="none" w:sz="0" w:space="0" w:color="auto"/>
                <w:left w:val="none" w:sz="0" w:space="0" w:color="auto"/>
                <w:bottom w:val="none" w:sz="0" w:space="0" w:color="auto"/>
                <w:right w:val="none" w:sz="0" w:space="0" w:color="auto"/>
              </w:divBdr>
            </w:div>
            <w:div w:id="1888252858">
              <w:blockQuote w:val="1"/>
              <w:marLeft w:val="720"/>
              <w:marRight w:val="720"/>
              <w:marTop w:val="100"/>
              <w:marBottom w:val="100"/>
              <w:divBdr>
                <w:top w:val="none" w:sz="0" w:space="0" w:color="auto"/>
                <w:left w:val="none" w:sz="0" w:space="0" w:color="auto"/>
                <w:bottom w:val="none" w:sz="0" w:space="0" w:color="auto"/>
                <w:right w:val="none" w:sz="0" w:space="0" w:color="auto"/>
              </w:divBdr>
            </w:div>
            <w:div w:id="1152718370">
              <w:blockQuote w:val="1"/>
              <w:marLeft w:val="720"/>
              <w:marRight w:val="720"/>
              <w:marTop w:val="100"/>
              <w:marBottom w:val="100"/>
              <w:divBdr>
                <w:top w:val="none" w:sz="0" w:space="0" w:color="auto"/>
                <w:left w:val="none" w:sz="0" w:space="0" w:color="auto"/>
                <w:bottom w:val="none" w:sz="0" w:space="0" w:color="auto"/>
                <w:right w:val="none" w:sz="0" w:space="0" w:color="auto"/>
              </w:divBdr>
            </w:div>
            <w:div w:id="544026511">
              <w:blockQuote w:val="1"/>
              <w:marLeft w:val="720"/>
              <w:marRight w:val="720"/>
              <w:marTop w:val="100"/>
              <w:marBottom w:val="100"/>
              <w:divBdr>
                <w:top w:val="none" w:sz="0" w:space="0" w:color="auto"/>
                <w:left w:val="none" w:sz="0" w:space="0" w:color="auto"/>
                <w:bottom w:val="none" w:sz="0" w:space="0" w:color="auto"/>
                <w:right w:val="none" w:sz="0" w:space="0" w:color="auto"/>
              </w:divBdr>
            </w:div>
            <w:div w:id="323554708">
              <w:blockQuote w:val="1"/>
              <w:marLeft w:val="720"/>
              <w:marRight w:val="720"/>
              <w:marTop w:val="100"/>
              <w:marBottom w:val="100"/>
              <w:divBdr>
                <w:top w:val="none" w:sz="0" w:space="0" w:color="auto"/>
                <w:left w:val="none" w:sz="0" w:space="0" w:color="auto"/>
                <w:bottom w:val="none" w:sz="0" w:space="0" w:color="auto"/>
                <w:right w:val="none" w:sz="0" w:space="0" w:color="auto"/>
              </w:divBdr>
            </w:div>
            <w:div w:id="1674844038">
              <w:blockQuote w:val="1"/>
              <w:marLeft w:val="720"/>
              <w:marRight w:val="720"/>
              <w:marTop w:val="100"/>
              <w:marBottom w:val="100"/>
              <w:divBdr>
                <w:top w:val="none" w:sz="0" w:space="0" w:color="auto"/>
                <w:left w:val="none" w:sz="0" w:space="0" w:color="auto"/>
                <w:bottom w:val="none" w:sz="0" w:space="0" w:color="auto"/>
                <w:right w:val="none" w:sz="0" w:space="0" w:color="auto"/>
              </w:divBdr>
            </w:div>
            <w:div w:id="214706836">
              <w:blockQuote w:val="1"/>
              <w:marLeft w:val="720"/>
              <w:marRight w:val="720"/>
              <w:marTop w:val="100"/>
              <w:marBottom w:val="100"/>
              <w:divBdr>
                <w:top w:val="none" w:sz="0" w:space="0" w:color="auto"/>
                <w:left w:val="none" w:sz="0" w:space="0" w:color="auto"/>
                <w:bottom w:val="none" w:sz="0" w:space="0" w:color="auto"/>
                <w:right w:val="none" w:sz="0" w:space="0" w:color="auto"/>
              </w:divBdr>
            </w:div>
            <w:div w:id="2124834942">
              <w:blockQuote w:val="1"/>
              <w:marLeft w:val="720"/>
              <w:marRight w:val="720"/>
              <w:marTop w:val="100"/>
              <w:marBottom w:val="100"/>
              <w:divBdr>
                <w:top w:val="none" w:sz="0" w:space="0" w:color="auto"/>
                <w:left w:val="none" w:sz="0" w:space="0" w:color="auto"/>
                <w:bottom w:val="none" w:sz="0" w:space="0" w:color="auto"/>
                <w:right w:val="none" w:sz="0" w:space="0" w:color="auto"/>
              </w:divBdr>
            </w:div>
            <w:div w:id="1606691205">
              <w:blockQuote w:val="1"/>
              <w:marLeft w:val="720"/>
              <w:marRight w:val="720"/>
              <w:marTop w:val="100"/>
              <w:marBottom w:val="100"/>
              <w:divBdr>
                <w:top w:val="none" w:sz="0" w:space="0" w:color="auto"/>
                <w:left w:val="none" w:sz="0" w:space="0" w:color="auto"/>
                <w:bottom w:val="none" w:sz="0" w:space="0" w:color="auto"/>
                <w:right w:val="none" w:sz="0" w:space="0" w:color="auto"/>
              </w:divBdr>
            </w:div>
            <w:div w:id="14858544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87974412">
      <w:bodyDiv w:val="1"/>
      <w:marLeft w:val="0"/>
      <w:marRight w:val="0"/>
      <w:marTop w:val="0"/>
      <w:marBottom w:val="0"/>
      <w:divBdr>
        <w:top w:val="none" w:sz="0" w:space="0" w:color="auto"/>
        <w:left w:val="none" w:sz="0" w:space="0" w:color="auto"/>
        <w:bottom w:val="none" w:sz="0" w:space="0" w:color="auto"/>
        <w:right w:val="none" w:sz="0" w:space="0" w:color="auto"/>
      </w:divBdr>
    </w:div>
    <w:div w:id="990215697">
      <w:bodyDiv w:val="1"/>
      <w:marLeft w:val="0"/>
      <w:marRight w:val="0"/>
      <w:marTop w:val="0"/>
      <w:marBottom w:val="0"/>
      <w:divBdr>
        <w:top w:val="none" w:sz="0" w:space="0" w:color="auto"/>
        <w:left w:val="none" w:sz="0" w:space="0" w:color="auto"/>
        <w:bottom w:val="none" w:sz="0" w:space="0" w:color="auto"/>
        <w:right w:val="none" w:sz="0" w:space="0" w:color="auto"/>
      </w:divBdr>
      <w:divsChild>
        <w:div w:id="1377781804">
          <w:blockQuote w:val="1"/>
          <w:marLeft w:val="720"/>
          <w:marRight w:val="720"/>
          <w:marTop w:val="100"/>
          <w:marBottom w:val="100"/>
          <w:divBdr>
            <w:top w:val="none" w:sz="0" w:space="0" w:color="auto"/>
            <w:left w:val="none" w:sz="0" w:space="0" w:color="auto"/>
            <w:bottom w:val="none" w:sz="0" w:space="0" w:color="auto"/>
            <w:right w:val="none" w:sz="0" w:space="0" w:color="auto"/>
          </w:divBdr>
        </w:div>
        <w:div w:id="1415855836">
          <w:blockQuote w:val="1"/>
          <w:marLeft w:val="720"/>
          <w:marRight w:val="720"/>
          <w:marTop w:val="100"/>
          <w:marBottom w:val="100"/>
          <w:divBdr>
            <w:top w:val="none" w:sz="0" w:space="0" w:color="auto"/>
            <w:left w:val="none" w:sz="0" w:space="0" w:color="auto"/>
            <w:bottom w:val="none" w:sz="0" w:space="0" w:color="auto"/>
            <w:right w:val="none" w:sz="0" w:space="0" w:color="auto"/>
          </w:divBdr>
        </w:div>
        <w:div w:id="376861560">
          <w:blockQuote w:val="1"/>
          <w:marLeft w:val="720"/>
          <w:marRight w:val="720"/>
          <w:marTop w:val="100"/>
          <w:marBottom w:val="100"/>
          <w:divBdr>
            <w:top w:val="none" w:sz="0" w:space="0" w:color="auto"/>
            <w:left w:val="none" w:sz="0" w:space="0" w:color="auto"/>
            <w:bottom w:val="none" w:sz="0" w:space="0" w:color="auto"/>
            <w:right w:val="none" w:sz="0" w:space="0" w:color="auto"/>
          </w:divBdr>
        </w:div>
        <w:div w:id="1711612414">
          <w:blockQuote w:val="1"/>
          <w:marLeft w:val="720"/>
          <w:marRight w:val="720"/>
          <w:marTop w:val="100"/>
          <w:marBottom w:val="100"/>
          <w:divBdr>
            <w:top w:val="none" w:sz="0" w:space="0" w:color="auto"/>
            <w:left w:val="none" w:sz="0" w:space="0" w:color="auto"/>
            <w:bottom w:val="none" w:sz="0" w:space="0" w:color="auto"/>
            <w:right w:val="none" w:sz="0" w:space="0" w:color="auto"/>
          </w:divBdr>
        </w:div>
        <w:div w:id="682361383">
          <w:blockQuote w:val="1"/>
          <w:marLeft w:val="720"/>
          <w:marRight w:val="720"/>
          <w:marTop w:val="100"/>
          <w:marBottom w:val="100"/>
          <w:divBdr>
            <w:top w:val="none" w:sz="0" w:space="0" w:color="auto"/>
            <w:left w:val="none" w:sz="0" w:space="0" w:color="auto"/>
            <w:bottom w:val="none" w:sz="0" w:space="0" w:color="auto"/>
            <w:right w:val="none" w:sz="0" w:space="0" w:color="auto"/>
          </w:divBdr>
        </w:div>
        <w:div w:id="4476287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9721374">
      <w:bodyDiv w:val="1"/>
      <w:marLeft w:val="0"/>
      <w:marRight w:val="0"/>
      <w:marTop w:val="0"/>
      <w:marBottom w:val="0"/>
      <w:divBdr>
        <w:top w:val="none" w:sz="0" w:space="0" w:color="auto"/>
        <w:left w:val="none" w:sz="0" w:space="0" w:color="auto"/>
        <w:bottom w:val="none" w:sz="0" w:space="0" w:color="auto"/>
        <w:right w:val="none" w:sz="0" w:space="0" w:color="auto"/>
      </w:divBdr>
    </w:div>
    <w:div w:id="1010370403">
      <w:bodyDiv w:val="1"/>
      <w:marLeft w:val="0"/>
      <w:marRight w:val="0"/>
      <w:marTop w:val="0"/>
      <w:marBottom w:val="0"/>
      <w:divBdr>
        <w:top w:val="none" w:sz="0" w:space="0" w:color="auto"/>
        <w:left w:val="none" w:sz="0" w:space="0" w:color="auto"/>
        <w:bottom w:val="none" w:sz="0" w:space="0" w:color="auto"/>
        <w:right w:val="none" w:sz="0" w:space="0" w:color="auto"/>
      </w:divBdr>
      <w:divsChild>
        <w:div w:id="1358964641">
          <w:blockQuote w:val="1"/>
          <w:marLeft w:val="720"/>
          <w:marRight w:val="720"/>
          <w:marTop w:val="100"/>
          <w:marBottom w:val="100"/>
          <w:divBdr>
            <w:top w:val="none" w:sz="0" w:space="0" w:color="auto"/>
            <w:left w:val="none" w:sz="0" w:space="0" w:color="auto"/>
            <w:bottom w:val="none" w:sz="0" w:space="0" w:color="auto"/>
            <w:right w:val="none" w:sz="0" w:space="0" w:color="auto"/>
          </w:divBdr>
        </w:div>
        <w:div w:id="1622763073">
          <w:blockQuote w:val="1"/>
          <w:marLeft w:val="720"/>
          <w:marRight w:val="720"/>
          <w:marTop w:val="100"/>
          <w:marBottom w:val="100"/>
          <w:divBdr>
            <w:top w:val="none" w:sz="0" w:space="0" w:color="auto"/>
            <w:left w:val="none" w:sz="0" w:space="0" w:color="auto"/>
            <w:bottom w:val="none" w:sz="0" w:space="0" w:color="auto"/>
            <w:right w:val="none" w:sz="0" w:space="0" w:color="auto"/>
          </w:divBdr>
        </w:div>
        <w:div w:id="1639065870">
          <w:blockQuote w:val="1"/>
          <w:marLeft w:val="720"/>
          <w:marRight w:val="720"/>
          <w:marTop w:val="100"/>
          <w:marBottom w:val="100"/>
          <w:divBdr>
            <w:top w:val="none" w:sz="0" w:space="0" w:color="auto"/>
            <w:left w:val="none" w:sz="0" w:space="0" w:color="auto"/>
            <w:bottom w:val="none" w:sz="0" w:space="0" w:color="auto"/>
            <w:right w:val="none" w:sz="0" w:space="0" w:color="auto"/>
          </w:divBdr>
        </w:div>
        <w:div w:id="2247311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9358336">
      <w:bodyDiv w:val="1"/>
      <w:marLeft w:val="0"/>
      <w:marRight w:val="0"/>
      <w:marTop w:val="0"/>
      <w:marBottom w:val="0"/>
      <w:divBdr>
        <w:top w:val="none" w:sz="0" w:space="0" w:color="auto"/>
        <w:left w:val="none" w:sz="0" w:space="0" w:color="auto"/>
        <w:bottom w:val="none" w:sz="0" w:space="0" w:color="auto"/>
        <w:right w:val="none" w:sz="0" w:space="0" w:color="auto"/>
      </w:divBdr>
    </w:div>
    <w:div w:id="1030883346">
      <w:bodyDiv w:val="1"/>
      <w:marLeft w:val="0"/>
      <w:marRight w:val="0"/>
      <w:marTop w:val="0"/>
      <w:marBottom w:val="0"/>
      <w:divBdr>
        <w:top w:val="none" w:sz="0" w:space="0" w:color="auto"/>
        <w:left w:val="none" w:sz="0" w:space="0" w:color="auto"/>
        <w:bottom w:val="none" w:sz="0" w:space="0" w:color="auto"/>
        <w:right w:val="none" w:sz="0" w:space="0" w:color="auto"/>
      </w:divBdr>
    </w:div>
    <w:div w:id="1032995268">
      <w:bodyDiv w:val="1"/>
      <w:marLeft w:val="0"/>
      <w:marRight w:val="0"/>
      <w:marTop w:val="0"/>
      <w:marBottom w:val="0"/>
      <w:divBdr>
        <w:top w:val="none" w:sz="0" w:space="0" w:color="auto"/>
        <w:left w:val="none" w:sz="0" w:space="0" w:color="auto"/>
        <w:bottom w:val="none" w:sz="0" w:space="0" w:color="auto"/>
        <w:right w:val="none" w:sz="0" w:space="0" w:color="auto"/>
      </w:divBdr>
      <w:divsChild>
        <w:div w:id="2121025385">
          <w:blockQuote w:val="1"/>
          <w:marLeft w:val="720"/>
          <w:marRight w:val="720"/>
          <w:marTop w:val="100"/>
          <w:marBottom w:val="100"/>
          <w:divBdr>
            <w:top w:val="none" w:sz="0" w:space="0" w:color="auto"/>
            <w:left w:val="none" w:sz="0" w:space="0" w:color="auto"/>
            <w:bottom w:val="none" w:sz="0" w:space="0" w:color="auto"/>
            <w:right w:val="none" w:sz="0" w:space="0" w:color="auto"/>
          </w:divBdr>
        </w:div>
        <w:div w:id="839806367">
          <w:blockQuote w:val="1"/>
          <w:marLeft w:val="720"/>
          <w:marRight w:val="720"/>
          <w:marTop w:val="100"/>
          <w:marBottom w:val="100"/>
          <w:divBdr>
            <w:top w:val="none" w:sz="0" w:space="0" w:color="auto"/>
            <w:left w:val="none" w:sz="0" w:space="0" w:color="auto"/>
            <w:bottom w:val="none" w:sz="0" w:space="0" w:color="auto"/>
            <w:right w:val="none" w:sz="0" w:space="0" w:color="auto"/>
          </w:divBdr>
        </w:div>
        <w:div w:id="533421930">
          <w:blockQuote w:val="1"/>
          <w:marLeft w:val="720"/>
          <w:marRight w:val="720"/>
          <w:marTop w:val="100"/>
          <w:marBottom w:val="100"/>
          <w:divBdr>
            <w:top w:val="none" w:sz="0" w:space="0" w:color="auto"/>
            <w:left w:val="none" w:sz="0" w:space="0" w:color="auto"/>
            <w:bottom w:val="none" w:sz="0" w:space="0" w:color="auto"/>
            <w:right w:val="none" w:sz="0" w:space="0" w:color="auto"/>
          </w:divBdr>
        </w:div>
        <w:div w:id="1999310766">
          <w:blockQuote w:val="1"/>
          <w:marLeft w:val="720"/>
          <w:marRight w:val="720"/>
          <w:marTop w:val="100"/>
          <w:marBottom w:val="100"/>
          <w:divBdr>
            <w:top w:val="none" w:sz="0" w:space="0" w:color="auto"/>
            <w:left w:val="none" w:sz="0" w:space="0" w:color="auto"/>
            <w:bottom w:val="none" w:sz="0" w:space="0" w:color="auto"/>
            <w:right w:val="none" w:sz="0" w:space="0" w:color="auto"/>
          </w:divBdr>
        </w:div>
        <w:div w:id="423494466">
          <w:blockQuote w:val="1"/>
          <w:marLeft w:val="720"/>
          <w:marRight w:val="720"/>
          <w:marTop w:val="100"/>
          <w:marBottom w:val="100"/>
          <w:divBdr>
            <w:top w:val="none" w:sz="0" w:space="0" w:color="auto"/>
            <w:left w:val="none" w:sz="0" w:space="0" w:color="auto"/>
            <w:bottom w:val="none" w:sz="0" w:space="0" w:color="auto"/>
            <w:right w:val="none" w:sz="0" w:space="0" w:color="auto"/>
          </w:divBdr>
        </w:div>
        <w:div w:id="96006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33534710">
      <w:bodyDiv w:val="1"/>
      <w:marLeft w:val="0"/>
      <w:marRight w:val="0"/>
      <w:marTop w:val="0"/>
      <w:marBottom w:val="0"/>
      <w:divBdr>
        <w:top w:val="none" w:sz="0" w:space="0" w:color="auto"/>
        <w:left w:val="none" w:sz="0" w:space="0" w:color="auto"/>
        <w:bottom w:val="none" w:sz="0" w:space="0" w:color="auto"/>
        <w:right w:val="none" w:sz="0" w:space="0" w:color="auto"/>
      </w:divBdr>
    </w:div>
    <w:div w:id="1046369573">
      <w:bodyDiv w:val="1"/>
      <w:marLeft w:val="0"/>
      <w:marRight w:val="0"/>
      <w:marTop w:val="0"/>
      <w:marBottom w:val="0"/>
      <w:divBdr>
        <w:top w:val="none" w:sz="0" w:space="0" w:color="auto"/>
        <w:left w:val="none" w:sz="0" w:space="0" w:color="auto"/>
        <w:bottom w:val="none" w:sz="0" w:space="0" w:color="auto"/>
        <w:right w:val="none" w:sz="0" w:space="0" w:color="auto"/>
      </w:divBdr>
      <w:divsChild>
        <w:div w:id="19449955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50109234">
      <w:bodyDiv w:val="1"/>
      <w:marLeft w:val="0"/>
      <w:marRight w:val="0"/>
      <w:marTop w:val="0"/>
      <w:marBottom w:val="0"/>
      <w:divBdr>
        <w:top w:val="none" w:sz="0" w:space="0" w:color="auto"/>
        <w:left w:val="none" w:sz="0" w:space="0" w:color="auto"/>
        <w:bottom w:val="none" w:sz="0" w:space="0" w:color="auto"/>
        <w:right w:val="none" w:sz="0" w:space="0" w:color="auto"/>
      </w:divBdr>
    </w:div>
    <w:div w:id="1050611036">
      <w:bodyDiv w:val="1"/>
      <w:marLeft w:val="0"/>
      <w:marRight w:val="0"/>
      <w:marTop w:val="0"/>
      <w:marBottom w:val="0"/>
      <w:divBdr>
        <w:top w:val="none" w:sz="0" w:space="0" w:color="auto"/>
        <w:left w:val="none" w:sz="0" w:space="0" w:color="auto"/>
        <w:bottom w:val="none" w:sz="0" w:space="0" w:color="auto"/>
        <w:right w:val="none" w:sz="0" w:space="0" w:color="auto"/>
      </w:divBdr>
    </w:div>
    <w:div w:id="1051995893">
      <w:bodyDiv w:val="1"/>
      <w:marLeft w:val="0"/>
      <w:marRight w:val="0"/>
      <w:marTop w:val="0"/>
      <w:marBottom w:val="0"/>
      <w:divBdr>
        <w:top w:val="none" w:sz="0" w:space="0" w:color="auto"/>
        <w:left w:val="none" w:sz="0" w:space="0" w:color="auto"/>
        <w:bottom w:val="none" w:sz="0" w:space="0" w:color="auto"/>
        <w:right w:val="none" w:sz="0" w:space="0" w:color="auto"/>
      </w:divBdr>
    </w:div>
    <w:div w:id="1052971490">
      <w:bodyDiv w:val="1"/>
      <w:marLeft w:val="0"/>
      <w:marRight w:val="0"/>
      <w:marTop w:val="0"/>
      <w:marBottom w:val="0"/>
      <w:divBdr>
        <w:top w:val="none" w:sz="0" w:space="0" w:color="auto"/>
        <w:left w:val="none" w:sz="0" w:space="0" w:color="auto"/>
        <w:bottom w:val="none" w:sz="0" w:space="0" w:color="auto"/>
        <w:right w:val="none" w:sz="0" w:space="0" w:color="auto"/>
      </w:divBdr>
    </w:div>
    <w:div w:id="1055662167">
      <w:bodyDiv w:val="1"/>
      <w:marLeft w:val="0"/>
      <w:marRight w:val="0"/>
      <w:marTop w:val="0"/>
      <w:marBottom w:val="0"/>
      <w:divBdr>
        <w:top w:val="none" w:sz="0" w:space="0" w:color="auto"/>
        <w:left w:val="none" w:sz="0" w:space="0" w:color="auto"/>
        <w:bottom w:val="none" w:sz="0" w:space="0" w:color="auto"/>
        <w:right w:val="none" w:sz="0" w:space="0" w:color="auto"/>
      </w:divBdr>
    </w:div>
    <w:div w:id="1057317073">
      <w:bodyDiv w:val="1"/>
      <w:marLeft w:val="0"/>
      <w:marRight w:val="0"/>
      <w:marTop w:val="0"/>
      <w:marBottom w:val="0"/>
      <w:divBdr>
        <w:top w:val="none" w:sz="0" w:space="0" w:color="auto"/>
        <w:left w:val="none" w:sz="0" w:space="0" w:color="auto"/>
        <w:bottom w:val="none" w:sz="0" w:space="0" w:color="auto"/>
        <w:right w:val="none" w:sz="0" w:space="0" w:color="auto"/>
      </w:divBdr>
    </w:div>
    <w:div w:id="1058700011">
      <w:bodyDiv w:val="1"/>
      <w:marLeft w:val="0"/>
      <w:marRight w:val="0"/>
      <w:marTop w:val="0"/>
      <w:marBottom w:val="0"/>
      <w:divBdr>
        <w:top w:val="none" w:sz="0" w:space="0" w:color="auto"/>
        <w:left w:val="none" w:sz="0" w:space="0" w:color="auto"/>
        <w:bottom w:val="none" w:sz="0" w:space="0" w:color="auto"/>
        <w:right w:val="none" w:sz="0" w:space="0" w:color="auto"/>
      </w:divBdr>
    </w:div>
    <w:div w:id="1062677471">
      <w:bodyDiv w:val="1"/>
      <w:marLeft w:val="0"/>
      <w:marRight w:val="0"/>
      <w:marTop w:val="0"/>
      <w:marBottom w:val="0"/>
      <w:divBdr>
        <w:top w:val="none" w:sz="0" w:space="0" w:color="auto"/>
        <w:left w:val="none" w:sz="0" w:space="0" w:color="auto"/>
        <w:bottom w:val="none" w:sz="0" w:space="0" w:color="auto"/>
        <w:right w:val="none" w:sz="0" w:space="0" w:color="auto"/>
      </w:divBdr>
    </w:div>
    <w:div w:id="1063143800">
      <w:bodyDiv w:val="1"/>
      <w:marLeft w:val="0"/>
      <w:marRight w:val="0"/>
      <w:marTop w:val="0"/>
      <w:marBottom w:val="0"/>
      <w:divBdr>
        <w:top w:val="none" w:sz="0" w:space="0" w:color="auto"/>
        <w:left w:val="none" w:sz="0" w:space="0" w:color="auto"/>
        <w:bottom w:val="none" w:sz="0" w:space="0" w:color="auto"/>
        <w:right w:val="none" w:sz="0" w:space="0" w:color="auto"/>
      </w:divBdr>
      <w:divsChild>
        <w:div w:id="6487493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4448216">
      <w:bodyDiv w:val="1"/>
      <w:marLeft w:val="0"/>
      <w:marRight w:val="0"/>
      <w:marTop w:val="0"/>
      <w:marBottom w:val="0"/>
      <w:divBdr>
        <w:top w:val="none" w:sz="0" w:space="0" w:color="auto"/>
        <w:left w:val="none" w:sz="0" w:space="0" w:color="auto"/>
        <w:bottom w:val="none" w:sz="0" w:space="0" w:color="auto"/>
        <w:right w:val="none" w:sz="0" w:space="0" w:color="auto"/>
      </w:divBdr>
    </w:div>
    <w:div w:id="1065493750">
      <w:bodyDiv w:val="1"/>
      <w:marLeft w:val="0"/>
      <w:marRight w:val="0"/>
      <w:marTop w:val="0"/>
      <w:marBottom w:val="0"/>
      <w:divBdr>
        <w:top w:val="none" w:sz="0" w:space="0" w:color="auto"/>
        <w:left w:val="none" w:sz="0" w:space="0" w:color="auto"/>
        <w:bottom w:val="none" w:sz="0" w:space="0" w:color="auto"/>
        <w:right w:val="none" w:sz="0" w:space="0" w:color="auto"/>
      </w:divBdr>
    </w:div>
    <w:div w:id="1068310803">
      <w:bodyDiv w:val="1"/>
      <w:marLeft w:val="0"/>
      <w:marRight w:val="0"/>
      <w:marTop w:val="0"/>
      <w:marBottom w:val="0"/>
      <w:divBdr>
        <w:top w:val="none" w:sz="0" w:space="0" w:color="auto"/>
        <w:left w:val="none" w:sz="0" w:space="0" w:color="auto"/>
        <w:bottom w:val="none" w:sz="0" w:space="0" w:color="auto"/>
        <w:right w:val="none" w:sz="0" w:space="0" w:color="auto"/>
      </w:divBdr>
    </w:div>
    <w:div w:id="1073159049">
      <w:bodyDiv w:val="1"/>
      <w:marLeft w:val="0"/>
      <w:marRight w:val="0"/>
      <w:marTop w:val="0"/>
      <w:marBottom w:val="0"/>
      <w:divBdr>
        <w:top w:val="none" w:sz="0" w:space="0" w:color="auto"/>
        <w:left w:val="none" w:sz="0" w:space="0" w:color="auto"/>
        <w:bottom w:val="none" w:sz="0" w:space="0" w:color="auto"/>
        <w:right w:val="none" w:sz="0" w:space="0" w:color="auto"/>
      </w:divBdr>
    </w:div>
    <w:div w:id="1077093701">
      <w:bodyDiv w:val="1"/>
      <w:marLeft w:val="0"/>
      <w:marRight w:val="0"/>
      <w:marTop w:val="0"/>
      <w:marBottom w:val="0"/>
      <w:divBdr>
        <w:top w:val="none" w:sz="0" w:space="0" w:color="auto"/>
        <w:left w:val="none" w:sz="0" w:space="0" w:color="auto"/>
        <w:bottom w:val="none" w:sz="0" w:space="0" w:color="auto"/>
        <w:right w:val="none" w:sz="0" w:space="0" w:color="auto"/>
      </w:divBdr>
    </w:div>
    <w:div w:id="1081947870">
      <w:bodyDiv w:val="1"/>
      <w:marLeft w:val="0"/>
      <w:marRight w:val="0"/>
      <w:marTop w:val="0"/>
      <w:marBottom w:val="0"/>
      <w:divBdr>
        <w:top w:val="none" w:sz="0" w:space="0" w:color="auto"/>
        <w:left w:val="none" w:sz="0" w:space="0" w:color="auto"/>
        <w:bottom w:val="none" w:sz="0" w:space="0" w:color="auto"/>
        <w:right w:val="none" w:sz="0" w:space="0" w:color="auto"/>
      </w:divBdr>
    </w:div>
    <w:div w:id="1082682510">
      <w:bodyDiv w:val="1"/>
      <w:marLeft w:val="0"/>
      <w:marRight w:val="0"/>
      <w:marTop w:val="0"/>
      <w:marBottom w:val="0"/>
      <w:divBdr>
        <w:top w:val="none" w:sz="0" w:space="0" w:color="auto"/>
        <w:left w:val="none" w:sz="0" w:space="0" w:color="auto"/>
        <w:bottom w:val="none" w:sz="0" w:space="0" w:color="auto"/>
        <w:right w:val="none" w:sz="0" w:space="0" w:color="auto"/>
      </w:divBdr>
    </w:div>
    <w:div w:id="1084183025">
      <w:bodyDiv w:val="1"/>
      <w:marLeft w:val="0"/>
      <w:marRight w:val="0"/>
      <w:marTop w:val="0"/>
      <w:marBottom w:val="0"/>
      <w:divBdr>
        <w:top w:val="none" w:sz="0" w:space="0" w:color="auto"/>
        <w:left w:val="none" w:sz="0" w:space="0" w:color="auto"/>
        <w:bottom w:val="none" w:sz="0" w:space="0" w:color="auto"/>
        <w:right w:val="none" w:sz="0" w:space="0" w:color="auto"/>
      </w:divBdr>
    </w:div>
    <w:div w:id="1087460879">
      <w:bodyDiv w:val="1"/>
      <w:marLeft w:val="0"/>
      <w:marRight w:val="0"/>
      <w:marTop w:val="0"/>
      <w:marBottom w:val="0"/>
      <w:divBdr>
        <w:top w:val="none" w:sz="0" w:space="0" w:color="auto"/>
        <w:left w:val="none" w:sz="0" w:space="0" w:color="auto"/>
        <w:bottom w:val="none" w:sz="0" w:space="0" w:color="auto"/>
        <w:right w:val="none" w:sz="0" w:space="0" w:color="auto"/>
      </w:divBdr>
    </w:div>
    <w:div w:id="1090663048">
      <w:bodyDiv w:val="1"/>
      <w:marLeft w:val="0"/>
      <w:marRight w:val="0"/>
      <w:marTop w:val="0"/>
      <w:marBottom w:val="0"/>
      <w:divBdr>
        <w:top w:val="none" w:sz="0" w:space="0" w:color="auto"/>
        <w:left w:val="none" w:sz="0" w:space="0" w:color="auto"/>
        <w:bottom w:val="none" w:sz="0" w:space="0" w:color="auto"/>
        <w:right w:val="none" w:sz="0" w:space="0" w:color="auto"/>
      </w:divBdr>
    </w:div>
    <w:div w:id="1093357373">
      <w:bodyDiv w:val="1"/>
      <w:marLeft w:val="0"/>
      <w:marRight w:val="0"/>
      <w:marTop w:val="0"/>
      <w:marBottom w:val="0"/>
      <w:divBdr>
        <w:top w:val="none" w:sz="0" w:space="0" w:color="auto"/>
        <w:left w:val="none" w:sz="0" w:space="0" w:color="auto"/>
        <w:bottom w:val="none" w:sz="0" w:space="0" w:color="auto"/>
        <w:right w:val="none" w:sz="0" w:space="0" w:color="auto"/>
      </w:divBdr>
    </w:div>
    <w:div w:id="1101951794">
      <w:bodyDiv w:val="1"/>
      <w:marLeft w:val="0"/>
      <w:marRight w:val="0"/>
      <w:marTop w:val="0"/>
      <w:marBottom w:val="0"/>
      <w:divBdr>
        <w:top w:val="none" w:sz="0" w:space="0" w:color="auto"/>
        <w:left w:val="none" w:sz="0" w:space="0" w:color="auto"/>
        <w:bottom w:val="none" w:sz="0" w:space="0" w:color="auto"/>
        <w:right w:val="none" w:sz="0" w:space="0" w:color="auto"/>
      </w:divBdr>
    </w:div>
    <w:div w:id="1104349948">
      <w:bodyDiv w:val="1"/>
      <w:marLeft w:val="0"/>
      <w:marRight w:val="0"/>
      <w:marTop w:val="0"/>
      <w:marBottom w:val="0"/>
      <w:divBdr>
        <w:top w:val="none" w:sz="0" w:space="0" w:color="auto"/>
        <w:left w:val="none" w:sz="0" w:space="0" w:color="auto"/>
        <w:bottom w:val="none" w:sz="0" w:space="0" w:color="auto"/>
        <w:right w:val="none" w:sz="0" w:space="0" w:color="auto"/>
      </w:divBdr>
      <w:divsChild>
        <w:div w:id="406266634">
          <w:marLeft w:val="0"/>
          <w:marRight w:val="0"/>
          <w:marTop w:val="0"/>
          <w:marBottom w:val="0"/>
          <w:divBdr>
            <w:top w:val="none" w:sz="0" w:space="0" w:color="auto"/>
            <w:left w:val="none" w:sz="0" w:space="0" w:color="auto"/>
            <w:bottom w:val="none" w:sz="0" w:space="0" w:color="auto"/>
            <w:right w:val="none" w:sz="0" w:space="0" w:color="auto"/>
          </w:divBdr>
          <w:divsChild>
            <w:div w:id="1963532709">
              <w:blockQuote w:val="1"/>
              <w:marLeft w:val="720"/>
              <w:marRight w:val="720"/>
              <w:marTop w:val="100"/>
              <w:marBottom w:val="100"/>
              <w:divBdr>
                <w:top w:val="none" w:sz="0" w:space="0" w:color="auto"/>
                <w:left w:val="none" w:sz="0" w:space="0" w:color="auto"/>
                <w:bottom w:val="none" w:sz="0" w:space="0" w:color="auto"/>
                <w:right w:val="none" w:sz="0" w:space="0" w:color="auto"/>
              </w:divBdr>
            </w:div>
            <w:div w:id="1122042732">
              <w:blockQuote w:val="1"/>
              <w:marLeft w:val="720"/>
              <w:marRight w:val="720"/>
              <w:marTop w:val="100"/>
              <w:marBottom w:val="100"/>
              <w:divBdr>
                <w:top w:val="none" w:sz="0" w:space="0" w:color="auto"/>
                <w:left w:val="none" w:sz="0" w:space="0" w:color="auto"/>
                <w:bottom w:val="none" w:sz="0" w:space="0" w:color="auto"/>
                <w:right w:val="none" w:sz="0" w:space="0" w:color="auto"/>
              </w:divBdr>
            </w:div>
            <w:div w:id="1330207842">
              <w:blockQuote w:val="1"/>
              <w:marLeft w:val="720"/>
              <w:marRight w:val="720"/>
              <w:marTop w:val="100"/>
              <w:marBottom w:val="100"/>
              <w:divBdr>
                <w:top w:val="none" w:sz="0" w:space="0" w:color="auto"/>
                <w:left w:val="none" w:sz="0" w:space="0" w:color="auto"/>
                <w:bottom w:val="none" w:sz="0" w:space="0" w:color="auto"/>
                <w:right w:val="none" w:sz="0" w:space="0" w:color="auto"/>
              </w:divBdr>
            </w:div>
            <w:div w:id="857696239">
              <w:blockQuote w:val="1"/>
              <w:marLeft w:val="720"/>
              <w:marRight w:val="720"/>
              <w:marTop w:val="100"/>
              <w:marBottom w:val="100"/>
              <w:divBdr>
                <w:top w:val="none" w:sz="0" w:space="0" w:color="auto"/>
                <w:left w:val="none" w:sz="0" w:space="0" w:color="auto"/>
                <w:bottom w:val="none" w:sz="0" w:space="0" w:color="auto"/>
                <w:right w:val="none" w:sz="0" w:space="0" w:color="auto"/>
              </w:divBdr>
            </w:div>
            <w:div w:id="1743797710">
              <w:blockQuote w:val="1"/>
              <w:marLeft w:val="720"/>
              <w:marRight w:val="720"/>
              <w:marTop w:val="100"/>
              <w:marBottom w:val="100"/>
              <w:divBdr>
                <w:top w:val="none" w:sz="0" w:space="0" w:color="auto"/>
                <w:left w:val="none" w:sz="0" w:space="0" w:color="auto"/>
                <w:bottom w:val="none" w:sz="0" w:space="0" w:color="auto"/>
                <w:right w:val="none" w:sz="0" w:space="0" w:color="auto"/>
              </w:divBdr>
            </w:div>
            <w:div w:id="785075978">
              <w:blockQuote w:val="1"/>
              <w:marLeft w:val="720"/>
              <w:marRight w:val="720"/>
              <w:marTop w:val="100"/>
              <w:marBottom w:val="100"/>
              <w:divBdr>
                <w:top w:val="none" w:sz="0" w:space="0" w:color="auto"/>
                <w:left w:val="none" w:sz="0" w:space="0" w:color="auto"/>
                <w:bottom w:val="none" w:sz="0" w:space="0" w:color="auto"/>
                <w:right w:val="none" w:sz="0" w:space="0" w:color="auto"/>
              </w:divBdr>
            </w:div>
            <w:div w:id="1598251981">
              <w:blockQuote w:val="1"/>
              <w:marLeft w:val="720"/>
              <w:marRight w:val="720"/>
              <w:marTop w:val="100"/>
              <w:marBottom w:val="100"/>
              <w:divBdr>
                <w:top w:val="none" w:sz="0" w:space="0" w:color="auto"/>
                <w:left w:val="none" w:sz="0" w:space="0" w:color="auto"/>
                <w:bottom w:val="none" w:sz="0" w:space="0" w:color="auto"/>
                <w:right w:val="none" w:sz="0" w:space="0" w:color="auto"/>
              </w:divBdr>
            </w:div>
            <w:div w:id="1386030114">
              <w:blockQuote w:val="1"/>
              <w:marLeft w:val="720"/>
              <w:marRight w:val="720"/>
              <w:marTop w:val="100"/>
              <w:marBottom w:val="100"/>
              <w:divBdr>
                <w:top w:val="none" w:sz="0" w:space="0" w:color="auto"/>
                <w:left w:val="none" w:sz="0" w:space="0" w:color="auto"/>
                <w:bottom w:val="none" w:sz="0" w:space="0" w:color="auto"/>
                <w:right w:val="none" w:sz="0" w:space="0" w:color="auto"/>
              </w:divBdr>
            </w:div>
            <w:div w:id="911541821">
              <w:blockQuote w:val="1"/>
              <w:marLeft w:val="720"/>
              <w:marRight w:val="720"/>
              <w:marTop w:val="100"/>
              <w:marBottom w:val="100"/>
              <w:divBdr>
                <w:top w:val="none" w:sz="0" w:space="0" w:color="auto"/>
                <w:left w:val="none" w:sz="0" w:space="0" w:color="auto"/>
                <w:bottom w:val="none" w:sz="0" w:space="0" w:color="auto"/>
                <w:right w:val="none" w:sz="0" w:space="0" w:color="auto"/>
              </w:divBdr>
            </w:div>
            <w:div w:id="13358415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05341396">
      <w:bodyDiv w:val="1"/>
      <w:marLeft w:val="0"/>
      <w:marRight w:val="0"/>
      <w:marTop w:val="0"/>
      <w:marBottom w:val="0"/>
      <w:divBdr>
        <w:top w:val="none" w:sz="0" w:space="0" w:color="auto"/>
        <w:left w:val="none" w:sz="0" w:space="0" w:color="auto"/>
        <w:bottom w:val="none" w:sz="0" w:space="0" w:color="auto"/>
        <w:right w:val="none" w:sz="0" w:space="0" w:color="auto"/>
      </w:divBdr>
    </w:div>
    <w:div w:id="1106269987">
      <w:bodyDiv w:val="1"/>
      <w:marLeft w:val="0"/>
      <w:marRight w:val="0"/>
      <w:marTop w:val="0"/>
      <w:marBottom w:val="0"/>
      <w:divBdr>
        <w:top w:val="none" w:sz="0" w:space="0" w:color="auto"/>
        <w:left w:val="none" w:sz="0" w:space="0" w:color="auto"/>
        <w:bottom w:val="none" w:sz="0" w:space="0" w:color="auto"/>
        <w:right w:val="none" w:sz="0" w:space="0" w:color="auto"/>
      </w:divBdr>
    </w:div>
    <w:div w:id="1107965013">
      <w:bodyDiv w:val="1"/>
      <w:marLeft w:val="0"/>
      <w:marRight w:val="0"/>
      <w:marTop w:val="0"/>
      <w:marBottom w:val="0"/>
      <w:divBdr>
        <w:top w:val="none" w:sz="0" w:space="0" w:color="auto"/>
        <w:left w:val="none" w:sz="0" w:space="0" w:color="auto"/>
        <w:bottom w:val="none" w:sz="0" w:space="0" w:color="auto"/>
        <w:right w:val="none" w:sz="0" w:space="0" w:color="auto"/>
      </w:divBdr>
    </w:div>
    <w:div w:id="1113204320">
      <w:bodyDiv w:val="1"/>
      <w:marLeft w:val="0"/>
      <w:marRight w:val="0"/>
      <w:marTop w:val="0"/>
      <w:marBottom w:val="0"/>
      <w:divBdr>
        <w:top w:val="none" w:sz="0" w:space="0" w:color="auto"/>
        <w:left w:val="none" w:sz="0" w:space="0" w:color="auto"/>
        <w:bottom w:val="none" w:sz="0" w:space="0" w:color="auto"/>
        <w:right w:val="none" w:sz="0" w:space="0" w:color="auto"/>
      </w:divBdr>
    </w:div>
    <w:div w:id="1117528905">
      <w:bodyDiv w:val="1"/>
      <w:marLeft w:val="0"/>
      <w:marRight w:val="0"/>
      <w:marTop w:val="0"/>
      <w:marBottom w:val="0"/>
      <w:divBdr>
        <w:top w:val="none" w:sz="0" w:space="0" w:color="auto"/>
        <w:left w:val="none" w:sz="0" w:space="0" w:color="auto"/>
        <w:bottom w:val="none" w:sz="0" w:space="0" w:color="auto"/>
        <w:right w:val="none" w:sz="0" w:space="0" w:color="auto"/>
      </w:divBdr>
    </w:div>
    <w:div w:id="1118380731">
      <w:bodyDiv w:val="1"/>
      <w:marLeft w:val="0"/>
      <w:marRight w:val="0"/>
      <w:marTop w:val="0"/>
      <w:marBottom w:val="0"/>
      <w:divBdr>
        <w:top w:val="none" w:sz="0" w:space="0" w:color="auto"/>
        <w:left w:val="none" w:sz="0" w:space="0" w:color="auto"/>
        <w:bottom w:val="none" w:sz="0" w:space="0" w:color="auto"/>
        <w:right w:val="none" w:sz="0" w:space="0" w:color="auto"/>
      </w:divBdr>
      <w:divsChild>
        <w:div w:id="6349859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0033585">
      <w:bodyDiv w:val="1"/>
      <w:marLeft w:val="0"/>
      <w:marRight w:val="0"/>
      <w:marTop w:val="0"/>
      <w:marBottom w:val="0"/>
      <w:divBdr>
        <w:top w:val="none" w:sz="0" w:space="0" w:color="auto"/>
        <w:left w:val="none" w:sz="0" w:space="0" w:color="auto"/>
        <w:bottom w:val="none" w:sz="0" w:space="0" w:color="auto"/>
        <w:right w:val="none" w:sz="0" w:space="0" w:color="auto"/>
      </w:divBdr>
    </w:div>
    <w:div w:id="1129325665">
      <w:bodyDiv w:val="1"/>
      <w:marLeft w:val="0"/>
      <w:marRight w:val="0"/>
      <w:marTop w:val="0"/>
      <w:marBottom w:val="0"/>
      <w:divBdr>
        <w:top w:val="none" w:sz="0" w:space="0" w:color="auto"/>
        <w:left w:val="none" w:sz="0" w:space="0" w:color="auto"/>
        <w:bottom w:val="none" w:sz="0" w:space="0" w:color="auto"/>
        <w:right w:val="none" w:sz="0" w:space="0" w:color="auto"/>
      </w:divBdr>
    </w:div>
    <w:div w:id="1129591149">
      <w:bodyDiv w:val="1"/>
      <w:marLeft w:val="0"/>
      <w:marRight w:val="0"/>
      <w:marTop w:val="0"/>
      <w:marBottom w:val="0"/>
      <w:divBdr>
        <w:top w:val="none" w:sz="0" w:space="0" w:color="auto"/>
        <w:left w:val="none" w:sz="0" w:space="0" w:color="auto"/>
        <w:bottom w:val="none" w:sz="0" w:space="0" w:color="auto"/>
        <w:right w:val="none" w:sz="0" w:space="0" w:color="auto"/>
      </w:divBdr>
    </w:div>
    <w:div w:id="1138641955">
      <w:bodyDiv w:val="1"/>
      <w:marLeft w:val="0"/>
      <w:marRight w:val="0"/>
      <w:marTop w:val="0"/>
      <w:marBottom w:val="0"/>
      <w:divBdr>
        <w:top w:val="none" w:sz="0" w:space="0" w:color="auto"/>
        <w:left w:val="none" w:sz="0" w:space="0" w:color="auto"/>
        <w:bottom w:val="none" w:sz="0" w:space="0" w:color="auto"/>
        <w:right w:val="none" w:sz="0" w:space="0" w:color="auto"/>
      </w:divBdr>
    </w:div>
    <w:div w:id="1157041123">
      <w:bodyDiv w:val="1"/>
      <w:marLeft w:val="0"/>
      <w:marRight w:val="0"/>
      <w:marTop w:val="0"/>
      <w:marBottom w:val="0"/>
      <w:divBdr>
        <w:top w:val="none" w:sz="0" w:space="0" w:color="auto"/>
        <w:left w:val="none" w:sz="0" w:space="0" w:color="auto"/>
        <w:bottom w:val="none" w:sz="0" w:space="0" w:color="auto"/>
        <w:right w:val="none" w:sz="0" w:space="0" w:color="auto"/>
      </w:divBdr>
    </w:div>
    <w:div w:id="1166507028">
      <w:bodyDiv w:val="1"/>
      <w:marLeft w:val="0"/>
      <w:marRight w:val="0"/>
      <w:marTop w:val="0"/>
      <w:marBottom w:val="0"/>
      <w:divBdr>
        <w:top w:val="none" w:sz="0" w:space="0" w:color="auto"/>
        <w:left w:val="none" w:sz="0" w:space="0" w:color="auto"/>
        <w:bottom w:val="none" w:sz="0" w:space="0" w:color="auto"/>
        <w:right w:val="none" w:sz="0" w:space="0" w:color="auto"/>
      </w:divBdr>
    </w:div>
    <w:div w:id="1167591725">
      <w:bodyDiv w:val="1"/>
      <w:marLeft w:val="0"/>
      <w:marRight w:val="0"/>
      <w:marTop w:val="0"/>
      <w:marBottom w:val="0"/>
      <w:divBdr>
        <w:top w:val="none" w:sz="0" w:space="0" w:color="auto"/>
        <w:left w:val="none" w:sz="0" w:space="0" w:color="auto"/>
        <w:bottom w:val="none" w:sz="0" w:space="0" w:color="auto"/>
        <w:right w:val="none" w:sz="0" w:space="0" w:color="auto"/>
      </w:divBdr>
    </w:div>
    <w:div w:id="1167984517">
      <w:bodyDiv w:val="1"/>
      <w:marLeft w:val="0"/>
      <w:marRight w:val="0"/>
      <w:marTop w:val="0"/>
      <w:marBottom w:val="0"/>
      <w:divBdr>
        <w:top w:val="none" w:sz="0" w:space="0" w:color="auto"/>
        <w:left w:val="none" w:sz="0" w:space="0" w:color="auto"/>
        <w:bottom w:val="none" w:sz="0" w:space="0" w:color="auto"/>
        <w:right w:val="none" w:sz="0" w:space="0" w:color="auto"/>
      </w:divBdr>
    </w:div>
    <w:div w:id="1175339032">
      <w:bodyDiv w:val="1"/>
      <w:marLeft w:val="0"/>
      <w:marRight w:val="0"/>
      <w:marTop w:val="0"/>
      <w:marBottom w:val="0"/>
      <w:divBdr>
        <w:top w:val="none" w:sz="0" w:space="0" w:color="auto"/>
        <w:left w:val="none" w:sz="0" w:space="0" w:color="auto"/>
        <w:bottom w:val="none" w:sz="0" w:space="0" w:color="auto"/>
        <w:right w:val="none" w:sz="0" w:space="0" w:color="auto"/>
      </w:divBdr>
    </w:div>
    <w:div w:id="1176000702">
      <w:bodyDiv w:val="1"/>
      <w:marLeft w:val="0"/>
      <w:marRight w:val="0"/>
      <w:marTop w:val="0"/>
      <w:marBottom w:val="0"/>
      <w:divBdr>
        <w:top w:val="none" w:sz="0" w:space="0" w:color="auto"/>
        <w:left w:val="none" w:sz="0" w:space="0" w:color="auto"/>
        <w:bottom w:val="none" w:sz="0" w:space="0" w:color="auto"/>
        <w:right w:val="none" w:sz="0" w:space="0" w:color="auto"/>
      </w:divBdr>
    </w:div>
    <w:div w:id="1180581422">
      <w:bodyDiv w:val="1"/>
      <w:marLeft w:val="0"/>
      <w:marRight w:val="0"/>
      <w:marTop w:val="0"/>
      <w:marBottom w:val="0"/>
      <w:divBdr>
        <w:top w:val="none" w:sz="0" w:space="0" w:color="auto"/>
        <w:left w:val="none" w:sz="0" w:space="0" w:color="auto"/>
        <w:bottom w:val="none" w:sz="0" w:space="0" w:color="auto"/>
        <w:right w:val="none" w:sz="0" w:space="0" w:color="auto"/>
      </w:divBdr>
    </w:div>
    <w:div w:id="1182738944">
      <w:bodyDiv w:val="1"/>
      <w:marLeft w:val="0"/>
      <w:marRight w:val="0"/>
      <w:marTop w:val="0"/>
      <w:marBottom w:val="0"/>
      <w:divBdr>
        <w:top w:val="none" w:sz="0" w:space="0" w:color="auto"/>
        <w:left w:val="none" w:sz="0" w:space="0" w:color="auto"/>
        <w:bottom w:val="none" w:sz="0" w:space="0" w:color="auto"/>
        <w:right w:val="none" w:sz="0" w:space="0" w:color="auto"/>
      </w:divBdr>
    </w:div>
    <w:div w:id="1183132794">
      <w:bodyDiv w:val="1"/>
      <w:marLeft w:val="0"/>
      <w:marRight w:val="0"/>
      <w:marTop w:val="0"/>
      <w:marBottom w:val="0"/>
      <w:divBdr>
        <w:top w:val="none" w:sz="0" w:space="0" w:color="auto"/>
        <w:left w:val="none" w:sz="0" w:space="0" w:color="auto"/>
        <w:bottom w:val="none" w:sz="0" w:space="0" w:color="auto"/>
        <w:right w:val="none" w:sz="0" w:space="0" w:color="auto"/>
      </w:divBdr>
      <w:divsChild>
        <w:div w:id="1745686908">
          <w:blockQuote w:val="1"/>
          <w:marLeft w:val="720"/>
          <w:marRight w:val="720"/>
          <w:marTop w:val="100"/>
          <w:marBottom w:val="100"/>
          <w:divBdr>
            <w:top w:val="none" w:sz="0" w:space="0" w:color="auto"/>
            <w:left w:val="none" w:sz="0" w:space="0" w:color="auto"/>
            <w:bottom w:val="none" w:sz="0" w:space="0" w:color="auto"/>
            <w:right w:val="none" w:sz="0" w:space="0" w:color="auto"/>
          </w:divBdr>
        </w:div>
        <w:div w:id="16439275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6478485">
      <w:bodyDiv w:val="1"/>
      <w:marLeft w:val="0"/>
      <w:marRight w:val="0"/>
      <w:marTop w:val="0"/>
      <w:marBottom w:val="0"/>
      <w:divBdr>
        <w:top w:val="none" w:sz="0" w:space="0" w:color="auto"/>
        <w:left w:val="none" w:sz="0" w:space="0" w:color="auto"/>
        <w:bottom w:val="none" w:sz="0" w:space="0" w:color="auto"/>
        <w:right w:val="none" w:sz="0" w:space="0" w:color="auto"/>
      </w:divBdr>
    </w:div>
    <w:div w:id="1188062926">
      <w:bodyDiv w:val="1"/>
      <w:marLeft w:val="0"/>
      <w:marRight w:val="0"/>
      <w:marTop w:val="0"/>
      <w:marBottom w:val="0"/>
      <w:divBdr>
        <w:top w:val="none" w:sz="0" w:space="0" w:color="auto"/>
        <w:left w:val="none" w:sz="0" w:space="0" w:color="auto"/>
        <w:bottom w:val="none" w:sz="0" w:space="0" w:color="auto"/>
        <w:right w:val="none" w:sz="0" w:space="0" w:color="auto"/>
      </w:divBdr>
    </w:div>
    <w:div w:id="1188329189">
      <w:bodyDiv w:val="1"/>
      <w:marLeft w:val="0"/>
      <w:marRight w:val="0"/>
      <w:marTop w:val="0"/>
      <w:marBottom w:val="0"/>
      <w:divBdr>
        <w:top w:val="none" w:sz="0" w:space="0" w:color="auto"/>
        <w:left w:val="none" w:sz="0" w:space="0" w:color="auto"/>
        <w:bottom w:val="none" w:sz="0" w:space="0" w:color="auto"/>
        <w:right w:val="none" w:sz="0" w:space="0" w:color="auto"/>
      </w:divBdr>
    </w:div>
    <w:div w:id="1189106162">
      <w:bodyDiv w:val="1"/>
      <w:marLeft w:val="0"/>
      <w:marRight w:val="0"/>
      <w:marTop w:val="0"/>
      <w:marBottom w:val="0"/>
      <w:divBdr>
        <w:top w:val="none" w:sz="0" w:space="0" w:color="auto"/>
        <w:left w:val="none" w:sz="0" w:space="0" w:color="auto"/>
        <w:bottom w:val="none" w:sz="0" w:space="0" w:color="auto"/>
        <w:right w:val="none" w:sz="0" w:space="0" w:color="auto"/>
      </w:divBdr>
    </w:div>
    <w:div w:id="1200126352">
      <w:bodyDiv w:val="1"/>
      <w:marLeft w:val="0"/>
      <w:marRight w:val="0"/>
      <w:marTop w:val="0"/>
      <w:marBottom w:val="0"/>
      <w:divBdr>
        <w:top w:val="none" w:sz="0" w:space="0" w:color="auto"/>
        <w:left w:val="none" w:sz="0" w:space="0" w:color="auto"/>
        <w:bottom w:val="none" w:sz="0" w:space="0" w:color="auto"/>
        <w:right w:val="none" w:sz="0" w:space="0" w:color="auto"/>
      </w:divBdr>
      <w:divsChild>
        <w:div w:id="1278099144">
          <w:blockQuote w:val="1"/>
          <w:marLeft w:val="720"/>
          <w:marRight w:val="720"/>
          <w:marTop w:val="100"/>
          <w:marBottom w:val="100"/>
          <w:divBdr>
            <w:top w:val="none" w:sz="0" w:space="0" w:color="auto"/>
            <w:left w:val="none" w:sz="0" w:space="0" w:color="auto"/>
            <w:bottom w:val="none" w:sz="0" w:space="0" w:color="auto"/>
            <w:right w:val="none" w:sz="0" w:space="0" w:color="auto"/>
          </w:divBdr>
        </w:div>
        <w:div w:id="4079702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0897269">
      <w:bodyDiv w:val="1"/>
      <w:marLeft w:val="0"/>
      <w:marRight w:val="0"/>
      <w:marTop w:val="0"/>
      <w:marBottom w:val="0"/>
      <w:divBdr>
        <w:top w:val="none" w:sz="0" w:space="0" w:color="auto"/>
        <w:left w:val="none" w:sz="0" w:space="0" w:color="auto"/>
        <w:bottom w:val="none" w:sz="0" w:space="0" w:color="auto"/>
        <w:right w:val="none" w:sz="0" w:space="0" w:color="auto"/>
      </w:divBdr>
    </w:div>
    <w:div w:id="1201362169">
      <w:bodyDiv w:val="1"/>
      <w:marLeft w:val="0"/>
      <w:marRight w:val="0"/>
      <w:marTop w:val="0"/>
      <w:marBottom w:val="0"/>
      <w:divBdr>
        <w:top w:val="none" w:sz="0" w:space="0" w:color="auto"/>
        <w:left w:val="none" w:sz="0" w:space="0" w:color="auto"/>
        <w:bottom w:val="none" w:sz="0" w:space="0" w:color="auto"/>
        <w:right w:val="none" w:sz="0" w:space="0" w:color="auto"/>
      </w:divBdr>
    </w:div>
    <w:div w:id="1203785222">
      <w:bodyDiv w:val="1"/>
      <w:marLeft w:val="0"/>
      <w:marRight w:val="0"/>
      <w:marTop w:val="0"/>
      <w:marBottom w:val="0"/>
      <w:divBdr>
        <w:top w:val="none" w:sz="0" w:space="0" w:color="auto"/>
        <w:left w:val="none" w:sz="0" w:space="0" w:color="auto"/>
        <w:bottom w:val="none" w:sz="0" w:space="0" w:color="auto"/>
        <w:right w:val="none" w:sz="0" w:space="0" w:color="auto"/>
      </w:divBdr>
    </w:div>
    <w:div w:id="1212612865">
      <w:bodyDiv w:val="1"/>
      <w:marLeft w:val="0"/>
      <w:marRight w:val="0"/>
      <w:marTop w:val="0"/>
      <w:marBottom w:val="0"/>
      <w:divBdr>
        <w:top w:val="none" w:sz="0" w:space="0" w:color="auto"/>
        <w:left w:val="none" w:sz="0" w:space="0" w:color="auto"/>
        <w:bottom w:val="none" w:sz="0" w:space="0" w:color="auto"/>
        <w:right w:val="none" w:sz="0" w:space="0" w:color="auto"/>
      </w:divBdr>
      <w:divsChild>
        <w:div w:id="461928331">
          <w:blockQuote w:val="1"/>
          <w:marLeft w:val="720"/>
          <w:marRight w:val="720"/>
          <w:marTop w:val="100"/>
          <w:marBottom w:val="100"/>
          <w:divBdr>
            <w:top w:val="none" w:sz="0" w:space="0" w:color="auto"/>
            <w:left w:val="none" w:sz="0" w:space="0" w:color="auto"/>
            <w:bottom w:val="none" w:sz="0" w:space="0" w:color="auto"/>
            <w:right w:val="none" w:sz="0" w:space="0" w:color="auto"/>
          </w:divBdr>
        </w:div>
        <w:div w:id="808939606">
          <w:blockQuote w:val="1"/>
          <w:marLeft w:val="720"/>
          <w:marRight w:val="720"/>
          <w:marTop w:val="100"/>
          <w:marBottom w:val="100"/>
          <w:divBdr>
            <w:top w:val="none" w:sz="0" w:space="0" w:color="auto"/>
            <w:left w:val="none" w:sz="0" w:space="0" w:color="auto"/>
            <w:bottom w:val="none" w:sz="0" w:space="0" w:color="auto"/>
            <w:right w:val="none" w:sz="0" w:space="0" w:color="auto"/>
          </w:divBdr>
        </w:div>
        <w:div w:id="949313983">
          <w:blockQuote w:val="1"/>
          <w:marLeft w:val="720"/>
          <w:marRight w:val="720"/>
          <w:marTop w:val="100"/>
          <w:marBottom w:val="100"/>
          <w:divBdr>
            <w:top w:val="none" w:sz="0" w:space="0" w:color="auto"/>
            <w:left w:val="none" w:sz="0" w:space="0" w:color="auto"/>
            <w:bottom w:val="none" w:sz="0" w:space="0" w:color="auto"/>
            <w:right w:val="none" w:sz="0" w:space="0" w:color="auto"/>
          </w:divBdr>
        </w:div>
        <w:div w:id="222328157">
          <w:blockQuote w:val="1"/>
          <w:marLeft w:val="720"/>
          <w:marRight w:val="720"/>
          <w:marTop w:val="100"/>
          <w:marBottom w:val="100"/>
          <w:divBdr>
            <w:top w:val="none" w:sz="0" w:space="0" w:color="auto"/>
            <w:left w:val="none" w:sz="0" w:space="0" w:color="auto"/>
            <w:bottom w:val="none" w:sz="0" w:space="0" w:color="auto"/>
            <w:right w:val="none" w:sz="0" w:space="0" w:color="auto"/>
          </w:divBdr>
        </w:div>
        <w:div w:id="489636856">
          <w:blockQuote w:val="1"/>
          <w:marLeft w:val="720"/>
          <w:marRight w:val="720"/>
          <w:marTop w:val="100"/>
          <w:marBottom w:val="100"/>
          <w:divBdr>
            <w:top w:val="none" w:sz="0" w:space="0" w:color="auto"/>
            <w:left w:val="none" w:sz="0" w:space="0" w:color="auto"/>
            <w:bottom w:val="none" w:sz="0" w:space="0" w:color="auto"/>
            <w:right w:val="none" w:sz="0" w:space="0" w:color="auto"/>
          </w:divBdr>
        </w:div>
        <w:div w:id="609052420">
          <w:blockQuote w:val="1"/>
          <w:marLeft w:val="720"/>
          <w:marRight w:val="720"/>
          <w:marTop w:val="100"/>
          <w:marBottom w:val="100"/>
          <w:divBdr>
            <w:top w:val="none" w:sz="0" w:space="0" w:color="auto"/>
            <w:left w:val="none" w:sz="0" w:space="0" w:color="auto"/>
            <w:bottom w:val="none" w:sz="0" w:space="0" w:color="auto"/>
            <w:right w:val="none" w:sz="0" w:space="0" w:color="auto"/>
          </w:divBdr>
        </w:div>
        <w:div w:id="876504035">
          <w:blockQuote w:val="1"/>
          <w:marLeft w:val="720"/>
          <w:marRight w:val="720"/>
          <w:marTop w:val="100"/>
          <w:marBottom w:val="100"/>
          <w:divBdr>
            <w:top w:val="none" w:sz="0" w:space="0" w:color="auto"/>
            <w:left w:val="none" w:sz="0" w:space="0" w:color="auto"/>
            <w:bottom w:val="none" w:sz="0" w:space="0" w:color="auto"/>
            <w:right w:val="none" w:sz="0" w:space="0" w:color="auto"/>
          </w:divBdr>
        </w:div>
        <w:div w:id="454909556">
          <w:blockQuote w:val="1"/>
          <w:marLeft w:val="720"/>
          <w:marRight w:val="720"/>
          <w:marTop w:val="100"/>
          <w:marBottom w:val="100"/>
          <w:divBdr>
            <w:top w:val="none" w:sz="0" w:space="0" w:color="auto"/>
            <w:left w:val="none" w:sz="0" w:space="0" w:color="auto"/>
            <w:bottom w:val="none" w:sz="0" w:space="0" w:color="auto"/>
            <w:right w:val="none" w:sz="0" w:space="0" w:color="auto"/>
          </w:divBdr>
        </w:div>
        <w:div w:id="9846228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5771819">
      <w:bodyDiv w:val="1"/>
      <w:marLeft w:val="0"/>
      <w:marRight w:val="0"/>
      <w:marTop w:val="0"/>
      <w:marBottom w:val="0"/>
      <w:divBdr>
        <w:top w:val="none" w:sz="0" w:space="0" w:color="auto"/>
        <w:left w:val="none" w:sz="0" w:space="0" w:color="auto"/>
        <w:bottom w:val="none" w:sz="0" w:space="0" w:color="auto"/>
        <w:right w:val="none" w:sz="0" w:space="0" w:color="auto"/>
      </w:divBdr>
    </w:div>
    <w:div w:id="1215775500">
      <w:bodyDiv w:val="1"/>
      <w:marLeft w:val="0"/>
      <w:marRight w:val="0"/>
      <w:marTop w:val="0"/>
      <w:marBottom w:val="0"/>
      <w:divBdr>
        <w:top w:val="none" w:sz="0" w:space="0" w:color="auto"/>
        <w:left w:val="none" w:sz="0" w:space="0" w:color="auto"/>
        <w:bottom w:val="none" w:sz="0" w:space="0" w:color="auto"/>
        <w:right w:val="none" w:sz="0" w:space="0" w:color="auto"/>
      </w:divBdr>
    </w:div>
    <w:div w:id="1218934931">
      <w:bodyDiv w:val="1"/>
      <w:marLeft w:val="0"/>
      <w:marRight w:val="0"/>
      <w:marTop w:val="0"/>
      <w:marBottom w:val="0"/>
      <w:divBdr>
        <w:top w:val="none" w:sz="0" w:space="0" w:color="auto"/>
        <w:left w:val="none" w:sz="0" w:space="0" w:color="auto"/>
        <w:bottom w:val="none" w:sz="0" w:space="0" w:color="auto"/>
        <w:right w:val="none" w:sz="0" w:space="0" w:color="auto"/>
      </w:divBdr>
    </w:div>
    <w:div w:id="1219632093">
      <w:bodyDiv w:val="1"/>
      <w:marLeft w:val="0"/>
      <w:marRight w:val="0"/>
      <w:marTop w:val="0"/>
      <w:marBottom w:val="0"/>
      <w:divBdr>
        <w:top w:val="none" w:sz="0" w:space="0" w:color="auto"/>
        <w:left w:val="none" w:sz="0" w:space="0" w:color="auto"/>
        <w:bottom w:val="none" w:sz="0" w:space="0" w:color="auto"/>
        <w:right w:val="none" w:sz="0" w:space="0" w:color="auto"/>
      </w:divBdr>
    </w:div>
    <w:div w:id="1235777050">
      <w:bodyDiv w:val="1"/>
      <w:marLeft w:val="0"/>
      <w:marRight w:val="0"/>
      <w:marTop w:val="0"/>
      <w:marBottom w:val="0"/>
      <w:divBdr>
        <w:top w:val="none" w:sz="0" w:space="0" w:color="auto"/>
        <w:left w:val="none" w:sz="0" w:space="0" w:color="auto"/>
        <w:bottom w:val="none" w:sz="0" w:space="0" w:color="auto"/>
        <w:right w:val="none" w:sz="0" w:space="0" w:color="auto"/>
      </w:divBdr>
    </w:div>
    <w:div w:id="1236940136">
      <w:bodyDiv w:val="1"/>
      <w:marLeft w:val="0"/>
      <w:marRight w:val="0"/>
      <w:marTop w:val="0"/>
      <w:marBottom w:val="0"/>
      <w:divBdr>
        <w:top w:val="none" w:sz="0" w:space="0" w:color="auto"/>
        <w:left w:val="none" w:sz="0" w:space="0" w:color="auto"/>
        <w:bottom w:val="none" w:sz="0" w:space="0" w:color="auto"/>
        <w:right w:val="none" w:sz="0" w:space="0" w:color="auto"/>
      </w:divBdr>
    </w:div>
    <w:div w:id="1240556802">
      <w:bodyDiv w:val="1"/>
      <w:marLeft w:val="0"/>
      <w:marRight w:val="0"/>
      <w:marTop w:val="0"/>
      <w:marBottom w:val="0"/>
      <w:divBdr>
        <w:top w:val="none" w:sz="0" w:space="0" w:color="auto"/>
        <w:left w:val="none" w:sz="0" w:space="0" w:color="auto"/>
        <w:bottom w:val="none" w:sz="0" w:space="0" w:color="auto"/>
        <w:right w:val="none" w:sz="0" w:space="0" w:color="auto"/>
      </w:divBdr>
    </w:div>
    <w:div w:id="1253008163">
      <w:bodyDiv w:val="1"/>
      <w:marLeft w:val="0"/>
      <w:marRight w:val="0"/>
      <w:marTop w:val="0"/>
      <w:marBottom w:val="0"/>
      <w:divBdr>
        <w:top w:val="none" w:sz="0" w:space="0" w:color="auto"/>
        <w:left w:val="none" w:sz="0" w:space="0" w:color="auto"/>
        <w:bottom w:val="none" w:sz="0" w:space="0" w:color="auto"/>
        <w:right w:val="none" w:sz="0" w:space="0" w:color="auto"/>
      </w:divBdr>
      <w:divsChild>
        <w:div w:id="686371205">
          <w:marLeft w:val="0"/>
          <w:marRight w:val="0"/>
          <w:marTop w:val="0"/>
          <w:marBottom w:val="0"/>
          <w:divBdr>
            <w:top w:val="none" w:sz="0" w:space="0" w:color="auto"/>
            <w:left w:val="none" w:sz="0" w:space="0" w:color="auto"/>
            <w:bottom w:val="none" w:sz="0" w:space="0" w:color="auto"/>
            <w:right w:val="none" w:sz="0" w:space="0" w:color="auto"/>
          </w:divBdr>
        </w:div>
      </w:divsChild>
    </w:div>
    <w:div w:id="1254587363">
      <w:bodyDiv w:val="1"/>
      <w:marLeft w:val="0"/>
      <w:marRight w:val="0"/>
      <w:marTop w:val="0"/>
      <w:marBottom w:val="0"/>
      <w:divBdr>
        <w:top w:val="none" w:sz="0" w:space="0" w:color="auto"/>
        <w:left w:val="none" w:sz="0" w:space="0" w:color="auto"/>
        <w:bottom w:val="none" w:sz="0" w:space="0" w:color="auto"/>
        <w:right w:val="none" w:sz="0" w:space="0" w:color="auto"/>
      </w:divBdr>
      <w:divsChild>
        <w:div w:id="1368988201">
          <w:blockQuote w:val="1"/>
          <w:marLeft w:val="720"/>
          <w:marRight w:val="720"/>
          <w:marTop w:val="100"/>
          <w:marBottom w:val="100"/>
          <w:divBdr>
            <w:top w:val="none" w:sz="0" w:space="0" w:color="auto"/>
            <w:left w:val="none" w:sz="0" w:space="0" w:color="auto"/>
            <w:bottom w:val="none" w:sz="0" w:space="0" w:color="auto"/>
            <w:right w:val="none" w:sz="0" w:space="0" w:color="auto"/>
          </w:divBdr>
        </w:div>
        <w:div w:id="744226915">
          <w:blockQuote w:val="1"/>
          <w:marLeft w:val="720"/>
          <w:marRight w:val="720"/>
          <w:marTop w:val="100"/>
          <w:marBottom w:val="100"/>
          <w:divBdr>
            <w:top w:val="none" w:sz="0" w:space="0" w:color="auto"/>
            <w:left w:val="none" w:sz="0" w:space="0" w:color="auto"/>
            <w:bottom w:val="none" w:sz="0" w:space="0" w:color="auto"/>
            <w:right w:val="none" w:sz="0" w:space="0" w:color="auto"/>
          </w:divBdr>
        </w:div>
        <w:div w:id="1719279515">
          <w:blockQuote w:val="1"/>
          <w:marLeft w:val="720"/>
          <w:marRight w:val="720"/>
          <w:marTop w:val="100"/>
          <w:marBottom w:val="100"/>
          <w:divBdr>
            <w:top w:val="none" w:sz="0" w:space="0" w:color="auto"/>
            <w:left w:val="none" w:sz="0" w:space="0" w:color="auto"/>
            <w:bottom w:val="none" w:sz="0" w:space="0" w:color="auto"/>
            <w:right w:val="none" w:sz="0" w:space="0" w:color="auto"/>
          </w:divBdr>
        </w:div>
        <w:div w:id="18161913">
          <w:blockQuote w:val="1"/>
          <w:marLeft w:val="720"/>
          <w:marRight w:val="720"/>
          <w:marTop w:val="100"/>
          <w:marBottom w:val="100"/>
          <w:divBdr>
            <w:top w:val="none" w:sz="0" w:space="0" w:color="auto"/>
            <w:left w:val="none" w:sz="0" w:space="0" w:color="auto"/>
            <w:bottom w:val="none" w:sz="0" w:space="0" w:color="auto"/>
            <w:right w:val="none" w:sz="0" w:space="0" w:color="auto"/>
          </w:divBdr>
        </w:div>
        <w:div w:id="2048214969">
          <w:blockQuote w:val="1"/>
          <w:marLeft w:val="720"/>
          <w:marRight w:val="720"/>
          <w:marTop w:val="100"/>
          <w:marBottom w:val="100"/>
          <w:divBdr>
            <w:top w:val="none" w:sz="0" w:space="0" w:color="auto"/>
            <w:left w:val="none" w:sz="0" w:space="0" w:color="auto"/>
            <w:bottom w:val="none" w:sz="0" w:space="0" w:color="auto"/>
            <w:right w:val="none" w:sz="0" w:space="0" w:color="auto"/>
          </w:divBdr>
        </w:div>
        <w:div w:id="242253617">
          <w:blockQuote w:val="1"/>
          <w:marLeft w:val="720"/>
          <w:marRight w:val="720"/>
          <w:marTop w:val="100"/>
          <w:marBottom w:val="100"/>
          <w:divBdr>
            <w:top w:val="none" w:sz="0" w:space="0" w:color="auto"/>
            <w:left w:val="none" w:sz="0" w:space="0" w:color="auto"/>
            <w:bottom w:val="none" w:sz="0" w:space="0" w:color="auto"/>
            <w:right w:val="none" w:sz="0" w:space="0" w:color="auto"/>
          </w:divBdr>
        </w:div>
        <w:div w:id="1312708567">
          <w:blockQuote w:val="1"/>
          <w:marLeft w:val="720"/>
          <w:marRight w:val="720"/>
          <w:marTop w:val="100"/>
          <w:marBottom w:val="100"/>
          <w:divBdr>
            <w:top w:val="none" w:sz="0" w:space="0" w:color="auto"/>
            <w:left w:val="none" w:sz="0" w:space="0" w:color="auto"/>
            <w:bottom w:val="none" w:sz="0" w:space="0" w:color="auto"/>
            <w:right w:val="none" w:sz="0" w:space="0" w:color="auto"/>
          </w:divBdr>
        </w:div>
        <w:div w:id="2088914679">
          <w:blockQuote w:val="1"/>
          <w:marLeft w:val="720"/>
          <w:marRight w:val="720"/>
          <w:marTop w:val="100"/>
          <w:marBottom w:val="100"/>
          <w:divBdr>
            <w:top w:val="none" w:sz="0" w:space="0" w:color="auto"/>
            <w:left w:val="none" w:sz="0" w:space="0" w:color="auto"/>
            <w:bottom w:val="none" w:sz="0" w:space="0" w:color="auto"/>
            <w:right w:val="none" w:sz="0" w:space="0" w:color="auto"/>
          </w:divBdr>
        </w:div>
        <w:div w:id="82384514">
          <w:blockQuote w:val="1"/>
          <w:marLeft w:val="720"/>
          <w:marRight w:val="720"/>
          <w:marTop w:val="100"/>
          <w:marBottom w:val="100"/>
          <w:divBdr>
            <w:top w:val="none" w:sz="0" w:space="0" w:color="auto"/>
            <w:left w:val="none" w:sz="0" w:space="0" w:color="auto"/>
            <w:bottom w:val="none" w:sz="0" w:space="0" w:color="auto"/>
            <w:right w:val="none" w:sz="0" w:space="0" w:color="auto"/>
          </w:divBdr>
        </w:div>
        <w:div w:id="2122063229">
          <w:blockQuote w:val="1"/>
          <w:marLeft w:val="720"/>
          <w:marRight w:val="720"/>
          <w:marTop w:val="100"/>
          <w:marBottom w:val="100"/>
          <w:divBdr>
            <w:top w:val="none" w:sz="0" w:space="0" w:color="auto"/>
            <w:left w:val="none" w:sz="0" w:space="0" w:color="auto"/>
            <w:bottom w:val="none" w:sz="0" w:space="0" w:color="auto"/>
            <w:right w:val="none" w:sz="0" w:space="0" w:color="auto"/>
          </w:divBdr>
        </w:div>
        <w:div w:id="1388188358">
          <w:blockQuote w:val="1"/>
          <w:marLeft w:val="720"/>
          <w:marRight w:val="720"/>
          <w:marTop w:val="100"/>
          <w:marBottom w:val="100"/>
          <w:divBdr>
            <w:top w:val="none" w:sz="0" w:space="0" w:color="auto"/>
            <w:left w:val="none" w:sz="0" w:space="0" w:color="auto"/>
            <w:bottom w:val="none" w:sz="0" w:space="0" w:color="auto"/>
            <w:right w:val="none" w:sz="0" w:space="0" w:color="auto"/>
          </w:divBdr>
        </w:div>
        <w:div w:id="1411804011">
          <w:blockQuote w:val="1"/>
          <w:marLeft w:val="720"/>
          <w:marRight w:val="720"/>
          <w:marTop w:val="100"/>
          <w:marBottom w:val="100"/>
          <w:divBdr>
            <w:top w:val="none" w:sz="0" w:space="0" w:color="auto"/>
            <w:left w:val="none" w:sz="0" w:space="0" w:color="auto"/>
            <w:bottom w:val="none" w:sz="0" w:space="0" w:color="auto"/>
            <w:right w:val="none" w:sz="0" w:space="0" w:color="auto"/>
          </w:divBdr>
        </w:div>
        <w:div w:id="297149295">
          <w:blockQuote w:val="1"/>
          <w:marLeft w:val="720"/>
          <w:marRight w:val="720"/>
          <w:marTop w:val="100"/>
          <w:marBottom w:val="100"/>
          <w:divBdr>
            <w:top w:val="none" w:sz="0" w:space="0" w:color="auto"/>
            <w:left w:val="none" w:sz="0" w:space="0" w:color="auto"/>
            <w:bottom w:val="none" w:sz="0" w:space="0" w:color="auto"/>
            <w:right w:val="none" w:sz="0" w:space="0" w:color="auto"/>
          </w:divBdr>
        </w:div>
        <w:div w:id="1655180276">
          <w:blockQuote w:val="1"/>
          <w:marLeft w:val="720"/>
          <w:marRight w:val="720"/>
          <w:marTop w:val="100"/>
          <w:marBottom w:val="100"/>
          <w:divBdr>
            <w:top w:val="none" w:sz="0" w:space="0" w:color="auto"/>
            <w:left w:val="none" w:sz="0" w:space="0" w:color="auto"/>
            <w:bottom w:val="none" w:sz="0" w:space="0" w:color="auto"/>
            <w:right w:val="none" w:sz="0" w:space="0" w:color="auto"/>
          </w:divBdr>
        </w:div>
        <w:div w:id="3744259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5020410">
      <w:bodyDiv w:val="1"/>
      <w:marLeft w:val="0"/>
      <w:marRight w:val="0"/>
      <w:marTop w:val="0"/>
      <w:marBottom w:val="0"/>
      <w:divBdr>
        <w:top w:val="none" w:sz="0" w:space="0" w:color="auto"/>
        <w:left w:val="none" w:sz="0" w:space="0" w:color="auto"/>
        <w:bottom w:val="none" w:sz="0" w:space="0" w:color="auto"/>
        <w:right w:val="none" w:sz="0" w:space="0" w:color="auto"/>
      </w:divBdr>
    </w:div>
    <w:div w:id="1261796489">
      <w:bodyDiv w:val="1"/>
      <w:marLeft w:val="0"/>
      <w:marRight w:val="0"/>
      <w:marTop w:val="0"/>
      <w:marBottom w:val="0"/>
      <w:divBdr>
        <w:top w:val="none" w:sz="0" w:space="0" w:color="auto"/>
        <w:left w:val="none" w:sz="0" w:space="0" w:color="auto"/>
        <w:bottom w:val="none" w:sz="0" w:space="0" w:color="auto"/>
        <w:right w:val="none" w:sz="0" w:space="0" w:color="auto"/>
      </w:divBdr>
    </w:div>
    <w:div w:id="1262105945">
      <w:bodyDiv w:val="1"/>
      <w:marLeft w:val="0"/>
      <w:marRight w:val="0"/>
      <w:marTop w:val="0"/>
      <w:marBottom w:val="0"/>
      <w:divBdr>
        <w:top w:val="none" w:sz="0" w:space="0" w:color="auto"/>
        <w:left w:val="none" w:sz="0" w:space="0" w:color="auto"/>
        <w:bottom w:val="none" w:sz="0" w:space="0" w:color="auto"/>
        <w:right w:val="none" w:sz="0" w:space="0" w:color="auto"/>
      </w:divBdr>
    </w:div>
    <w:div w:id="1262295402">
      <w:bodyDiv w:val="1"/>
      <w:marLeft w:val="0"/>
      <w:marRight w:val="0"/>
      <w:marTop w:val="0"/>
      <w:marBottom w:val="0"/>
      <w:divBdr>
        <w:top w:val="none" w:sz="0" w:space="0" w:color="auto"/>
        <w:left w:val="none" w:sz="0" w:space="0" w:color="auto"/>
        <w:bottom w:val="none" w:sz="0" w:space="0" w:color="auto"/>
        <w:right w:val="none" w:sz="0" w:space="0" w:color="auto"/>
      </w:divBdr>
    </w:div>
    <w:div w:id="1263145441">
      <w:bodyDiv w:val="1"/>
      <w:marLeft w:val="0"/>
      <w:marRight w:val="0"/>
      <w:marTop w:val="0"/>
      <w:marBottom w:val="0"/>
      <w:divBdr>
        <w:top w:val="none" w:sz="0" w:space="0" w:color="auto"/>
        <w:left w:val="none" w:sz="0" w:space="0" w:color="auto"/>
        <w:bottom w:val="none" w:sz="0" w:space="0" w:color="auto"/>
        <w:right w:val="none" w:sz="0" w:space="0" w:color="auto"/>
      </w:divBdr>
    </w:div>
    <w:div w:id="1268659290">
      <w:bodyDiv w:val="1"/>
      <w:marLeft w:val="0"/>
      <w:marRight w:val="0"/>
      <w:marTop w:val="0"/>
      <w:marBottom w:val="0"/>
      <w:divBdr>
        <w:top w:val="none" w:sz="0" w:space="0" w:color="auto"/>
        <w:left w:val="none" w:sz="0" w:space="0" w:color="auto"/>
        <w:bottom w:val="none" w:sz="0" w:space="0" w:color="auto"/>
        <w:right w:val="none" w:sz="0" w:space="0" w:color="auto"/>
      </w:divBdr>
    </w:div>
    <w:div w:id="1270158236">
      <w:bodyDiv w:val="1"/>
      <w:marLeft w:val="0"/>
      <w:marRight w:val="0"/>
      <w:marTop w:val="0"/>
      <w:marBottom w:val="0"/>
      <w:divBdr>
        <w:top w:val="none" w:sz="0" w:space="0" w:color="auto"/>
        <w:left w:val="none" w:sz="0" w:space="0" w:color="auto"/>
        <w:bottom w:val="none" w:sz="0" w:space="0" w:color="auto"/>
        <w:right w:val="none" w:sz="0" w:space="0" w:color="auto"/>
      </w:divBdr>
    </w:div>
    <w:div w:id="1270770412">
      <w:bodyDiv w:val="1"/>
      <w:marLeft w:val="0"/>
      <w:marRight w:val="0"/>
      <w:marTop w:val="0"/>
      <w:marBottom w:val="0"/>
      <w:divBdr>
        <w:top w:val="none" w:sz="0" w:space="0" w:color="auto"/>
        <w:left w:val="none" w:sz="0" w:space="0" w:color="auto"/>
        <w:bottom w:val="none" w:sz="0" w:space="0" w:color="auto"/>
        <w:right w:val="none" w:sz="0" w:space="0" w:color="auto"/>
      </w:divBdr>
      <w:divsChild>
        <w:div w:id="7277237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3682448">
      <w:bodyDiv w:val="1"/>
      <w:marLeft w:val="0"/>
      <w:marRight w:val="0"/>
      <w:marTop w:val="0"/>
      <w:marBottom w:val="0"/>
      <w:divBdr>
        <w:top w:val="none" w:sz="0" w:space="0" w:color="auto"/>
        <w:left w:val="none" w:sz="0" w:space="0" w:color="auto"/>
        <w:bottom w:val="none" w:sz="0" w:space="0" w:color="auto"/>
        <w:right w:val="none" w:sz="0" w:space="0" w:color="auto"/>
      </w:divBdr>
    </w:div>
    <w:div w:id="1286736121">
      <w:bodyDiv w:val="1"/>
      <w:marLeft w:val="0"/>
      <w:marRight w:val="0"/>
      <w:marTop w:val="0"/>
      <w:marBottom w:val="0"/>
      <w:divBdr>
        <w:top w:val="none" w:sz="0" w:space="0" w:color="auto"/>
        <w:left w:val="none" w:sz="0" w:space="0" w:color="auto"/>
        <w:bottom w:val="none" w:sz="0" w:space="0" w:color="auto"/>
        <w:right w:val="none" w:sz="0" w:space="0" w:color="auto"/>
      </w:divBdr>
    </w:div>
    <w:div w:id="1289555136">
      <w:bodyDiv w:val="1"/>
      <w:marLeft w:val="0"/>
      <w:marRight w:val="0"/>
      <w:marTop w:val="0"/>
      <w:marBottom w:val="0"/>
      <w:divBdr>
        <w:top w:val="none" w:sz="0" w:space="0" w:color="auto"/>
        <w:left w:val="none" w:sz="0" w:space="0" w:color="auto"/>
        <w:bottom w:val="none" w:sz="0" w:space="0" w:color="auto"/>
        <w:right w:val="none" w:sz="0" w:space="0" w:color="auto"/>
      </w:divBdr>
    </w:div>
    <w:div w:id="1292979543">
      <w:bodyDiv w:val="1"/>
      <w:marLeft w:val="0"/>
      <w:marRight w:val="0"/>
      <w:marTop w:val="0"/>
      <w:marBottom w:val="0"/>
      <w:divBdr>
        <w:top w:val="none" w:sz="0" w:space="0" w:color="auto"/>
        <w:left w:val="none" w:sz="0" w:space="0" w:color="auto"/>
        <w:bottom w:val="none" w:sz="0" w:space="0" w:color="auto"/>
        <w:right w:val="none" w:sz="0" w:space="0" w:color="auto"/>
      </w:divBdr>
    </w:div>
    <w:div w:id="1298218618">
      <w:bodyDiv w:val="1"/>
      <w:marLeft w:val="0"/>
      <w:marRight w:val="0"/>
      <w:marTop w:val="0"/>
      <w:marBottom w:val="0"/>
      <w:divBdr>
        <w:top w:val="none" w:sz="0" w:space="0" w:color="auto"/>
        <w:left w:val="none" w:sz="0" w:space="0" w:color="auto"/>
        <w:bottom w:val="none" w:sz="0" w:space="0" w:color="auto"/>
        <w:right w:val="none" w:sz="0" w:space="0" w:color="auto"/>
      </w:divBdr>
    </w:div>
    <w:div w:id="1300963113">
      <w:bodyDiv w:val="1"/>
      <w:marLeft w:val="0"/>
      <w:marRight w:val="0"/>
      <w:marTop w:val="0"/>
      <w:marBottom w:val="0"/>
      <w:divBdr>
        <w:top w:val="none" w:sz="0" w:space="0" w:color="auto"/>
        <w:left w:val="none" w:sz="0" w:space="0" w:color="auto"/>
        <w:bottom w:val="none" w:sz="0" w:space="0" w:color="auto"/>
        <w:right w:val="none" w:sz="0" w:space="0" w:color="auto"/>
      </w:divBdr>
    </w:div>
    <w:div w:id="1308898191">
      <w:bodyDiv w:val="1"/>
      <w:marLeft w:val="0"/>
      <w:marRight w:val="0"/>
      <w:marTop w:val="0"/>
      <w:marBottom w:val="0"/>
      <w:divBdr>
        <w:top w:val="none" w:sz="0" w:space="0" w:color="auto"/>
        <w:left w:val="none" w:sz="0" w:space="0" w:color="auto"/>
        <w:bottom w:val="none" w:sz="0" w:space="0" w:color="auto"/>
        <w:right w:val="none" w:sz="0" w:space="0" w:color="auto"/>
      </w:divBdr>
    </w:div>
    <w:div w:id="1309893463">
      <w:bodyDiv w:val="1"/>
      <w:marLeft w:val="0"/>
      <w:marRight w:val="0"/>
      <w:marTop w:val="0"/>
      <w:marBottom w:val="0"/>
      <w:divBdr>
        <w:top w:val="none" w:sz="0" w:space="0" w:color="auto"/>
        <w:left w:val="none" w:sz="0" w:space="0" w:color="auto"/>
        <w:bottom w:val="none" w:sz="0" w:space="0" w:color="auto"/>
        <w:right w:val="none" w:sz="0" w:space="0" w:color="auto"/>
      </w:divBdr>
    </w:div>
    <w:div w:id="1318150963">
      <w:bodyDiv w:val="1"/>
      <w:marLeft w:val="0"/>
      <w:marRight w:val="0"/>
      <w:marTop w:val="0"/>
      <w:marBottom w:val="0"/>
      <w:divBdr>
        <w:top w:val="none" w:sz="0" w:space="0" w:color="auto"/>
        <w:left w:val="none" w:sz="0" w:space="0" w:color="auto"/>
        <w:bottom w:val="none" w:sz="0" w:space="0" w:color="auto"/>
        <w:right w:val="none" w:sz="0" w:space="0" w:color="auto"/>
      </w:divBdr>
    </w:div>
    <w:div w:id="1318218381">
      <w:bodyDiv w:val="1"/>
      <w:marLeft w:val="0"/>
      <w:marRight w:val="0"/>
      <w:marTop w:val="0"/>
      <w:marBottom w:val="0"/>
      <w:divBdr>
        <w:top w:val="none" w:sz="0" w:space="0" w:color="auto"/>
        <w:left w:val="none" w:sz="0" w:space="0" w:color="auto"/>
        <w:bottom w:val="none" w:sz="0" w:space="0" w:color="auto"/>
        <w:right w:val="none" w:sz="0" w:space="0" w:color="auto"/>
      </w:divBdr>
    </w:div>
    <w:div w:id="1323654541">
      <w:bodyDiv w:val="1"/>
      <w:marLeft w:val="0"/>
      <w:marRight w:val="0"/>
      <w:marTop w:val="0"/>
      <w:marBottom w:val="0"/>
      <w:divBdr>
        <w:top w:val="none" w:sz="0" w:space="0" w:color="auto"/>
        <w:left w:val="none" w:sz="0" w:space="0" w:color="auto"/>
        <w:bottom w:val="none" w:sz="0" w:space="0" w:color="auto"/>
        <w:right w:val="none" w:sz="0" w:space="0" w:color="auto"/>
      </w:divBdr>
      <w:divsChild>
        <w:div w:id="600839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2029301">
      <w:bodyDiv w:val="1"/>
      <w:marLeft w:val="0"/>
      <w:marRight w:val="0"/>
      <w:marTop w:val="0"/>
      <w:marBottom w:val="0"/>
      <w:divBdr>
        <w:top w:val="none" w:sz="0" w:space="0" w:color="auto"/>
        <w:left w:val="none" w:sz="0" w:space="0" w:color="auto"/>
        <w:bottom w:val="none" w:sz="0" w:space="0" w:color="auto"/>
        <w:right w:val="none" w:sz="0" w:space="0" w:color="auto"/>
      </w:divBdr>
    </w:div>
    <w:div w:id="1335183125">
      <w:bodyDiv w:val="1"/>
      <w:marLeft w:val="0"/>
      <w:marRight w:val="0"/>
      <w:marTop w:val="0"/>
      <w:marBottom w:val="0"/>
      <w:divBdr>
        <w:top w:val="none" w:sz="0" w:space="0" w:color="auto"/>
        <w:left w:val="none" w:sz="0" w:space="0" w:color="auto"/>
        <w:bottom w:val="none" w:sz="0" w:space="0" w:color="auto"/>
        <w:right w:val="none" w:sz="0" w:space="0" w:color="auto"/>
      </w:divBdr>
      <w:divsChild>
        <w:div w:id="14517794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266103">
      <w:bodyDiv w:val="1"/>
      <w:marLeft w:val="0"/>
      <w:marRight w:val="0"/>
      <w:marTop w:val="0"/>
      <w:marBottom w:val="0"/>
      <w:divBdr>
        <w:top w:val="none" w:sz="0" w:space="0" w:color="auto"/>
        <w:left w:val="none" w:sz="0" w:space="0" w:color="auto"/>
        <w:bottom w:val="none" w:sz="0" w:space="0" w:color="auto"/>
        <w:right w:val="none" w:sz="0" w:space="0" w:color="auto"/>
      </w:divBdr>
    </w:div>
    <w:div w:id="1341737879">
      <w:bodyDiv w:val="1"/>
      <w:marLeft w:val="0"/>
      <w:marRight w:val="0"/>
      <w:marTop w:val="0"/>
      <w:marBottom w:val="0"/>
      <w:divBdr>
        <w:top w:val="none" w:sz="0" w:space="0" w:color="auto"/>
        <w:left w:val="none" w:sz="0" w:space="0" w:color="auto"/>
        <w:bottom w:val="none" w:sz="0" w:space="0" w:color="auto"/>
        <w:right w:val="none" w:sz="0" w:space="0" w:color="auto"/>
      </w:divBdr>
    </w:div>
    <w:div w:id="1347712925">
      <w:bodyDiv w:val="1"/>
      <w:marLeft w:val="0"/>
      <w:marRight w:val="0"/>
      <w:marTop w:val="0"/>
      <w:marBottom w:val="0"/>
      <w:divBdr>
        <w:top w:val="none" w:sz="0" w:space="0" w:color="auto"/>
        <w:left w:val="none" w:sz="0" w:space="0" w:color="auto"/>
        <w:bottom w:val="none" w:sz="0" w:space="0" w:color="auto"/>
        <w:right w:val="none" w:sz="0" w:space="0" w:color="auto"/>
      </w:divBdr>
    </w:div>
    <w:div w:id="1353338627">
      <w:bodyDiv w:val="1"/>
      <w:marLeft w:val="0"/>
      <w:marRight w:val="0"/>
      <w:marTop w:val="0"/>
      <w:marBottom w:val="0"/>
      <w:divBdr>
        <w:top w:val="none" w:sz="0" w:space="0" w:color="auto"/>
        <w:left w:val="none" w:sz="0" w:space="0" w:color="auto"/>
        <w:bottom w:val="none" w:sz="0" w:space="0" w:color="auto"/>
        <w:right w:val="none" w:sz="0" w:space="0" w:color="auto"/>
      </w:divBdr>
    </w:div>
    <w:div w:id="1356805315">
      <w:bodyDiv w:val="1"/>
      <w:marLeft w:val="0"/>
      <w:marRight w:val="0"/>
      <w:marTop w:val="0"/>
      <w:marBottom w:val="0"/>
      <w:divBdr>
        <w:top w:val="none" w:sz="0" w:space="0" w:color="auto"/>
        <w:left w:val="none" w:sz="0" w:space="0" w:color="auto"/>
        <w:bottom w:val="none" w:sz="0" w:space="0" w:color="auto"/>
        <w:right w:val="none" w:sz="0" w:space="0" w:color="auto"/>
      </w:divBdr>
      <w:divsChild>
        <w:div w:id="1632519050">
          <w:blockQuote w:val="1"/>
          <w:marLeft w:val="720"/>
          <w:marRight w:val="720"/>
          <w:marTop w:val="100"/>
          <w:marBottom w:val="100"/>
          <w:divBdr>
            <w:top w:val="none" w:sz="0" w:space="0" w:color="auto"/>
            <w:left w:val="none" w:sz="0" w:space="0" w:color="auto"/>
            <w:bottom w:val="none" w:sz="0" w:space="0" w:color="auto"/>
            <w:right w:val="none" w:sz="0" w:space="0" w:color="auto"/>
          </w:divBdr>
        </w:div>
        <w:div w:id="6115966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3894082">
      <w:bodyDiv w:val="1"/>
      <w:marLeft w:val="0"/>
      <w:marRight w:val="0"/>
      <w:marTop w:val="0"/>
      <w:marBottom w:val="0"/>
      <w:divBdr>
        <w:top w:val="none" w:sz="0" w:space="0" w:color="auto"/>
        <w:left w:val="none" w:sz="0" w:space="0" w:color="auto"/>
        <w:bottom w:val="none" w:sz="0" w:space="0" w:color="auto"/>
        <w:right w:val="none" w:sz="0" w:space="0" w:color="auto"/>
      </w:divBdr>
    </w:div>
    <w:div w:id="1368749540">
      <w:bodyDiv w:val="1"/>
      <w:marLeft w:val="0"/>
      <w:marRight w:val="0"/>
      <w:marTop w:val="0"/>
      <w:marBottom w:val="0"/>
      <w:divBdr>
        <w:top w:val="none" w:sz="0" w:space="0" w:color="auto"/>
        <w:left w:val="none" w:sz="0" w:space="0" w:color="auto"/>
        <w:bottom w:val="none" w:sz="0" w:space="0" w:color="auto"/>
        <w:right w:val="none" w:sz="0" w:space="0" w:color="auto"/>
      </w:divBdr>
    </w:div>
    <w:div w:id="1369600370">
      <w:bodyDiv w:val="1"/>
      <w:marLeft w:val="0"/>
      <w:marRight w:val="0"/>
      <w:marTop w:val="0"/>
      <w:marBottom w:val="0"/>
      <w:divBdr>
        <w:top w:val="none" w:sz="0" w:space="0" w:color="auto"/>
        <w:left w:val="none" w:sz="0" w:space="0" w:color="auto"/>
        <w:bottom w:val="none" w:sz="0" w:space="0" w:color="auto"/>
        <w:right w:val="none" w:sz="0" w:space="0" w:color="auto"/>
      </w:divBdr>
    </w:div>
    <w:div w:id="1370035460">
      <w:bodyDiv w:val="1"/>
      <w:marLeft w:val="0"/>
      <w:marRight w:val="0"/>
      <w:marTop w:val="0"/>
      <w:marBottom w:val="0"/>
      <w:divBdr>
        <w:top w:val="none" w:sz="0" w:space="0" w:color="auto"/>
        <w:left w:val="none" w:sz="0" w:space="0" w:color="auto"/>
        <w:bottom w:val="none" w:sz="0" w:space="0" w:color="auto"/>
        <w:right w:val="none" w:sz="0" w:space="0" w:color="auto"/>
      </w:divBdr>
    </w:div>
    <w:div w:id="1378507221">
      <w:bodyDiv w:val="1"/>
      <w:marLeft w:val="0"/>
      <w:marRight w:val="0"/>
      <w:marTop w:val="0"/>
      <w:marBottom w:val="0"/>
      <w:divBdr>
        <w:top w:val="none" w:sz="0" w:space="0" w:color="auto"/>
        <w:left w:val="none" w:sz="0" w:space="0" w:color="auto"/>
        <w:bottom w:val="none" w:sz="0" w:space="0" w:color="auto"/>
        <w:right w:val="none" w:sz="0" w:space="0" w:color="auto"/>
      </w:divBdr>
    </w:div>
    <w:div w:id="1385175609">
      <w:bodyDiv w:val="1"/>
      <w:marLeft w:val="0"/>
      <w:marRight w:val="0"/>
      <w:marTop w:val="0"/>
      <w:marBottom w:val="0"/>
      <w:divBdr>
        <w:top w:val="none" w:sz="0" w:space="0" w:color="auto"/>
        <w:left w:val="none" w:sz="0" w:space="0" w:color="auto"/>
        <w:bottom w:val="none" w:sz="0" w:space="0" w:color="auto"/>
        <w:right w:val="none" w:sz="0" w:space="0" w:color="auto"/>
      </w:divBdr>
    </w:div>
    <w:div w:id="1385254177">
      <w:bodyDiv w:val="1"/>
      <w:marLeft w:val="0"/>
      <w:marRight w:val="0"/>
      <w:marTop w:val="0"/>
      <w:marBottom w:val="0"/>
      <w:divBdr>
        <w:top w:val="none" w:sz="0" w:space="0" w:color="auto"/>
        <w:left w:val="none" w:sz="0" w:space="0" w:color="auto"/>
        <w:bottom w:val="none" w:sz="0" w:space="0" w:color="auto"/>
        <w:right w:val="none" w:sz="0" w:space="0" w:color="auto"/>
      </w:divBdr>
      <w:divsChild>
        <w:div w:id="18263894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86028521">
      <w:bodyDiv w:val="1"/>
      <w:marLeft w:val="0"/>
      <w:marRight w:val="0"/>
      <w:marTop w:val="0"/>
      <w:marBottom w:val="0"/>
      <w:divBdr>
        <w:top w:val="none" w:sz="0" w:space="0" w:color="auto"/>
        <w:left w:val="none" w:sz="0" w:space="0" w:color="auto"/>
        <w:bottom w:val="none" w:sz="0" w:space="0" w:color="auto"/>
        <w:right w:val="none" w:sz="0" w:space="0" w:color="auto"/>
      </w:divBdr>
      <w:divsChild>
        <w:div w:id="1981114177">
          <w:marLeft w:val="0"/>
          <w:marRight w:val="0"/>
          <w:marTop w:val="0"/>
          <w:marBottom w:val="0"/>
          <w:divBdr>
            <w:top w:val="none" w:sz="0" w:space="0" w:color="auto"/>
            <w:left w:val="none" w:sz="0" w:space="0" w:color="auto"/>
            <w:bottom w:val="none" w:sz="0" w:space="0" w:color="auto"/>
            <w:right w:val="none" w:sz="0" w:space="0" w:color="auto"/>
          </w:divBdr>
        </w:div>
      </w:divsChild>
    </w:div>
    <w:div w:id="1386104642">
      <w:bodyDiv w:val="1"/>
      <w:marLeft w:val="0"/>
      <w:marRight w:val="0"/>
      <w:marTop w:val="0"/>
      <w:marBottom w:val="0"/>
      <w:divBdr>
        <w:top w:val="none" w:sz="0" w:space="0" w:color="auto"/>
        <w:left w:val="none" w:sz="0" w:space="0" w:color="auto"/>
        <w:bottom w:val="none" w:sz="0" w:space="0" w:color="auto"/>
        <w:right w:val="none" w:sz="0" w:space="0" w:color="auto"/>
      </w:divBdr>
    </w:div>
    <w:div w:id="1387026737">
      <w:bodyDiv w:val="1"/>
      <w:marLeft w:val="0"/>
      <w:marRight w:val="0"/>
      <w:marTop w:val="0"/>
      <w:marBottom w:val="0"/>
      <w:divBdr>
        <w:top w:val="none" w:sz="0" w:space="0" w:color="auto"/>
        <w:left w:val="none" w:sz="0" w:space="0" w:color="auto"/>
        <w:bottom w:val="none" w:sz="0" w:space="0" w:color="auto"/>
        <w:right w:val="none" w:sz="0" w:space="0" w:color="auto"/>
      </w:divBdr>
      <w:divsChild>
        <w:div w:id="1817599052">
          <w:blockQuote w:val="1"/>
          <w:marLeft w:val="720"/>
          <w:marRight w:val="720"/>
          <w:marTop w:val="100"/>
          <w:marBottom w:val="100"/>
          <w:divBdr>
            <w:top w:val="none" w:sz="0" w:space="0" w:color="auto"/>
            <w:left w:val="none" w:sz="0" w:space="0" w:color="auto"/>
            <w:bottom w:val="none" w:sz="0" w:space="0" w:color="auto"/>
            <w:right w:val="none" w:sz="0" w:space="0" w:color="auto"/>
          </w:divBdr>
        </w:div>
        <w:div w:id="18117455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88338233">
      <w:bodyDiv w:val="1"/>
      <w:marLeft w:val="0"/>
      <w:marRight w:val="0"/>
      <w:marTop w:val="0"/>
      <w:marBottom w:val="0"/>
      <w:divBdr>
        <w:top w:val="none" w:sz="0" w:space="0" w:color="auto"/>
        <w:left w:val="none" w:sz="0" w:space="0" w:color="auto"/>
        <w:bottom w:val="none" w:sz="0" w:space="0" w:color="auto"/>
        <w:right w:val="none" w:sz="0" w:space="0" w:color="auto"/>
      </w:divBdr>
      <w:divsChild>
        <w:div w:id="6072719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2654339">
      <w:bodyDiv w:val="1"/>
      <w:marLeft w:val="0"/>
      <w:marRight w:val="0"/>
      <w:marTop w:val="0"/>
      <w:marBottom w:val="0"/>
      <w:divBdr>
        <w:top w:val="none" w:sz="0" w:space="0" w:color="auto"/>
        <w:left w:val="none" w:sz="0" w:space="0" w:color="auto"/>
        <w:bottom w:val="none" w:sz="0" w:space="0" w:color="auto"/>
        <w:right w:val="none" w:sz="0" w:space="0" w:color="auto"/>
      </w:divBdr>
    </w:div>
    <w:div w:id="1399481114">
      <w:bodyDiv w:val="1"/>
      <w:marLeft w:val="0"/>
      <w:marRight w:val="0"/>
      <w:marTop w:val="0"/>
      <w:marBottom w:val="0"/>
      <w:divBdr>
        <w:top w:val="none" w:sz="0" w:space="0" w:color="auto"/>
        <w:left w:val="none" w:sz="0" w:space="0" w:color="auto"/>
        <w:bottom w:val="none" w:sz="0" w:space="0" w:color="auto"/>
        <w:right w:val="none" w:sz="0" w:space="0" w:color="auto"/>
      </w:divBdr>
    </w:div>
    <w:div w:id="1400056341">
      <w:bodyDiv w:val="1"/>
      <w:marLeft w:val="0"/>
      <w:marRight w:val="0"/>
      <w:marTop w:val="0"/>
      <w:marBottom w:val="0"/>
      <w:divBdr>
        <w:top w:val="none" w:sz="0" w:space="0" w:color="auto"/>
        <w:left w:val="none" w:sz="0" w:space="0" w:color="auto"/>
        <w:bottom w:val="none" w:sz="0" w:space="0" w:color="auto"/>
        <w:right w:val="none" w:sz="0" w:space="0" w:color="auto"/>
      </w:divBdr>
    </w:div>
    <w:div w:id="1400905306">
      <w:bodyDiv w:val="1"/>
      <w:marLeft w:val="0"/>
      <w:marRight w:val="0"/>
      <w:marTop w:val="0"/>
      <w:marBottom w:val="0"/>
      <w:divBdr>
        <w:top w:val="none" w:sz="0" w:space="0" w:color="auto"/>
        <w:left w:val="none" w:sz="0" w:space="0" w:color="auto"/>
        <w:bottom w:val="none" w:sz="0" w:space="0" w:color="auto"/>
        <w:right w:val="none" w:sz="0" w:space="0" w:color="auto"/>
      </w:divBdr>
    </w:div>
    <w:div w:id="1402172278">
      <w:bodyDiv w:val="1"/>
      <w:marLeft w:val="0"/>
      <w:marRight w:val="0"/>
      <w:marTop w:val="0"/>
      <w:marBottom w:val="0"/>
      <w:divBdr>
        <w:top w:val="none" w:sz="0" w:space="0" w:color="auto"/>
        <w:left w:val="none" w:sz="0" w:space="0" w:color="auto"/>
        <w:bottom w:val="none" w:sz="0" w:space="0" w:color="auto"/>
        <w:right w:val="none" w:sz="0" w:space="0" w:color="auto"/>
      </w:divBdr>
      <w:divsChild>
        <w:div w:id="699205244">
          <w:blockQuote w:val="1"/>
          <w:marLeft w:val="720"/>
          <w:marRight w:val="720"/>
          <w:marTop w:val="100"/>
          <w:marBottom w:val="100"/>
          <w:divBdr>
            <w:top w:val="none" w:sz="0" w:space="0" w:color="auto"/>
            <w:left w:val="none" w:sz="0" w:space="0" w:color="auto"/>
            <w:bottom w:val="none" w:sz="0" w:space="0" w:color="auto"/>
            <w:right w:val="none" w:sz="0" w:space="0" w:color="auto"/>
          </w:divBdr>
        </w:div>
        <w:div w:id="1540438078">
          <w:blockQuote w:val="1"/>
          <w:marLeft w:val="720"/>
          <w:marRight w:val="720"/>
          <w:marTop w:val="100"/>
          <w:marBottom w:val="100"/>
          <w:divBdr>
            <w:top w:val="none" w:sz="0" w:space="0" w:color="auto"/>
            <w:left w:val="none" w:sz="0" w:space="0" w:color="auto"/>
            <w:bottom w:val="none" w:sz="0" w:space="0" w:color="auto"/>
            <w:right w:val="none" w:sz="0" w:space="0" w:color="auto"/>
          </w:divBdr>
        </w:div>
        <w:div w:id="1118447090">
          <w:blockQuote w:val="1"/>
          <w:marLeft w:val="720"/>
          <w:marRight w:val="720"/>
          <w:marTop w:val="100"/>
          <w:marBottom w:val="100"/>
          <w:divBdr>
            <w:top w:val="none" w:sz="0" w:space="0" w:color="auto"/>
            <w:left w:val="none" w:sz="0" w:space="0" w:color="auto"/>
            <w:bottom w:val="none" w:sz="0" w:space="0" w:color="auto"/>
            <w:right w:val="none" w:sz="0" w:space="0" w:color="auto"/>
          </w:divBdr>
        </w:div>
        <w:div w:id="1084182456">
          <w:blockQuote w:val="1"/>
          <w:marLeft w:val="720"/>
          <w:marRight w:val="720"/>
          <w:marTop w:val="100"/>
          <w:marBottom w:val="100"/>
          <w:divBdr>
            <w:top w:val="none" w:sz="0" w:space="0" w:color="auto"/>
            <w:left w:val="none" w:sz="0" w:space="0" w:color="auto"/>
            <w:bottom w:val="none" w:sz="0" w:space="0" w:color="auto"/>
            <w:right w:val="none" w:sz="0" w:space="0" w:color="auto"/>
          </w:divBdr>
        </w:div>
        <w:div w:id="20065446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003981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4066490">
      <w:bodyDiv w:val="1"/>
      <w:marLeft w:val="0"/>
      <w:marRight w:val="0"/>
      <w:marTop w:val="0"/>
      <w:marBottom w:val="0"/>
      <w:divBdr>
        <w:top w:val="none" w:sz="0" w:space="0" w:color="auto"/>
        <w:left w:val="none" w:sz="0" w:space="0" w:color="auto"/>
        <w:bottom w:val="none" w:sz="0" w:space="0" w:color="auto"/>
        <w:right w:val="none" w:sz="0" w:space="0" w:color="auto"/>
      </w:divBdr>
    </w:div>
    <w:div w:id="1410232549">
      <w:bodyDiv w:val="1"/>
      <w:marLeft w:val="0"/>
      <w:marRight w:val="0"/>
      <w:marTop w:val="0"/>
      <w:marBottom w:val="0"/>
      <w:divBdr>
        <w:top w:val="none" w:sz="0" w:space="0" w:color="auto"/>
        <w:left w:val="none" w:sz="0" w:space="0" w:color="auto"/>
        <w:bottom w:val="none" w:sz="0" w:space="0" w:color="auto"/>
        <w:right w:val="none" w:sz="0" w:space="0" w:color="auto"/>
      </w:divBdr>
    </w:div>
    <w:div w:id="1416123307">
      <w:bodyDiv w:val="1"/>
      <w:marLeft w:val="0"/>
      <w:marRight w:val="0"/>
      <w:marTop w:val="0"/>
      <w:marBottom w:val="0"/>
      <w:divBdr>
        <w:top w:val="none" w:sz="0" w:space="0" w:color="auto"/>
        <w:left w:val="none" w:sz="0" w:space="0" w:color="auto"/>
        <w:bottom w:val="none" w:sz="0" w:space="0" w:color="auto"/>
        <w:right w:val="none" w:sz="0" w:space="0" w:color="auto"/>
      </w:divBdr>
    </w:div>
    <w:div w:id="1421681500">
      <w:bodyDiv w:val="1"/>
      <w:marLeft w:val="0"/>
      <w:marRight w:val="0"/>
      <w:marTop w:val="0"/>
      <w:marBottom w:val="0"/>
      <w:divBdr>
        <w:top w:val="none" w:sz="0" w:space="0" w:color="auto"/>
        <w:left w:val="none" w:sz="0" w:space="0" w:color="auto"/>
        <w:bottom w:val="none" w:sz="0" w:space="0" w:color="auto"/>
        <w:right w:val="none" w:sz="0" w:space="0" w:color="auto"/>
      </w:divBdr>
    </w:div>
    <w:div w:id="1421947770">
      <w:bodyDiv w:val="1"/>
      <w:marLeft w:val="0"/>
      <w:marRight w:val="0"/>
      <w:marTop w:val="0"/>
      <w:marBottom w:val="0"/>
      <w:divBdr>
        <w:top w:val="none" w:sz="0" w:space="0" w:color="auto"/>
        <w:left w:val="none" w:sz="0" w:space="0" w:color="auto"/>
        <w:bottom w:val="none" w:sz="0" w:space="0" w:color="auto"/>
        <w:right w:val="none" w:sz="0" w:space="0" w:color="auto"/>
      </w:divBdr>
    </w:div>
    <w:div w:id="1423791841">
      <w:bodyDiv w:val="1"/>
      <w:marLeft w:val="0"/>
      <w:marRight w:val="0"/>
      <w:marTop w:val="0"/>
      <w:marBottom w:val="0"/>
      <w:divBdr>
        <w:top w:val="none" w:sz="0" w:space="0" w:color="auto"/>
        <w:left w:val="none" w:sz="0" w:space="0" w:color="auto"/>
        <w:bottom w:val="none" w:sz="0" w:space="0" w:color="auto"/>
        <w:right w:val="none" w:sz="0" w:space="0" w:color="auto"/>
      </w:divBdr>
    </w:div>
    <w:div w:id="1435132062">
      <w:bodyDiv w:val="1"/>
      <w:marLeft w:val="0"/>
      <w:marRight w:val="0"/>
      <w:marTop w:val="0"/>
      <w:marBottom w:val="0"/>
      <w:divBdr>
        <w:top w:val="none" w:sz="0" w:space="0" w:color="auto"/>
        <w:left w:val="none" w:sz="0" w:space="0" w:color="auto"/>
        <w:bottom w:val="none" w:sz="0" w:space="0" w:color="auto"/>
        <w:right w:val="none" w:sz="0" w:space="0" w:color="auto"/>
      </w:divBdr>
    </w:div>
    <w:div w:id="1437478850">
      <w:bodyDiv w:val="1"/>
      <w:marLeft w:val="0"/>
      <w:marRight w:val="0"/>
      <w:marTop w:val="0"/>
      <w:marBottom w:val="0"/>
      <w:divBdr>
        <w:top w:val="none" w:sz="0" w:space="0" w:color="auto"/>
        <w:left w:val="none" w:sz="0" w:space="0" w:color="auto"/>
        <w:bottom w:val="none" w:sz="0" w:space="0" w:color="auto"/>
        <w:right w:val="none" w:sz="0" w:space="0" w:color="auto"/>
      </w:divBdr>
    </w:div>
    <w:div w:id="1443450405">
      <w:bodyDiv w:val="1"/>
      <w:marLeft w:val="0"/>
      <w:marRight w:val="0"/>
      <w:marTop w:val="0"/>
      <w:marBottom w:val="0"/>
      <w:divBdr>
        <w:top w:val="none" w:sz="0" w:space="0" w:color="auto"/>
        <w:left w:val="none" w:sz="0" w:space="0" w:color="auto"/>
        <w:bottom w:val="none" w:sz="0" w:space="0" w:color="auto"/>
        <w:right w:val="none" w:sz="0" w:space="0" w:color="auto"/>
      </w:divBdr>
      <w:divsChild>
        <w:div w:id="1716542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3496118">
      <w:bodyDiv w:val="1"/>
      <w:marLeft w:val="0"/>
      <w:marRight w:val="0"/>
      <w:marTop w:val="0"/>
      <w:marBottom w:val="0"/>
      <w:divBdr>
        <w:top w:val="none" w:sz="0" w:space="0" w:color="auto"/>
        <w:left w:val="none" w:sz="0" w:space="0" w:color="auto"/>
        <w:bottom w:val="none" w:sz="0" w:space="0" w:color="auto"/>
        <w:right w:val="none" w:sz="0" w:space="0" w:color="auto"/>
      </w:divBdr>
    </w:div>
    <w:div w:id="1451628633">
      <w:bodyDiv w:val="1"/>
      <w:marLeft w:val="0"/>
      <w:marRight w:val="0"/>
      <w:marTop w:val="0"/>
      <w:marBottom w:val="0"/>
      <w:divBdr>
        <w:top w:val="none" w:sz="0" w:space="0" w:color="auto"/>
        <w:left w:val="none" w:sz="0" w:space="0" w:color="auto"/>
        <w:bottom w:val="none" w:sz="0" w:space="0" w:color="auto"/>
        <w:right w:val="none" w:sz="0" w:space="0" w:color="auto"/>
      </w:divBdr>
    </w:div>
    <w:div w:id="1460102211">
      <w:bodyDiv w:val="1"/>
      <w:marLeft w:val="0"/>
      <w:marRight w:val="0"/>
      <w:marTop w:val="0"/>
      <w:marBottom w:val="0"/>
      <w:divBdr>
        <w:top w:val="none" w:sz="0" w:space="0" w:color="auto"/>
        <w:left w:val="none" w:sz="0" w:space="0" w:color="auto"/>
        <w:bottom w:val="none" w:sz="0" w:space="0" w:color="auto"/>
        <w:right w:val="none" w:sz="0" w:space="0" w:color="auto"/>
      </w:divBdr>
    </w:div>
    <w:div w:id="1473521193">
      <w:bodyDiv w:val="1"/>
      <w:marLeft w:val="0"/>
      <w:marRight w:val="0"/>
      <w:marTop w:val="0"/>
      <w:marBottom w:val="0"/>
      <w:divBdr>
        <w:top w:val="none" w:sz="0" w:space="0" w:color="auto"/>
        <w:left w:val="none" w:sz="0" w:space="0" w:color="auto"/>
        <w:bottom w:val="none" w:sz="0" w:space="0" w:color="auto"/>
        <w:right w:val="none" w:sz="0" w:space="0" w:color="auto"/>
      </w:divBdr>
    </w:div>
    <w:div w:id="1476799070">
      <w:bodyDiv w:val="1"/>
      <w:marLeft w:val="0"/>
      <w:marRight w:val="0"/>
      <w:marTop w:val="0"/>
      <w:marBottom w:val="0"/>
      <w:divBdr>
        <w:top w:val="none" w:sz="0" w:space="0" w:color="auto"/>
        <w:left w:val="none" w:sz="0" w:space="0" w:color="auto"/>
        <w:bottom w:val="none" w:sz="0" w:space="0" w:color="auto"/>
        <w:right w:val="none" w:sz="0" w:space="0" w:color="auto"/>
      </w:divBdr>
    </w:div>
    <w:div w:id="1478255064">
      <w:bodyDiv w:val="1"/>
      <w:marLeft w:val="0"/>
      <w:marRight w:val="0"/>
      <w:marTop w:val="0"/>
      <w:marBottom w:val="0"/>
      <w:divBdr>
        <w:top w:val="none" w:sz="0" w:space="0" w:color="auto"/>
        <w:left w:val="none" w:sz="0" w:space="0" w:color="auto"/>
        <w:bottom w:val="none" w:sz="0" w:space="0" w:color="auto"/>
        <w:right w:val="none" w:sz="0" w:space="0" w:color="auto"/>
      </w:divBdr>
      <w:divsChild>
        <w:div w:id="436484746">
          <w:marLeft w:val="0"/>
          <w:marRight w:val="0"/>
          <w:marTop w:val="0"/>
          <w:marBottom w:val="0"/>
          <w:divBdr>
            <w:top w:val="none" w:sz="0" w:space="0" w:color="auto"/>
            <w:left w:val="none" w:sz="0" w:space="0" w:color="auto"/>
            <w:bottom w:val="none" w:sz="0" w:space="0" w:color="auto"/>
            <w:right w:val="none" w:sz="0" w:space="0" w:color="auto"/>
          </w:divBdr>
        </w:div>
      </w:divsChild>
    </w:div>
    <w:div w:id="1481575401">
      <w:bodyDiv w:val="1"/>
      <w:marLeft w:val="0"/>
      <w:marRight w:val="0"/>
      <w:marTop w:val="0"/>
      <w:marBottom w:val="0"/>
      <w:divBdr>
        <w:top w:val="none" w:sz="0" w:space="0" w:color="auto"/>
        <w:left w:val="none" w:sz="0" w:space="0" w:color="auto"/>
        <w:bottom w:val="none" w:sz="0" w:space="0" w:color="auto"/>
        <w:right w:val="none" w:sz="0" w:space="0" w:color="auto"/>
      </w:divBdr>
      <w:divsChild>
        <w:div w:id="7037534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4158459">
      <w:bodyDiv w:val="1"/>
      <w:marLeft w:val="0"/>
      <w:marRight w:val="0"/>
      <w:marTop w:val="0"/>
      <w:marBottom w:val="0"/>
      <w:divBdr>
        <w:top w:val="none" w:sz="0" w:space="0" w:color="auto"/>
        <w:left w:val="none" w:sz="0" w:space="0" w:color="auto"/>
        <w:bottom w:val="none" w:sz="0" w:space="0" w:color="auto"/>
        <w:right w:val="none" w:sz="0" w:space="0" w:color="auto"/>
      </w:divBdr>
      <w:divsChild>
        <w:div w:id="1598248072">
          <w:blockQuote w:val="1"/>
          <w:marLeft w:val="720"/>
          <w:marRight w:val="720"/>
          <w:marTop w:val="100"/>
          <w:marBottom w:val="100"/>
          <w:divBdr>
            <w:top w:val="none" w:sz="0" w:space="0" w:color="auto"/>
            <w:left w:val="none" w:sz="0" w:space="0" w:color="auto"/>
            <w:bottom w:val="none" w:sz="0" w:space="0" w:color="auto"/>
            <w:right w:val="none" w:sz="0" w:space="0" w:color="auto"/>
          </w:divBdr>
        </w:div>
        <w:div w:id="27537303">
          <w:blockQuote w:val="1"/>
          <w:marLeft w:val="720"/>
          <w:marRight w:val="720"/>
          <w:marTop w:val="100"/>
          <w:marBottom w:val="100"/>
          <w:divBdr>
            <w:top w:val="none" w:sz="0" w:space="0" w:color="auto"/>
            <w:left w:val="none" w:sz="0" w:space="0" w:color="auto"/>
            <w:bottom w:val="none" w:sz="0" w:space="0" w:color="auto"/>
            <w:right w:val="none" w:sz="0" w:space="0" w:color="auto"/>
          </w:divBdr>
        </w:div>
        <w:div w:id="14964593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6311476">
      <w:bodyDiv w:val="1"/>
      <w:marLeft w:val="0"/>
      <w:marRight w:val="0"/>
      <w:marTop w:val="0"/>
      <w:marBottom w:val="0"/>
      <w:divBdr>
        <w:top w:val="none" w:sz="0" w:space="0" w:color="auto"/>
        <w:left w:val="none" w:sz="0" w:space="0" w:color="auto"/>
        <w:bottom w:val="none" w:sz="0" w:space="0" w:color="auto"/>
        <w:right w:val="none" w:sz="0" w:space="0" w:color="auto"/>
      </w:divBdr>
    </w:div>
    <w:div w:id="1490638729">
      <w:bodyDiv w:val="1"/>
      <w:marLeft w:val="0"/>
      <w:marRight w:val="0"/>
      <w:marTop w:val="0"/>
      <w:marBottom w:val="0"/>
      <w:divBdr>
        <w:top w:val="none" w:sz="0" w:space="0" w:color="auto"/>
        <w:left w:val="none" w:sz="0" w:space="0" w:color="auto"/>
        <w:bottom w:val="none" w:sz="0" w:space="0" w:color="auto"/>
        <w:right w:val="none" w:sz="0" w:space="0" w:color="auto"/>
      </w:divBdr>
    </w:div>
    <w:div w:id="1495951991">
      <w:bodyDiv w:val="1"/>
      <w:marLeft w:val="0"/>
      <w:marRight w:val="0"/>
      <w:marTop w:val="0"/>
      <w:marBottom w:val="0"/>
      <w:divBdr>
        <w:top w:val="none" w:sz="0" w:space="0" w:color="auto"/>
        <w:left w:val="none" w:sz="0" w:space="0" w:color="auto"/>
        <w:bottom w:val="none" w:sz="0" w:space="0" w:color="auto"/>
        <w:right w:val="none" w:sz="0" w:space="0" w:color="auto"/>
      </w:divBdr>
      <w:divsChild>
        <w:div w:id="1574123108">
          <w:blockQuote w:val="1"/>
          <w:marLeft w:val="720"/>
          <w:marRight w:val="720"/>
          <w:marTop w:val="100"/>
          <w:marBottom w:val="100"/>
          <w:divBdr>
            <w:top w:val="none" w:sz="0" w:space="0" w:color="auto"/>
            <w:left w:val="none" w:sz="0" w:space="0" w:color="auto"/>
            <w:bottom w:val="none" w:sz="0" w:space="0" w:color="auto"/>
            <w:right w:val="none" w:sz="0" w:space="0" w:color="auto"/>
          </w:divBdr>
        </w:div>
        <w:div w:id="882257761">
          <w:blockQuote w:val="1"/>
          <w:marLeft w:val="720"/>
          <w:marRight w:val="720"/>
          <w:marTop w:val="100"/>
          <w:marBottom w:val="100"/>
          <w:divBdr>
            <w:top w:val="none" w:sz="0" w:space="0" w:color="auto"/>
            <w:left w:val="none" w:sz="0" w:space="0" w:color="auto"/>
            <w:bottom w:val="none" w:sz="0" w:space="0" w:color="auto"/>
            <w:right w:val="none" w:sz="0" w:space="0" w:color="auto"/>
          </w:divBdr>
        </w:div>
        <w:div w:id="810293810">
          <w:blockQuote w:val="1"/>
          <w:marLeft w:val="720"/>
          <w:marRight w:val="720"/>
          <w:marTop w:val="100"/>
          <w:marBottom w:val="100"/>
          <w:divBdr>
            <w:top w:val="none" w:sz="0" w:space="0" w:color="auto"/>
            <w:left w:val="none" w:sz="0" w:space="0" w:color="auto"/>
            <w:bottom w:val="none" w:sz="0" w:space="0" w:color="auto"/>
            <w:right w:val="none" w:sz="0" w:space="0" w:color="auto"/>
          </w:divBdr>
        </w:div>
        <w:div w:id="3077103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6146508">
      <w:bodyDiv w:val="1"/>
      <w:marLeft w:val="0"/>
      <w:marRight w:val="0"/>
      <w:marTop w:val="0"/>
      <w:marBottom w:val="0"/>
      <w:divBdr>
        <w:top w:val="none" w:sz="0" w:space="0" w:color="auto"/>
        <w:left w:val="none" w:sz="0" w:space="0" w:color="auto"/>
        <w:bottom w:val="none" w:sz="0" w:space="0" w:color="auto"/>
        <w:right w:val="none" w:sz="0" w:space="0" w:color="auto"/>
      </w:divBdr>
    </w:div>
    <w:div w:id="1500854047">
      <w:bodyDiv w:val="1"/>
      <w:marLeft w:val="0"/>
      <w:marRight w:val="0"/>
      <w:marTop w:val="0"/>
      <w:marBottom w:val="0"/>
      <w:divBdr>
        <w:top w:val="none" w:sz="0" w:space="0" w:color="auto"/>
        <w:left w:val="none" w:sz="0" w:space="0" w:color="auto"/>
        <w:bottom w:val="none" w:sz="0" w:space="0" w:color="auto"/>
        <w:right w:val="none" w:sz="0" w:space="0" w:color="auto"/>
      </w:divBdr>
    </w:div>
    <w:div w:id="1506283260">
      <w:bodyDiv w:val="1"/>
      <w:marLeft w:val="0"/>
      <w:marRight w:val="0"/>
      <w:marTop w:val="0"/>
      <w:marBottom w:val="0"/>
      <w:divBdr>
        <w:top w:val="none" w:sz="0" w:space="0" w:color="auto"/>
        <w:left w:val="none" w:sz="0" w:space="0" w:color="auto"/>
        <w:bottom w:val="none" w:sz="0" w:space="0" w:color="auto"/>
        <w:right w:val="none" w:sz="0" w:space="0" w:color="auto"/>
      </w:divBdr>
    </w:div>
    <w:div w:id="1506629194">
      <w:bodyDiv w:val="1"/>
      <w:marLeft w:val="0"/>
      <w:marRight w:val="0"/>
      <w:marTop w:val="0"/>
      <w:marBottom w:val="0"/>
      <w:divBdr>
        <w:top w:val="none" w:sz="0" w:space="0" w:color="auto"/>
        <w:left w:val="none" w:sz="0" w:space="0" w:color="auto"/>
        <w:bottom w:val="none" w:sz="0" w:space="0" w:color="auto"/>
        <w:right w:val="none" w:sz="0" w:space="0" w:color="auto"/>
      </w:divBdr>
    </w:div>
    <w:div w:id="1516574023">
      <w:bodyDiv w:val="1"/>
      <w:marLeft w:val="0"/>
      <w:marRight w:val="0"/>
      <w:marTop w:val="0"/>
      <w:marBottom w:val="0"/>
      <w:divBdr>
        <w:top w:val="none" w:sz="0" w:space="0" w:color="auto"/>
        <w:left w:val="none" w:sz="0" w:space="0" w:color="auto"/>
        <w:bottom w:val="none" w:sz="0" w:space="0" w:color="auto"/>
        <w:right w:val="none" w:sz="0" w:space="0" w:color="auto"/>
      </w:divBdr>
    </w:div>
    <w:div w:id="1520122521">
      <w:bodyDiv w:val="1"/>
      <w:marLeft w:val="0"/>
      <w:marRight w:val="0"/>
      <w:marTop w:val="0"/>
      <w:marBottom w:val="0"/>
      <w:divBdr>
        <w:top w:val="none" w:sz="0" w:space="0" w:color="auto"/>
        <w:left w:val="none" w:sz="0" w:space="0" w:color="auto"/>
        <w:bottom w:val="none" w:sz="0" w:space="0" w:color="auto"/>
        <w:right w:val="none" w:sz="0" w:space="0" w:color="auto"/>
      </w:divBdr>
    </w:div>
    <w:div w:id="1520507930">
      <w:bodyDiv w:val="1"/>
      <w:marLeft w:val="0"/>
      <w:marRight w:val="0"/>
      <w:marTop w:val="0"/>
      <w:marBottom w:val="0"/>
      <w:divBdr>
        <w:top w:val="none" w:sz="0" w:space="0" w:color="auto"/>
        <w:left w:val="none" w:sz="0" w:space="0" w:color="auto"/>
        <w:bottom w:val="none" w:sz="0" w:space="0" w:color="auto"/>
        <w:right w:val="none" w:sz="0" w:space="0" w:color="auto"/>
      </w:divBdr>
    </w:div>
    <w:div w:id="1520771953">
      <w:bodyDiv w:val="1"/>
      <w:marLeft w:val="0"/>
      <w:marRight w:val="0"/>
      <w:marTop w:val="0"/>
      <w:marBottom w:val="0"/>
      <w:divBdr>
        <w:top w:val="none" w:sz="0" w:space="0" w:color="auto"/>
        <w:left w:val="none" w:sz="0" w:space="0" w:color="auto"/>
        <w:bottom w:val="none" w:sz="0" w:space="0" w:color="auto"/>
        <w:right w:val="none" w:sz="0" w:space="0" w:color="auto"/>
      </w:divBdr>
      <w:divsChild>
        <w:div w:id="18766538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5168292">
      <w:bodyDiv w:val="1"/>
      <w:marLeft w:val="0"/>
      <w:marRight w:val="0"/>
      <w:marTop w:val="0"/>
      <w:marBottom w:val="0"/>
      <w:divBdr>
        <w:top w:val="none" w:sz="0" w:space="0" w:color="auto"/>
        <w:left w:val="none" w:sz="0" w:space="0" w:color="auto"/>
        <w:bottom w:val="none" w:sz="0" w:space="0" w:color="auto"/>
        <w:right w:val="none" w:sz="0" w:space="0" w:color="auto"/>
      </w:divBdr>
    </w:div>
    <w:div w:id="1526097837">
      <w:bodyDiv w:val="1"/>
      <w:marLeft w:val="0"/>
      <w:marRight w:val="0"/>
      <w:marTop w:val="0"/>
      <w:marBottom w:val="0"/>
      <w:divBdr>
        <w:top w:val="none" w:sz="0" w:space="0" w:color="auto"/>
        <w:left w:val="none" w:sz="0" w:space="0" w:color="auto"/>
        <w:bottom w:val="none" w:sz="0" w:space="0" w:color="auto"/>
        <w:right w:val="none" w:sz="0" w:space="0" w:color="auto"/>
      </w:divBdr>
    </w:div>
    <w:div w:id="1528448026">
      <w:bodyDiv w:val="1"/>
      <w:marLeft w:val="0"/>
      <w:marRight w:val="0"/>
      <w:marTop w:val="0"/>
      <w:marBottom w:val="0"/>
      <w:divBdr>
        <w:top w:val="none" w:sz="0" w:space="0" w:color="auto"/>
        <w:left w:val="none" w:sz="0" w:space="0" w:color="auto"/>
        <w:bottom w:val="none" w:sz="0" w:space="0" w:color="auto"/>
        <w:right w:val="none" w:sz="0" w:space="0" w:color="auto"/>
      </w:divBdr>
      <w:divsChild>
        <w:div w:id="319621096">
          <w:blockQuote w:val="1"/>
          <w:marLeft w:val="720"/>
          <w:marRight w:val="720"/>
          <w:marTop w:val="100"/>
          <w:marBottom w:val="100"/>
          <w:divBdr>
            <w:top w:val="none" w:sz="0" w:space="0" w:color="auto"/>
            <w:left w:val="none" w:sz="0" w:space="0" w:color="auto"/>
            <w:bottom w:val="none" w:sz="0" w:space="0" w:color="auto"/>
            <w:right w:val="none" w:sz="0" w:space="0" w:color="auto"/>
          </w:divBdr>
        </w:div>
        <w:div w:id="1727026088">
          <w:blockQuote w:val="1"/>
          <w:marLeft w:val="720"/>
          <w:marRight w:val="720"/>
          <w:marTop w:val="100"/>
          <w:marBottom w:val="100"/>
          <w:divBdr>
            <w:top w:val="none" w:sz="0" w:space="0" w:color="auto"/>
            <w:left w:val="none" w:sz="0" w:space="0" w:color="auto"/>
            <w:bottom w:val="none" w:sz="0" w:space="0" w:color="auto"/>
            <w:right w:val="none" w:sz="0" w:space="0" w:color="auto"/>
          </w:divBdr>
        </w:div>
        <w:div w:id="2065979180">
          <w:blockQuote w:val="1"/>
          <w:marLeft w:val="720"/>
          <w:marRight w:val="720"/>
          <w:marTop w:val="100"/>
          <w:marBottom w:val="100"/>
          <w:divBdr>
            <w:top w:val="none" w:sz="0" w:space="0" w:color="auto"/>
            <w:left w:val="none" w:sz="0" w:space="0" w:color="auto"/>
            <w:bottom w:val="none" w:sz="0" w:space="0" w:color="auto"/>
            <w:right w:val="none" w:sz="0" w:space="0" w:color="auto"/>
          </w:divBdr>
        </w:div>
        <w:div w:id="16558396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1452559">
      <w:bodyDiv w:val="1"/>
      <w:marLeft w:val="0"/>
      <w:marRight w:val="0"/>
      <w:marTop w:val="0"/>
      <w:marBottom w:val="0"/>
      <w:divBdr>
        <w:top w:val="none" w:sz="0" w:space="0" w:color="auto"/>
        <w:left w:val="none" w:sz="0" w:space="0" w:color="auto"/>
        <w:bottom w:val="none" w:sz="0" w:space="0" w:color="auto"/>
        <w:right w:val="none" w:sz="0" w:space="0" w:color="auto"/>
      </w:divBdr>
      <w:divsChild>
        <w:div w:id="1257396243">
          <w:marLeft w:val="0"/>
          <w:marRight w:val="0"/>
          <w:marTop w:val="0"/>
          <w:marBottom w:val="0"/>
          <w:divBdr>
            <w:top w:val="single" w:sz="2" w:space="0" w:color="auto"/>
            <w:left w:val="single" w:sz="2" w:space="0" w:color="auto"/>
            <w:bottom w:val="single" w:sz="2" w:space="0" w:color="auto"/>
            <w:right w:val="single" w:sz="2" w:space="0" w:color="auto"/>
          </w:divBdr>
          <w:divsChild>
            <w:div w:id="1525942188">
              <w:marLeft w:val="0"/>
              <w:marRight w:val="0"/>
              <w:marTop w:val="0"/>
              <w:marBottom w:val="0"/>
              <w:divBdr>
                <w:top w:val="single" w:sz="2" w:space="0" w:color="auto"/>
                <w:left w:val="single" w:sz="2" w:space="0" w:color="auto"/>
                <w:bottom w:val="single" w:sz="2" w:space="0" w:color="auto"/>
                <w:right w:val="single" w:sz="2" w:space="0" w:color="auto"/>
              </w:divBdr>
            </w:div>
          </w:divsChild>
        </w:div>
        <w:div w:id="758059091">
          <w:marLeft w:val="0"/>
          <w:marRight w:val="0"/>
          <w:marTop w:val="0"/>
          <w:marBottom w:val="0"/>
          <w:divBdr>
            <w:top w:val="single" w:sz="2" w:space="0" w:color="auto"/>
            <w:left w:val="single" w:sz="2" w:space="0" w:color="auto"/>
            <w:bottom w:val="single" w:sz="2" w:space="0" w:color="auto"/>
            <w:right w:val="single" w:sz="2" w:space="0" w:color="auto"/>
          </w:divBdr>
          <w:divsChild>
            <w:div w:id="587269315">
              <w:marLeft w:val="0"/>
              <w:marRight w:val="0"/>
              <w:marTop w:val="0"/>
              <w:marBottom w:val="0"/>
              <w:divBdr>
                <w:top w:val="single" w:sz="2" w:space="0" w:color="auto"/>
                <w:left w:val="single" w:sz="2" w:space="0" w:color="auto"/>
                <w:bottom w:val="single" w:sz="2" w:space="0" w:color="auto"/>
                <w:right w:val="single" w:sz="2" w:space="0" w:color="auto"/>
              </w:divBdr>
              <w:divsChild>
                <w:div w:id="355161522">
                  <w:marLeft w:val="0"/>
                  <w:marRight w:val="0"/>
                  <w:marTop w:val="0"/>
                  <w:marBottom w:val="0"/>
                  <w:divBdr>
                    <w:top w:val="single" w:sz="2" w:space="0" w:color="auto"/>
                    <w:left w:val="single" w:sz="2" w:space="0" w:color="auto"/>
                    <w:bottom w:val="single" w:sz="2" w:space="0" w:color="auto"/>
                    <w:right w:val="single" w:sz="2" w:space="0" w:color="auto"/>
                  </w:divBdr>
                  <w:divsChild>
                    <w:div w:id="167071737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420058048">
              <w:marLeft w:val="0"/>
              <w:marRight w:val="0"/>
              <w:marTop w:val="0"/>
              <w:marBottom w:val="0"/>
              <w:divBdr>
                <w:top w:val="single" w:sz="2" w:space="0" w:color="auto"/>
                <w:left w:val="single" w:sz="2" w:space="0" w:color="auto"/>
                <w:bottom w:val="single" w:sz="2" w:space="0" w:color="auto"/>
                <w:right w:val="single" w:sz="2" w:space="0" w:color="auto"/>
              </w:divBdr>
              <w:divsChild>
                <w:div w:id="6188801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534853136">
      <w:bodyDiv w:val="1"/>
      <w:marLeft w:val="0"/>
      <w:marRight w:val="0"/>
      <w:marTop w:val="0"/>
      <w:marBottom w:val="0"/>
      <w:divBdr>
        <w:top w:val="none" w:sz="0" w:space="0" w:color="auto"/>
        <w:left w:val="none" w:sz="0" w:space="0" w:color="auto"/>
        <w:bottom w:val="none" w:sz="0" w:space="0" w:color="auto"/>
        <w:right w:val="none" w:sz="0" w:space="0" w:color="auto"/>
      </w:divBdr>
      <w:divsChild>
        <w:div w:id="5018169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5268499">
      <w:bodyDiv w:val="1"/>
      <w:marLeft w:val="0"/>
      <w:marRight w:val="0"/>
      <w:marTop w:val="0"/>
      <w:marBottom w:val="0"/>
      <w:divBdr>
        <w:top w:val="none" w:sz="0" w:space="0" w:color="auto"/>
        <w:left w:val="none" w:sz="0" w:space="0" w:color="auto"/>
        <w:bottom w:val="none" w:sz="0" w:space="0" w:color="auto"/>
        <w:right w:val="none" w:sz="0" w:space="0" w:color="auto"/>
      </w:divBdr>
    </w:div>
    <w:div w:id="1540704928">
      <w:bodyDiv w:val="1"/>
      <w:marLeft w:val="0"/>
      <w:marRight w:val="0"/>
      <w:marTop w:val="0"/>
      <w:marBottom w:val="0"/>
      <w:divBdr>
        <w:top w:val="none" w:sz="0" w:space="0" w:color="auto"/>
        <w:left w:val="none" w:sz="0" w:space="0" w:color="auto"/>
        <w:bottom w:val="none" w:sz="0" w:space="0" w:color="auto"/>
        <w:right w:val="none" w:sz="0" w:space="0" w:color="auto"/>
      </w:divBdr>
    </w:div>
    <w:div w:id="1544633057">
      <w:bodyDiv w:val="1"/>
      <w:marLeft w:val="0"/>
      <w:marRight w:val="0"/>
      <w:marTop w:val="0"/>
      <w:marBottom w:val="0"/>
      <w:divBdr>
        <w:top w:val="none" w:sz="0" w:space="0" w:color="auto"/>
        <w:left w:val="none" w:sz="0" w:space="0" w:color="auto"/>
        <w:bottom w:val="none" w:sz="0" w:space="0" w:color="auto"/>
        <w:right w:val="none" w:sz="0" w:space="0" w:color="auto"/>
      </w:divBdr>
    </w:div>
    <w:div w:id="1553347825">
      <w:bodyDiv w:val="1"/>
      <w:marLeft w:val="0"/>
      <w:marRight w:val="0"/>
      <w:marTop w:val="0"/>
      <w:marBottom w:val="0"/>
      <w:divBdr>
        <w:top w:val="none" w:sz="0" w:space="0" w:color="auto"/>
        <w:left w:val="none" w:sz="0" w:space="0" w:color="auto"/>
        <w:bottom w:val="none" w:sz="0" w:space="0" w:color="auto"/>
        <w:right w:val="none" w:sz="0" w:space="0" w:color="auto"/>
      </w:divBdr>
    </w:div>
    <w:div w:id="1555117316">
      <w:bodyDiv w:val="1"/>
      <w:marLeft w:val="0"/>
      <w:marRight w:val="0"/>
      <w:marTop w:val="0"/>
      <w:marBottom w:val="0"/>
      <w:divBdr>
        <w:top w:val="none" w:sz="0" w:space="0" w:color="auto"/>
        <w:left w:val="none" w:sz="0" w:space="0" w:color="auto"/>
        <w:bottom w:val="none" w:sz="0" w:space="0" w:color="auto"/>
        <w:right w:val="none" w:sz="0" w:space="0" w:color="auto"/>
      </w:divBdr>
    </w:div>
    <w:div w:id="1561593655">
      <w:bodyDiv w:val="1"/>
      <w:marLeft w:val="0"/>
      <w:marRight w:val="0"/>
      <w:marTop w:val="0"/>
      <w:marBottom w:val="0"/>
      <w:divBdr>
        <w:top w:val="none" w:sz="0" w:space="0" w:color="auto"/>
        <w:left w:val="none" w:sz="0" w:space="0" w:color="auto"/>
        <w:bottom w:val="none" w:sz="0" w:space="0" w:color="auto"/>
        <w:right w:val="none" w:sz="0" w:space="0" w:color="auto"/>
      </w:divBdr>
    </w:div>
    <w:div w:id="1562249207">
      <w:bodyDiv w:val="1"/>
      <w:marLeft w:val="0"/>
      <w:marRight w:val="0"/>
      <w:marTop w:val="0"/>
      <w:marBottom w:val="0"/>
      <w:divBdr>
        <w:top w:val="none" w:sz="0" w:space="0" w:color="auto"/>
        <w:left w:val="none" w:sz="0" w:space="0" w:color="auto"/>
        <w:bottom w:val="none" w:sz="0" w:space="0" w:color="auto"/>
        <w:right w:val="none" w:sz="0" w:space="0" w:color="auto"/>
      </w:divBdr>
    </w:div>
    <w:div w:id="1562594382">
      <w:bodyDiv w:val="1"/>
      <w:marLeft w:val="0"/>
      <w:marRight w:val="0"/>
      <w:marTop w:val="0"/>
      <w:marBottom w:val="0"/>
      <w:divBdr>
        <w:top w:val="none" w:sz="0" w:space="0" w:color="auto"/>
        <w:left w:val="none" w:sz="0" w:space="0" w:color="auto"/>
        <w:bottom w:val="none" w:sz="0" w:space="0" w:color="auto"/>
        <w:right w:val="none" w:sz="0" w:space="0" w:color="auto"/>
      </w:divBdr>
    </w:div>
    <w:div w:id="1565943779">
      <w:bodyDiv w:val="1"/>
      <w:marLeft w:val="0"/>
      <w:marRight w:val="0"/>
      <w:marTop w:val="0"/>
      <w:marBottom w:val="0"/>
      <w:divBdr>
        <w:top w:val="none" w:sz="0" w:space="0" w:color="auto"/>
        <w:left w:val="none" w:sz="0" w:space="0" w:color="auto"/>
        <w:bottom w:val="none" w:sz="0" w:space="0" w:color="auto"/>
        <w:right w:val="none" w:sz="0" w:space="0" w:color="auto"/>
      </w:divBdr>
    </w:div>
    <w:div w:id="1569420225">
      <w:bodyDiv w:val="1"/>
      <w:marLeft w:val="0"/>
      <w:marRight w:val="0"/>
      <w:marTop w:val="0"/>
      <w:marBottom w:val="0"/>
      <w:divBdr>
        <w:top w:val="none" w:sz="0" w:space="0" w:color="auto"/>
        <w:left w:val="none" w:sz="0" w:space="0" w:color="auto"/>
        <w:bottom w:val="none" w:sz="0" w:space="0" w:color="auto"/>
        <w:right w:val="none" w:sz="0" w:space="0" w:color="auto"/>
      </w:divBdr>
      <w:divsChild>
        <w:div w:id="1058363133">
          <w:blockQuote w:val="1"/>
          <w:marLeft w:val="720"/>
          <w:marRight w:val="720"/>
          <w:marTop w:val="100"/>
          <w:marBottom w:val="100"/>
          <w:divBdr>
            <w:top w:val="none" w:sz="0" w:space="0" w:color="auto"/>
            <w:left w:val="none" w:sz="0" w:space="0" w:color="auto"/>
            <w:bottom w:val="none" w:sz="0" w:space="0" w:color="auto"/>
            <w:right w:val="none" w:sz="0" w:space="0" w:color="auto"/>
          </w:divBdr>
        </w:div>
        <w:div w:id="1500921018">
          <w:blockQuote w:val="1"/>
          <w:marLeft w:val="720"/>
          <w:marRight w:val="720"/>
          <w:marTop w:val="100"/>
          <w:marBottom w:val="100"/>
          <w:divBdr>
            <w:top w:val="none" w:sz="0" w:space="0" w:color="auto"/>
            <w:left w:val="none" w:sz="0" w:space="0" w:color="auto"/>
            <w:bottom w:val="none" w:sz="0" w:space="0" w:color="auto"/>
            <w:right w:val="none" w:sz="0" w:space="0" w:color="auto"/>
          </w:divBdr>
        </w:div>
        <w:div w:id="57288734">
          <w:blockQuote w:val="1"/>
          <w:marLeft w:val="720"/>
          <w:marRight w:val="720"/>
          <w:marTop w:val="100"/>
          <w:marBottom w:val="100"/>
          <w:divBdr>
            <w:top w:val="none" w:sz="0" w:space="0" w:color="auto"/>
            <w:left w:val="none" w:sz="0" w:space="0" w:color="auto"/>
            <w:bottom w:val="none" w:sz="0" w:space="0" w:color="auto"/>
            <w:right w:val="none" w:sz="0" w:space="0" w:color="auto"/>
          </w:divBdr>
        </w:div>
        <w:div w:id="315955219">
          <w:blockQuote w:val="1"/>
          <w:marLeft w:val="720"/>
          <w:marRight w:val="720"/>
          <w:marTop w:val="100"/>
          <w:marBottom w:val="100"/>
          <w:divBdr>
            <w:top w:val="none" w:sz="0" w:space="0" w:color="auto"/>
            <w:left w:val="none" w:sz="0" w:space="0" w:color="auto"/>
            <w:bottom w:val="none" w:sz="0" w:space="0" w:color="auto"/>
            <w:right w:val="none" w:sz="0" w:space="0" w:color="auto"/>
          </w:divBdr>
        </w:div>
        <w:div w:id="825173169">
          <w:blockQuote w:val="1"/>
          <w:marLeft w:val="720"/>
          <w:marRight w:val="720"/>
          <w:marTop w:val="100"/>
          <w:marBottom w:val="100"/>
          <w:divBdr>
            <w:top w:val="none" w:sz="0" w:space="0" w:color="auto"/>
            <w:left w:val="none" w:sz="0" w:space="0" w:color="auto"/>
            <w:bottom w:val="none" w:sz="0" w:space="0" w:color="auto"/>
            <w:right w:val="none" w:sz="0" w:space="0" w:color="auto"/>
          </w:divBdr>
        </w:div>
        <w:div w:id="1655838155">
          <w:blockQuote w:val="1"/>
          <w:marLeft w:val="720"/>
          <w:marRight w:val="720"/>
          <w:marTop w:val="100"/>
          <w:marBottom w:val="100"/>
          <w:divBdr>
            <w:top w:val="none" w:sz="0" w:space="0" w:color="auto"/>
            <w:left w:val="none" w:sz="0" w:space="0" w:color="auto"/>
            <w:bottom w:val="none" w:sz="0" w:space="0" w:color="auto"/>
            <w:right w:val="none" w:sz="0" w:space="0" w:color="auto"/>
          </w:divBdr>
        </w:div>
        <w:div w:id="360011398">
          <w:blockQuote w:val="1"/>
          <w:marLeft w:val="720"/>
          <w:marRight w:val="720"/>
          <w:marTop w:val="100"/>
          <w:marBottom w:val="100"/>
          <w:divBdr>
            <w:top w:val="none" w:sz="0" w:space="0" w:color="auto"/>
            <w:left w:val="none" w:sz="0" w:space="0" w:color="auto"/>
            <w:bottom w:val="none" w:sz="0" w:space="0" w:color="auto"/>
            <w:right w:val="none" w:sz="0" w:space="0" w:color="auto"/>
          </w:divBdr>
        </w:div>
        <w:div w:id="18263626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0382427">
      <w:bodyDiv w:val="1"/>
      <w:marLeft w:val="0"/>
      <w:marRight w:val="0"/>
      <w:marTop w:val="0"/>
      <w:marBottom w:val="0"/>
      <w:divBdr>
        <w:top w:val="none" w:sz="0" w:space="0" w:color="auto"/>
        <w:left w:val="none" w:sz="0" w:space="0" w:color="auto"/>
        <w:bottom w:val="none" w:sz="0" w:space="0" w:color="auto"/>
        <w:right w:val="none" w:sz="0" w:space="0" w:color="auto"/>
      </w:divBdr>
    </w:div>
    <w:div w:id="1570385446">
      <w:bodyDiv w:val="1"/>
      <w:marLeft w:val="0"/>
      <w:marRight w:val="0"/>
      <w:marTop w:val="0"/>
      <w:marBottom w:val="0"/>
      <w:divBdr>
        <w:top w:val="none" w:sz="0" w:space="0" w:color="auto"/>
        <w:left w:val="none" w:sz="0" w:space="0" w:color="auto"/>
        <w:bottom w:val="none" w:sz="0" w:space="0" w:color="auto"/>
        <w:right w:val="none" w:sz="0" w:space="0" w:color="auto"/>
      </w:divBdr>
    </w:div>
    <w:div w:id="1571501334">
      <w:bodyDiv w:val="1"/>
      <w:marLeft w:val="0"/>
      <w:marRight w:val="0"/>
      <w:marTop w:val="0"/>
      <w:marBottom w:val="0"/>
      <w:divBdr>
        <w:top w:val="none" w:sz="0" w:space="0" w:color="auto"/>
        <w:left w:val="none" w:sz="0" w:space="0" w:color="auto"/>
        <w:bottom w:val="none" w:sz="0" w:space="0" w:color="auto"/>
        <w:right w:val="none" w:sz="0" w:space="0" w:color="auto"/>
      </w:divBdr>
    </w:div>
    <w:div w:id="1573202762">
      <w:bodyDiv w:val="1"/>
      <w:marLeft w:val="0"/>
      <w:marRight w:val="0"/>
      <w:marTop w:val="0"/>
      <w:marBottom w:val="0"/>
      <w:divBdr>
        <w:top w:val="none" w:sz="0" w:space="0" w:color="auto"/>
        <w:left w:val="none" w:sz="0" w:space="0" w:color="auto"/>
        <w:bottom w:val="none" w:sz="0" w:space="0" w:color="auto"/>
        <w:right w:val="none" w:sz="0" w:space="0" w:color="auto"/>
      </w:divBdr>
    </w:div>
    <w:div w:id="1576090158">
      <w:bodyDiv w:val="1"/>
      <w:marLeft w:val="0"/>
      <w:marRight w:val="0"/>
      <w:marTop w:val="0"/>
      <w:marBottom w:val="0"/>
      <w:divBdr>
        <w:top w:val="none" w:sz="0" w:space="0" w:color="auto"/>
        <w:left w:val="none" w:sz="0" w:space="0" w:color="auto"/>
        <w:bottom w:val="none" w:sz="0" w:space="0" w:color="auto"/>
        <w:right w:val="none" w:sz="0" w:space="0" w:color="auto"/>
      </w:divBdr>
    </w:div>
    <w:div w:id="1576550616">
      <w:bodyDiv w:val="1"/>
      <w:marLeft w:val="0"/>
      <w:marRight w:val="0"/>
      <w:marTop w:val="0"/>
      <w:marBottom w:val="0"/>
      <w:divBdr>
        <w:top w:val="none" w:sz="0" w:space="0" w:color="auto"/>
        <w:left w:val="none" w:sz="0" w:space="0" w:color="auto"/>
        <w:bottom w:val="none" w:sz="0" w:space="0" w:color="auto"/>
        <w:right w:val="none" w:sz="0" w:space="0" w:color="auto"/>
      </w:divBdr>
    </w:div>
    <w:div w:id="1578709351">
      <w:bodyDiv w:val="1"/>
      <w:marLeft w:val="0"/>
      <w:marRight w:val="0"/>
      <w:marTop w:val="0"/>
      <w:marBottom w:val="0"/>
      <w:divBdr>
        <w:top w:val="none" w:sz="0" w:space="0" w:color="auto"/>
        <w:left w:val="none" w:sz="0" w:space="0" w:color="auto"/>
        <w:bottom w:val="none" w:sz="0" w:space="0" w:color="auto"/>
        <w:right w:val="none" w:sz="0" w:space="0" w:color="auto"/>
      </w:divBdr>
    </w:div>
    <w:div w:id="1578972694">
      <w:bodyDiv w:val="1"/>
      <w:marLeft w:val="0"/>
      <w:marRight w:val="0"/>
      <w:marTop w:val="0"/>
      <w:marBottom w:val="0"/>
      <w:divBdr>
        <w:top w:val="none" w:sz="0" w:space="0" w:color="auto"/>
        <w:left w:val="none" w:sz="0" w:space="0" w:color="auto"/>
        <w:bottom w:val="none" w:sz="0" w:space="0" w:color="auto"/>
        <w:right w:val="none" w:sz="0" w:space="0" w:color="auto"/>
      </w:divBdr>
    </w:div>
    <w:div w:id="1580217404">
      <w:bodyDiv w:val="1"/>
      <w:marLeft w:val="0"/>
      <w:marRight w:val="0"/>
      <w:marTop w:val="0"/>
      <w:marBottom w:val="0"/>
      <w:divBdr>
        <w:top w:val="none" w:sz="0" w:space="0" w:color="auto"/>
        <w:left w:val="none" w:sz="0" w:space="0" w:color="auto"/>
        <w:bottom w:val="none" w:sz="0" w:space="0" w:color="auto"/>
        <w:right w:val="none" w:sz="0" w:space="0" w:color="auto"/>
      </w:divBdr>
      <w:divsChild>
        <w:div w:id="5475003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2519717">
      <w:bodyDiv w:val="1"/>
      <w:marLeft w:val="0"/>
      <w:marRight w:val="0"/>
      <w:marTop w:val="0"/>
      <w:marBottom w:val="0"/>
      <w:divBdr>
        <w:top w:val="none" w:sz="0" w:space="0" w:color="auto"/>
        <w:left w:val="none" w:sz="0" w:space="0" w:color="auto"/>
        <w:bottom w:val="none" w:sz="0" w:space="0" w:color="auto"/>
        <w:right w:val="none" w:sz="0" w:space="0" w:color="auto"/>
      </w:divBdr>
    </w:div>
    <w:div w:id="1583445896">
      <w:bodyDiv w:val="1"/>
      <w:marLeft w:val="0"/>
      <w:marRight w:val="0"/>
      <w:marTop w:val="0"/>
      <w:marBottom w:val="0"/>
      <w:divBdr>
        <w:top w:val="none" w:sz="0" w:space="0" w:color="auto"/>
        <w:left w:val="none" w:sz="0" w:space="0" w:color="auto"/>
        <w:bottom w:val="none" w:sz="0" w:space="0" w:color="auto"/>
        <w:right w:val="none" w:sz="0" w:space="0" w:color="auto"/>
      </w:divBdr>
    </w:div>
    <w:div w:id="1583880132">
      <w:bodyDiv w:val="1"/>
      <w:marLeft w:val="0"/>
      <w:marRight w:val="0"/>
      <w:marTop w:val="0"/>
      <w:marBottom w:val="0"/>
      <w:divBdr>
        <w:top w:val="none" w:sz="0" w:space="0" w:color="auto"/>
        <w:left w:val="none" w:sz="0" w:space="0" w:color="auto"/>
        <w:bottom w:val="none" w:sz="0" w:space="0" w:color="auto"/>
        <w:right w:val="none" w:sz="0" w:space="0" w:color="auto"/>
      </w:divBdr>
    </w:div>
    <w:div w:id="1583953002">
      <w:bodyDiv w:val="1"/>
      <w:marLeft w:val="0"/>
      <w:marRight w:val="0"/>
      <w:marTop w:val="0"/>
      <w:marBottom w:val="0"/>
      <w:divBdr>
        <w:top w:val="none" w:sz="0" w:space="0" w:color="auto"/>
        <w:left w:val="none" w:sz="0" w:space="0" w:color="auto"/>
        <w:bottom w:val="none" w:sz="0" w:space="0" w:color="auto"/>
        <w:right w:val="none" w:sz="0" w:space="0" w:color="auto"/>
      </w:divBdr>
    </w:div>
    <w:div w:id="1586187447">
      <w:bodyDiv w:val="1"/>
      <w:marLeft w:val="0"/>
      <w:marRight w:val="0"/>
      <w:marTop w:val="0"/>
      <w:marBottom w:val="0"/>
      <w:divBdr>
        <w:top w:val="none" w:sz="0" w:space="0" w:color="auto"/>
        <w:left w:val="none" w:sz="0" w:space="0" w:color="auto"/>
        <w:bottom w:val="none" w:sz="0" w:space="0" w:color="auto"/>
        <w:right w:val="none" w:sz="0" w:space="0" w:color="auto"/>
      </w:divBdr>
    </w:div>
    <w:div w:id="1591886749">
      <w:bodyDiv w:val="1"/>
      <w:marLeft w:val="0"/>
      <w:marRight w:val="0"/>
      <w:marTop w:val="0"/>
      <w:marBottom w:val="0"/>
      <w:divBdr>
        <w:top w:val="none" w:sz="0" w:space="0" w:color="auto"/>
        <w:left w:val="none" w:sz="0" w:space="0" w:color="auto"/>
        <w:bottom w:val="none" w:sz="0" w:space="0" w:color="auto"/>
        <w:right w:val="none" w:sz="0" w:space="0" w:color="auto"/>
      </w:divBdr>
    </w:div>
    <w:div w:id="1595166718">
      <w:bodyDiv w:val="1"/>
      <w:marLeft w:val="0"/>
      <w:marRight w:val="0"/>
      <w:marTop w:val="0"/>
      <w:marBottom w:val="0"/>
      <w:divBdr>
        <w:top w:val="none" w:sz="0" w:space="0" w:color="auto"/>
        <w:left w:val="none" w:sz="0" w:space="0" w:color="auto"/>
        <w:bottom w:val="none" w:sz="0" w:space="0" w:color="auto"/>
        <w:right w:val="none" w:sz="0" w:space="0" w:color="auto"/>
      </w:divBdr>
    </w:div>
    <w:div w:id="1598368411">
      <w:bodyDiv w:val="1"/>
      <w:marLeft w:val="0"/>
      <w:marRight w:val="0"/>
      <w:marTop w:val="0"/>
      <w:marBottom w:val="0"/>
      <w:divBdr>
        <w:top w:val="none" w:sz="0" w:space="0" w:color="auto"/>
        <w:left w:val="none" w:sz="0" w:space="0" w:color="auto"/>
        <w:bottom w:val="none" w:sz="0" w:space="0" w:color="auto"/>
        <w:right w:val="none" w:sz="0" w:space="0" w:color="auto"/>
      </w:divBdr>
    </w:div>
    <w:div w:id="1599437661">
      <w:bodyDiv w:val="1"/>
      <w:marLeft w:val="0"/>
      <w:marRight w:val="0"/>
      <w:marTop w:val="0"/>
      <w:marBottom w:val="0"/>
      <w:divBdr>
        <w:top w:val="none" w:sz="0" w:space="0" w:color="auto"/>
        <w:left w:val="none" w:sz="0" w:space="0" w:color="auto"/>
        <w:bottom w:val="none" w:sz="0" w:space="0" w:color="auto"/>
        <w:right w:val="none" w:sz="0" w:space="0" w:color="auto"/>
      </w:divBdr>
    </w:div>
    <w:div w:id="1600866430">
      <w:bodyDiv w:val="1"/>
      <w:marLeft w:val="0"/>
      <w:marRight w:val="0"/>
      <w:marTop w:val="0"/>
      <w:marBottom w:val="0"/>
      <w:divBdr>
        <w:top w:val="none" w:sz="0" w:space="0" w:color="auto"/>
        <w:left w:val="none" w:sz="0" w:space="0" w:color="auto"/>
        <w:bottom w:val="none" w:sz="0" w:space="0" w:color="auto"/>
        <w:right w:val="none" w:sz="0" w:space="0" w:color="auto"/>
      </w:divBdr>
    </w:div>
    <w:div w:id="1606108654">
      <w:bodyDiv w:val="1"/>
      <w:marLeft w:val="0"/>
      <w:marRight w:val="0"/>
      <w:marTop w:val="0"/>
      <w:marBottom w:val="0"/>
      <w:divBdr>
        <w:top w:val="none" w:sz="0" w:space="0" w:color="auto"/>
        <w:left w:val="none" w:sz="0" w:space="0" w:color="auto"/>
        <w:bottom w:val="none" w:sz="0" w:space="0" w:color="auto"/>
        <w:right w:val="none" w:sz="0" w:space="0" w:color="auto"/>
      </w:divBdr>
    </w:div>
    <w:div w:id="1607152644">
      <w:bodyDiv w:val="1"/>
      <w:marLeft w:val="0"/>
      <w:marRight w:val="0"/>
      <w:marTop w:val="0"/>
      <w:marBottom w:val="0"/>
      <w:divBdr>
        <w:top w:val="none" w:sz="0" w:space="0" w:color="auto"/>
        <w:left w:val="none" w:sz="0" w:space="0" w:color="auto"/>
        <w:bottom w:val="none" w:sz="0" w:space="0" w:color="auto"/>
        <w:right w:val="none" w:sz="0" w:space="0" w:color="auto"/>
      </w:divBdr>
    </w:div>
    <w:div w:id="1608006103">
      <w:bodyDiv w:val="1"/>
      <w:marLeft w:val="0"/>
      <w:marRight w:val="0"/>
      <w:marTop w:val="0"/>
      <w:marBottom w:val="0"/>
      <w:divBdr>
        <w:top w:val="none" w:sz="0" w:space="0" w:color="auto"/>
        <w:left w:val="none" w:sz="0" w:space="0" w:color="auto"/>
        <w:bottom w:val="none" w:sz="0" w:space="0" w:color="auto"/>
        <w:right w:val="none" w:sz="0" w:space="0" w:color="auto"/>
      </w:divBdr>
    </w:div>
    <w:div w:id="1618367711">
      <w:bodyDiv w:val="1"/>
      <w:marLeft w:val="0"/>
      <w:marRight w:val="0"/>
      <w:marTop w:val="0"/>
      <w:marBottom w:val="0"/>
      <w:divBdr>
        <w:top w:val="none" w:sz="0" w:space="0" w:color="auto"/>
        <w:left w:val="none" w:sz="0" w:space="0" w:color="auto"/>
        <w:bottom w:val="none" w:sz="0" w:space="0" w:color="auto"/>
        <w:right w:val="none" w:sz="0" w:space="0" w:color="auto"/>
      </w:divBdr>
    </w:div>
    <w:div w:id="1618758918">
      <w:bodyDiv w:val="1"/>
      <w:marLeft w:val="0"/>
      <w:marRight w:val="0"/>
      <w:marTop w:val="0"/>
      <w:marBottom w:val="0"/>
      <w:divBdr>
        <w:top w:val="none" w:sz="0" w:space="0" w:color="auto"/>
        <w:left w:val="none" w:sz="0" w:space="0" w:color="auto"/>
        <w:bottom w:val="none" w:sz="0" w:space="0" w:color="auto"/>
        <w:right w:val="none" w:sz="0" w:space="0" w:color="auto"/>
      </w:divBdr>
    </w:div>
    <w:div w:id="1621838636">
      <w:bodyDiv w:val="1"/>
      <w:marLeft w:val="0"/>
      <w:marRight w:val="0"/>
      <w:marTop w:val="0"/>
      <w:marBottom w:val="0"/>
      <w:divBdr>
        <w:top w:val="none" w:sz="0" w:space="0" w:color="auto"/>
        <w:left w:val="none" w:sz="0" w:space="0" w:color="auto"/>
        <w:bottom w:val="none" w:sz="0" w:space="0" w:color="auto"/>
        <w:right w:val="none" w:sz="0" w:space="0" w:color="auto"/>
      </w:divBdr>
      <w:divsChild>
        <w:div w:id="1062405878">
          <w:blockQuote w:val="1"/>
          <w:marLeft w:val="720"/>
          <w:marRight w:val="720"/>
          <w:marTop w:val="100"/>
          <w:marBottom w:val="100"/>
          <w:divBdr>
            <w:top w:val="none" w:sz="0" w:space="0" w:color="auto"/>
            <w:left w:val="none" w:sz="0" w:space="0" w:color="auto"/>
            <w:bottom w:val="none" w:sz="0" w:space="0" w:color="auto"/>
            <w:right w:val="none" w:sz="0" w:space="0" w:color="auto"/>
          </w:divBdr>
        </w:div>
        <w:div w:id="3076321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1842337">
      <w:bodyDiv w:val="1"/>
      <w:marLeft w:val="0"/>
      <w:marRight w:val="0"/>
      <w:marTop w:val="0"/>
      <w:marBottom w:val="0"/>
      <w:divBdr>
        <w:top w:val="none" w:sz="0" w:space="0" w:color="auto"/>
        <w:left w:val="none" w:sz="0" w:space="0" w:color="auto"/>
        <w:bottom w:val="none" w:sz="0" w:space="0" w:color="auto"/>
        <w:right w:val="none" w:sz="0" w:space="0" w:color="auto"/>
      </w:divBdr>
    </w:div>
    <w:div w:id="1622373922">
      <w:bodyDiv w:val="1"/>
      <w:marLeft w:val="0"/>
      <w:marRight w:val="0"/>
      <w:marTop w:val="0"/>
      <w:marBottom w:val="0"/>
      <w:divBdr>
        <w:top w:val="none" w:sz="0" w:space="0" w:color="auto"/>
        <w:left w:val="none" w:sz="0" w:space="0" w:color="auto"/>
        <w:bottom w:val="none" w:sz="0" w:space="0" w:color="auto"/>
        <w:right w:val="none" w:sz="0" w:space="0" w:color="auto"/>
      </w:divBdr>
    </w:div>
    <w:div w:id="1630354653">
      <w:bodyDiv w:val="1"/>
      <w:marLeft w:val="0"/>
      <w:marRight w:val="0"/>
      <w:marTop w:val="0"/>
      <w:marBottom w:val="0"/>
      <w:divBdr>
        <w:top w:val="none" w:sz="0" w:space="0" w:color="auto"/>
        <w:left w:val="none" w:sz="0" w:space="0" w:color="auto"/>
        <w:bottom w:val="none" w:sz="0" w:space="0" w:color="auto"/>
        <w:right w:val="none" w:sz="0" w:space="0" w:color="auto"/>
      </w:divBdr>
    </w:div>
    <w:div w:id="1631086581">
      <w:bodyDiv w:val="1"/>
      <w:marLeft w:val="0"/>
      <w:marRight w:val="0"/>
      <w:marTop w:val="0"/>
      <w:marBottom w:val="0"/>
      <w:divBdr>
        <w:top w:val="none" w:sz="0" w:space="0" w:color="auto"/>
        <w:left w:val="none" w:sz="0" w:space="0" w:color="auto"/>
        <w:bottom w:val="none" w:sz="0" w:space="0" w:color="auto"/>
        <w:right w:val="none" w:sz="0" w:space="0" w:color="auto"/>
      </w:divBdr>
    </w:div>
    <w:div w:id="1648902457">
      <w:bodyDiv w:val="1"/>
      <w:marLeft w:val="0"/>
      <w:marRight w:val="0"/>
      <w:marTop w:val="0"/>
      <w:marBottom w:val="0"/>
      <w:divBdr>
        <w:top w:val="none" w:sz="0" w:space="0" w:color="auto"/>
        <w:left w:val="none" w:sz="0" w:space="0" w:color="auto"/>
        <w:bottom w:val="none" w:sz="0" w:space="0" w:color="auto"/>
        <w:right w:val="none" w:sz="0" w:space="0" w:color="auto"/>
      </w:divBdr>
    </w:div>
    <w:div w:id="1650405377">
      <w:bodyDiv w:val="1"/>
      <w:marLeft w:val="0"/>
      <w:marRight w:val="0"/>
      <w:marTop w:val="0"/>
      <w:marBottom w:val="0"/>
      <w:divBdr>
        <w:top w:val="none" w:sz="0" w:space="0" w:color="auto"/>
        <w:left w:val="none" w:sz="0" w:space="0" w:color="auto"/>
        <w:bottom w:val="none" w:sz="0" w:space="0" w:color="auto"/>
        <w:right w:val="none" w:sz="0" w:space="0" w:color="auto"/>
      </w:divBdr>
    </w:div>
    <w:div w:id="1653483483">
      <w:bodyDiv w:val="1"/>
      <w:marLeft w:val="0"/>
      <w:marRight w:val="0"/>
      <w:marTop w:val="0"/>
      <w:marBottom w:val="0"/>
      <w:divBdr>
        <w:top w:val="none" w:sz="0" w:space="0" w:color="auto"/>
        <w:left w:val="none" w:sz="0" w:space="0" w:color="auto"/>
        <w:bottom w:val="none" w:sz="0" w:space="0" w:color="auto"/>
        <w:right w:val="none" w:sz="0" w:space="0" w:color="auto"/>
      </w:divBdr>
      <w:divsChild>
        <w:div w:id="13906097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4407339">
      <w:bodyDiv w:val="1"/>
      <w:marLeft w:val="0"/>
      <w:marRight w:val="0"/>
      <w:marTop w:val="0"/>
      <w:marBottom w:val="0"/>
      <w:divBdr>
        <w:top w:val="none" w:sz="0" w:space="0" w:color="auto"/>
        <w:left w:val="none" w:sz="0" w:space="0" w:color="auto"/>
        <w:bottom w:val="none" w:sz="0" w:space="0" w:color="auto"/>
        <w:right w:val="none" w:sz="0" w:space="0" w:color="auto"/>
      </w:divBdr>
    </w:div>
    <w:div w:id="1654991836">
      <w:bodyDiv w:val="1"/>
      <w:marLeft w:val="0"/>
      <w:marRight w:val="0"/>
      <w:marTop w:val="0"/>
      <w:marBottom w:val="0"/>
      <w:divBdr>
        <w:top w:val="none" w:sz="0" w:space="0" w:color="auto"/>
        <w:left w:val="none" w:sz="0" w:space="0" w:color="auto"/>
        <w:bottom w:val="none" w:sz="0" w:space="0" w:color="auto"/>
        <w:right w:val="none" w:sz="0" w:space="0" w:color="auto"/>
      </w:divBdr>
    </w:div>
    <w:div w:id="1658992720">
      <w:bodyDiv w:val="1"/>
      <w:marLeft w:val="0"/>
      <w:marRight w:val="0"/>
      <w:marTop w:val="0"/>
      <w:marBottom w:val="0"/>
      <w:divBdr>
        <w:top w:val="none" w:sz="0" w:space="0" w:color="auto"/>
        <w:left w:val="none" w:sz="0" w:space="0" w:color="auto"/>
        <w:bottom w:val="none" w:sz="0" w:space="0" w:color="auto"/>
        <w:right w:val="none" w:sz="0" w:space="0" w:color="auto"/>
      </w:divBdr>
    </w:div>
    <w:div w:id="1661230451">
      <w:bodyDiv w:val="1"/>
      <w:marLeft w:val="0"/>
      <w:marRight w:val="0"/>
      <w:marTop w:val="0"/>
      <w:marBottom w:val="0"/>
      <w:divBdr>
        <w:top w:val="none" w:sz="0" w:space="0" w:color="auto"/>
        <w:left w:val="none" w:sz="0" w:space="0" w:color="auto"/>
        <w:bottom w:val="none" w:sz="0" w:space="0" w:color="auto"/>
        <w:right w:val="none" w:sz="0" w:space="0" w:color="auto"/>
      </w:divBdr>
    </w:div>
    <w:div w:id="1661303246">
      <w:bodyDiv w:val="1"/>
      <w:marLeft w:val="0"/>
      <w:marRight w:val="0"/>
      <w:marTop w:val="0"/>
      <w:marBottom w:val="0"/>
      <w:divBdr>
        <w:top w:val="none" w:sz="0" w:space="0" w:color="auto"/>
        <w:left w:val="none" w:sz="0" w:space="0" w:color="auto"/>
        <w:bottom w:val="none" w:sz="0" w:space="0" w:color="auto"/>
        <w:right w:val="none" w:sz="0" w:space="0" w:color="auto"/>
      </w:divBdr>
    </w:div>
    <w:div w:id="1662389365">
      <w:bodyDiv w:val="1"/>
      <w:marLeft w:val="0"/>
      <w:marRight w:val="0"/>
      <w:marTop w:val="0"/>
      <w:marBottom w:val="0"/>
      <w:divBdr>
        <w:top w:val="none" w:sz="0" w:space="0" w:color="auto"/>
        <w:left w:val="none" w:sz="0" w:space="0" w:color="auto"/>
        <w:bottom w:val="none" w:sz="0" w:space="0" w:color="auto"/>
        <w:right w:val="none" w:sz="0" w:space="0" w:color="auto"/>
      </w:divBdr>
      <w:divsChild>
        <w:div w:id="9805752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2587985">
      <w:bodyDiv w:val="1"/>
      <w:marLeft w:val="0"/>
      <w:marRight w:val="0"/>
      <w:marTop w:val="0"/>
      <w:marBottom w:val="0"/>
      <w:divBdr>
        <w:top w:val="none" w:sz="0" w:space="0" w:color="auto"/>
        <w:left w:val="none" w:sz="0" w:space="0" w:color="auto"/>
        <w:bottom w:val="none" w:sz="0" w:space="0" w:color="auto"/>
        <w:right w:val="none" w:sz="0" w:space="0" w:color="auto"/>
      </w:divBdr>
      <w:divsChild>
        <w:div w:id="15985560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7706087">
      <w:bodyDiv w:val="1"/>
      <w:marLeft w:val="0"/>
      <w:marRight w:val="0"/>
      <w:marTop w:val="0"/>
      <w:marBottom w:val="0"/>
      <w:divBdr>
        <w:top w:val="none" w:sz="0" w:space="0" w:color="auto"/>
        <w:left w:val="none" w:sz="0" w:space="0" w:color="auto"/>
        <w:bottom w:val="none" w:sz="0" w:space="0" w:color="auto"/>
        <w:right w:val="none" w:sz="0" w:space="0" w:color="auto"/>
      </w:divBdr>
    </w:div>
    <w:div w:id="1677339147">
      <w:bodyDiv w:val="1"/>
      <w:marLeft w:val="0"/>
      <w:marRight w:val="0"/>
      <w:marTop w:val="0"/>
      <w:marBottom w:val="0"/>
      <w:divBdr>
        <w:top w:val="none" w:sz="0" w:space="0" w:color="auto"/>
        <w:left w:val="none" w:sz="0" w:space="0" w:color="auto"/>
        <w:bottom w:val="none" w:sz="0" w:space="0" w:color="auto"/>
        <w:right w:val="none" w:sz="0" w:space="0" w:color="auto"/>
      </w:divBdr>
    </w:div>
    <w:div w:id="1683506338">
      <w:bodyDiv w:val="1"/>
      <w:marLeft w:val="0"/>
      <w:marRight w:val="0"/>
      <w:marTop w:val="0"/>
      <w:marBottom w:val="0"/>
      <w:divBdr>
        <w:top w:val="none" w:sz="0" w:space="0" w:color="auto"/>
        <w:left w:val="none" w:sz="0" w:space="0" w:color="auto"/>
        <w:bottom w:val="none" w:sz="0" w:space="0" w:color="auto"/>
        <w:right w:val="none" w:sz="0" w:space="0" w:color="auto"/>
      </w:divBdr>
    </w:div>
    <w:div w:id="1686515566">
      <w:bodyDiv w:val="1"/>
      <w:marLeft w:val="0"/>
      <w:marRight w:val="0"/>
      <w:marTop w:val="0"/>
      <w:marBottom w:val="0"/>
      <w:divBdr>
        <w:top w:val="none" w:sz="0" w:space="0" w:color="auto"/>
        <w:left w:val="none" w:sz="0" w:space="0" w:color="auto"/>
        <w:bottom w:val="none" w:sz="0" w:space="0" w:color="auto"/>
        <w:right w:val="none" w:sz="0" w:space="0" w:color="auto"/>
      </w:divBdr>
    </w:div>
    <w:div w:id="1688290153">
      <w:bodyDiv w:val="1"/>
      <w:marLeft w:val="0"/>
      <w:marRight w:val="0"/>
      <w:marTop w:val="0"/>
      <w:marBottom w:val="0"/>
      <w:divBdr>
        <w:top w:val="none" w:sz="0" w:space="0" w:color="auto"/>
        <w:left w:val="none" w:sz="0" w:space="0" w:color="auto"/>
        <w:bottom w:val="none" w:sz="0" w:space="0" w:color="auto"/>
        <w:right w:val="none" w:sz="0" w:space="0" w:color="auto"/>
      </w:divBdr>
      <w:divsChild>
        <w:div w:id="1691953241">
          <w:blockQuote w:val="1"/>
          <w:marLeft w:val="720"/>
          <w:marRight w:val="720"/>
          <w:marTop w:val="100"/>
          <w:marBottom w:val="100"/>
          <w:divBdr>
            <w:top w:val="none" w:sz="0" w:space="0" w:color="auto"/>
            <w:left w:val="none" w:sz="0" w:space="0" w:color="auto"/>
            <w:bottom w:val="none" w:sz="0" w:space="0" w:color="auto"/>
            <w:right w:val="none" w:sz="0" w:space="0" w:color="auto"/>
          </w:divBdr>
        </w:div>
        <w:div w:id="1503230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9676270">
      <w:bodyDiv w:val="1"/>
      <w:marLeft w:val="0"/>
      <w:marRight w:val="0"/>
      <w:marTop w:val="0"/>
      <w:marBottom w:val="0"/>
      <w:divBdr>
        <w:top w:val="none" w:sz="0" w:space="0" w:color="auto"/>
        <w:left w:val="none" w:sz="0" w:space="0" w:color="auto"/>
        <w:bottom w:val="none" w:sz="0" w:space="0" w:color="auto"/>
        <w:right w:val="none" w:sz="0" w:space="0" w:color="auto"/>
      </w:divBdr>
    </w:div>
    <w:div w:id="1692031267">
      <w:bodyDiv w:val="1"/>
      <w:marLeft w:val="0"/>
      <w:marRight w:val="0"/>
      <w:marTop w:val="0"/>
      <w:marBottom w:val="0"/>
      <w:divBdr>
        <w:top w:val="none" w:sz="0" w:space="0" w:color="auto"/>
        <w:left w:val="none" w:sz="0" w:space="0" w:color="auto"/>
        <w:bottom w:val="none" w:sz="0" w:space="0" w:color="auto"/>
        <w:right w:val="none" w:sz="0" w:space="0" w:color="auto"/>
      </w:divBdr>
    </w:div>
    <w:div w:id="1693146298">
      <w:bodyDiv w:val="1"/>
      <w:marLeft w:val="0"/>
      <w:marRight w:val="0"/>
      <w:marTop w:val="0"/>
      <w:marBottom w:val="0"/>
      <w:divBdr>
        <w:top w:val="none" w:sz="0" w:space="0" w:color="auto"/>
        <w:left w:val="none" w:sz="0" w:space="0" w:color="auto"/>
        <w:bottom w:val="none" w:sz="0" w:space="0" w:color="auto"/>
        <w:right w:val="none" w:sz="0" w:space="0" w:color="auto"/>
      </w:divBdr>
    </w:div>
    <w:div w:id="1697463436">
      <w:bodyDiv w:val="1"/>
      <w:marLeft w:val="0"/>
      <w:marRight w:val="0"/>
      <w:marTop w:val="0"/>
      <w:marBottom w:val="0"/>
      <w:divBdr>
        <w:top w:val="none" w:sz="0" w:space="0" w:color="auto"/>
        <w:left w:val="none" w:sz="0" w:space="0" w:color="auto"/>
        <w:bottom w:val="none" w:sz="0" w:space="0" w:color="auto"/>
        <w:right w:val="none" w:sz="0" w:space="0" w:color="auto"/>
      </w:divBdr>
    </w:div>
    <w:div w:id="1697776545">
      <w:bodyDiv w:val="1"/>
      <w:marLeft w:val="0"/>
      <w:marRight w:val="0"/>
      <w:marTop w:val="0"/>
      <w:marBottom w:val="0"/>
      <w:divBdr>
        <w:top w:val="none" w:sz="0" w:space="0" w:color="auto"/>
        <w:left w:val="none" w:sz="0" w:space="0" w:color="auto"/>
        <w:bottom w:val="none" w:sz="0" w:space="0" w:color="auto"/>
        <w:right w:val="none" w:sz="0" w:space="0" w:color="auto"/>
      </w:divBdr>
    </w:div>
    <w:div w:id="1701005365">
      <w:bodyDiv w:val="1"/>
      <w:marLeft w:val="0"/>
      <w:marRight w:val="0"/>
      <w:marTop w:val="0"/>
      <w:marBottom w:val="0"/>
      <w:divBdr>
        <w:top w:val="none" w:sz="0" w:space="0" w:color="auto"/>
        <w:left w:val="none" w:sz="0" w:space="0" w:color="auto"/>
        <w:bottom w:val="none" w:sz="0" w:space="0" w:color="auto"/>
        <w:right w:val="none" w:sz="0" w:space="0" w:color="auto"/>
      </w:divBdr>
    </w:div>
    <w:div w:id="1704093931">
      <w:bodyDiv w:val="1"/>
      <w:marLeft w:val="0"/>
      <w:marRight w:val="0"/>
      <w:marTop w:val="0"/>
      <w:marBottom w:val="0"/>
      <w:divBdr>
        <w:top w:val="none" w:sz="0" w:space="0" w:color="auto"/>
        <w:left w:val="none" w:sz="0" w:space="0" w:color="auto"/>
        <w:bottom w:val="none" w:sz="0" w:space="0" w:color="auto"/>
        <w:right w:val="none" w:sz="0" w:space="0" w:color="auto"/>
      </w:divBdr>
    </w:div>
    <w:div w:id="1711147270">
      <w:bodyDiv w:val="1"/>
      <w:marLeft w:val="0"/>
      <w:marRight w:val="0"/>
      <w:marTop w:val="0"/>
      <w:marBottom w:val="0"/>
      <w:divBdr>
        <w:top w:val="none" w:sz="0" w:space="0" w:color="auto"/>
        <w:left w:val="none" w:sz="0" w:space="0" w:color="auto"/>
        <w:bottom w:val="none" w:sz="0" w:space="0" w:color="auto"/>
        <w:right w:val="none" w:sz="0" w:space="0" w:color="auto"/>
      </w:divBdr>
    </w:div>
    <w:div w:id="1713116800">
      <w:bodyDiv w:val="1"/>
      <w:marLeft w:val="0"/>
      <w:marRight w:val="0"/>
      <w:marTop w:val="0"/>
      <w:marBottom w:val="0"/>
      <w:divBdr>
        <w:top w:val="none" w:sz="0" w:space="0" w:color="auto"/>
        <w:left w:val="none" w:sz="0" w:space="0" w:color="auto"/>
        <w:bottom w:val="none" w:sz="0" w:space="0" w:color="auto"/>
        <w:right w:val="none" w:sz="0" w:space="0" w:color="auto"/>
      </w:divBdr>
      <w:divsChild>
        <w:div w:id="1264538452">
          <w:marLeft w:val="0"/>
          <w:marRight w:val="0"/>
          <w:marTop w:val="0"/>
          <w:marBottom w:val="0"/>
          <w:divBdr>
            <w:top w:val="none" w:sz="0" w:space="0" w:color="auto"/>
            <w:left w:val="none" w:sz="0" w:space="0" w:color="auto"/>
            <w:bottom w:val="none" w:sz="0" w:space="0" w:color="auto"/>
            <w:right w:val="none" w:sz="0" w:space="0" w:color="auto"/>
          </w:divBdr>
        </w:div>
      </w:divsChild>
    </w:div>
    <w:div w:id="1726753557">
      <w:bodyDiv w:val="1"/>
      <w:marLeft w:val="0"/>
      <w:marRight w:val="0"/>
      <w:marTop w:val="0"/>
      <w:marBottom w:val="0"/>
      <w:divBdr>
        <w:top w:val="none" w:sz="0" w:space="0" w:color="auto"/>
        <w:left w:val="none" w:sz="0" w:space="0" w:color="auto"/>
        <w:bottom w:val="none" w:sz="0" w:space="0" w:color="auto"/>
        <w:right w:val="none" w:sz="0" w:space="0" w:color="auto"/>
      </w:divBdr>
    </w:div>
    <w:div w:id="1737438337">
      <w:bodyDiv w:val="1"/>
      <w:marLeft w:val="0"/>
      <w:marRight w:val="0"/>
      <w:marTop w:val="0"/>
      <w:marBottom w:val="0"/>
      <w:divBdr>
        <w:top w:val="none" w:sz="0" w:space="0" w:color="auto"/>
        <w:left w:val="none" w:sz="0" w:space="0" w:color="auto"/>
        <w:bottom w:val="none" w:sz="0" w:space="0" w:color="auto"/>
        <w:right w:val="none" w:sz="0" w:space="0" w:color="auto"/>
      </w:divBdr>
    </w:div>
    <w:div w:id="1737703903">
      <w:bodyDiv w:val="1"/>
      <w:marLeft w:val="0"/>
      <w:marRight w:val="0"/>
      <w:marTop w:val="0"/>
      <w:marBottom w:val="0"/>
      <w:divBdr>
        <w:top w:val="none" w:sz="0" w:space="0" w:color="auto"/>
        <w:left w:val="none" w:sz="0" w:space="0" w:color="auto"/>
        <w:bottom w:val="none" w:sz="0" w:space="0" w:color="auto"/>
        <w:right w:val="none" w:sz="0" w:space="0" w:color="auto"/>
      </w:divBdr>
    </w:div>
    <w:div w:id="1739134165">
      <w:bodyDiv w:val="1"/>
      <w:marLeft w:val="0"/>
      <w:marRight w:val="0"/>
      <w:marTop w:val="0"/>
      <w:marBottom w:val="0"/>
      <w:divBdr>
        <w:top w:val="none" w:sz="0" w:space="0" w:color="auto"/>
        <w:left w:val="none" w:sz="0" w:space="0" w:color="auto"/>
        <w:bottom w:val="none" w:sz="0" w:space="0" w:color="auto"/>
        <w:right w:val="none" w:sz="0" w:space="0" w:color="auto"/>
      </w:divBdr>
    </w:div>
    <w:div w:id="1743484745">
      <w:bodyDiv w:val="1"/>
      <w:marLeft w:val="0"/>
      <w:marRight w:val="0"/>
      <w:marTop w:val="0"/>
      <w:marBottom w:val="0"/>
      <w:divBdr>
        <w:top w:val="none" w:sz="0" w:space="0" w:color="auto"/>
        <w:left w:val="none" w:sz="0" w:space="0" w:color="auto"/>
        <w:bottom w:val="none" w:sz="0" w:space="0" w:color="auto"/>
        <w:right w:val="none" w:sz="0" w:space="0" w:color="auto"/>
      </w:divBdr>
      <w:divsChild>
        <w:div w:id="1996715206">
          <w:marLeft w:val="0"/>
          <w:marRight w:val="0"/>
          <w:marTop w:val="0"/>
          <w:marBottom w:val="0"/>
          <w:divBdr>
            <w:top w:val="none" w:sz="0" w:space="0" w:color="auto"/>
            <w:left w:val="none" w:sz="0" w:space="0" w:color="auto"/>
            <w:bottom w:val="none" w:sz="0" w:space="0" w:color="auto"/>
            <w:right w:val="none" w:sz="0" w:space="0" w:color="auto"/>
          </w:divBdr>
        </w:div>
      </w:divsChild>
    </w:div>
    <w:div w:id="1744836504">
      <w:bodyDiv w:val="1"/>
      <w:marLeft w:val="0"/>
      <w:marRight w:val="0"/>
      <w:marTop w:val="0"/>
      <w:marBottom w:val="0"/>
      <w:divBdr>
        <w:top w:val="none" w:sz="0" w:space="0" w:color="auto"/>
        <w:left w:val="none" w:sz="0" w:space="0" w:color="auto"/>
        <w:bottom w:val="none" w:sz="0" w:space="0" w:color="auto"/>
        <w:right w:val="none" w:sz="0" w:space="0" w:color="auto"/>
      </w:divBdr>
    </w:div>
    <w:div w:id="1744839036">
      <w:bodyDiv w:val="1"/>
      <w:marLeft w:val="0"/>
      <w:marRight w:val="0"/>
      <w:marTop w:val="0"/>
      <w:marBottom w:val="0"/>
      <w:divBdr>
        <w:top w:val="none" w:sz="0" w:space="0" w:color="auto"/>
        <w:left w:val="none" w:sz="0" w:space="0" w:color="auto"/>
        <w:bottom w:val="none" w:sz="0" w:space="0" w:color="auto"/>
        <w:right w:val="none" w:sz="0" w:space="0" w:color="auto"/>
      </w:divBdr>
    </w:div>
    <w:div w:id="1746563280">
      <w:bodyDiv w:val="1"/>
      <w:marLeft w:val="0"/>
      <w:marRight w:val="0"/>
      <w:marTop w:val="0"/>
      <w:marBottom w:val="0"/>
      <w:divBdr>
        <w:top w:val="none" w:sz="0" w:space="0" w:color="auto"/>
        <w:left w:val="none" w:sz="0" w:space="0" w:color="auto"/>
        <w:bottom w:val="none" w:sz="0" w:space="0" w:color="auto"/>
        <w:right w:val="none" w:sz="0" w:space="0" w:color="auto"/>
      </w:divBdr>
    </w:div>
    <w:div w:id="1747146524">
      <w:bodyDiv w:val="1"/>
      <w:marLeft w:val="0"/>
      <w:marRight w:val="0"/>
      <w:marTop w:val="0"/>
      <w:marBottom w:val="0"/>
      <w:divBdr>
        <w:top w:val="none" w:sz="0" w:space="0" w:color="auto"/>
        <w:left w:val="none" w:sz="0" w:space="0" w:color="auto"/>
        <w:bottom w:val="none" w:sz="0" w:space="0" w:color="auto"/>
        <w:right w:val="none" w:sz="0" w:space="0" w:color="auto"/>
      </w:divBdr>
    </w:div>
    <w:div w:id="1750081510">
      <w:bodyDiv w:val="1"/>
      <w:marLeft w:val="0"/>
      <w:marRight w:val="0"/>
      <w:marTop w:val="0"/>
      <w:marBottom w:val="0"/>
      <w:divBdr>
        <w:top w:val="none" w:sz="0" w:space="0" w:color="auto"/>
        <w:left w:val="none" w:sz="0" w:space="0" w:color="auto"/>
        <w:bottom w:val="none" w:sz="0" w:space="0" w:color="auto"/>
        <w:right w:val="none" w:sz="0" w:space="0" w:color="auto"/>
      </w:divBdr>
    </w:div>
    <w:div w:id="1750885707">
      <w:bodyDiv w:val="1"/>
      <w:marLeft w:val="0"/>
      <w:marRight w:val="0"/>
      <w:marTop w:val="0"/>
      <w:marBottom w:val="0"/>
      <w:divBdr>
        <w:top w:val="none" w:sz="0" w:space="0" w:color="auto"/>
        <w:left w:val="none" w:sz="0" w:space="0" w:color="auto"/>
        <w:bottom w:val="none" w:sz="0" w:space="0" w:color="auto"/>
        <w:right w:val="none" w:sz="0" w:space="0" w:color="auto"/>
      </w:divBdr>
    </w:div>
    <w:div w:id="1752703545">
      <w:bodyDiv w:val="1"/>
      <w:marLeft w:val="0"/>
      <w:marRight w:val="0"/>
      <w:marTop w:val="0"/>
      <w:marBottom w:val="0"/>
      <w:divBdr>
        <w:top w:val="none" w:sz="0" w:space="0" w:color="auto"/>
        <w:left w:val="none" w:sz="0" w:space="0" w:color="auto"/>
        <w:bottom w:val="none" w:sz="0" w:space="0" w:color="auto"/>
        <w:right w:val="none" w:sz="0" w:space="0" w:color="auto"/>
      </w:divBdr>
      <w:divsChild>
        <w:div w:id="778568089">
          <w:marLeft w:val="0"/>
          <w:marRight w:val="0"/>
          <w:marTop w:val="0"/>
          <w:marBottom w:val="0"/>
          <w:divBdr>
            <w:top w:val="none" w:sz="0" w:space="0" w:color="auto"/>
            <w:left w:val="none" w:sz="0" w:space="0" w:color="auto"/>
            <w:bottom w:val="none" w:sz="0" w:space="0" w:color="auto"/>
            <w:right w:val="none" w:sz="0" w:space="0" w:color="auto"/>
          </w:divBdr>
        </w:div>
        <w:div w:id="1575435783">
          <w:marLeft w:val="0"/>
          <w:marRight w:val="0"/>
          <w:marTop w:val="0"/>
          <w:marBottom w:val="0"/>
          <w:divBdr>
            <w:top w:val="none" w:sz="0" w:space="0" w:color="auto"/>
            <w:left w:val="none" w:sz="0" w:space="0" w:color="auto"/>
            <w:bottom w:val="none" w:sz="0" w:space="0" w:color="auto"/>
            <w:right w:val="none" w:sz="0" w:space="0" w:color="auto"/>
          </w:divBdr>
        </w:div>
        <w:div w:id="704134657">
          <w:marLeft w:val="0"/>
          <w:marRight w:val="0"/>
          <w:marTop w:val="0"/>
          <w:marBottom w:val="0"/>
          <w:divBdr>
            <w:top w:val="none" w:sz="0" w:space="0" w:color="auto"/>
            <w:left w:val="none" w:sz="0" w:space="0" w:color="auto"/>
            <w:bottom w:val="none" w:sz="0" w:space="0" w:color="auto"/>
            <w:right w:val="none" w:sz="0" w:space="0" w:color="auto"/>
          </w:divBdr>
        </w:div>
        <w:div w:id="1402752274">
          <w:marLeft w:val="0"/>
          <w:marRight w:val="0"/>
          <w:marTop w:val="0"/>
          <w:marBottom w:val="0"/>
          <w:divBdr>
            <w:top w:val="none" w:sz="0" w:space="0" w:color="auto"/>
            <w:left w:val="none" w:sz="0" w:space="0" w:color="auto"/>
            <w:bottom w:val="none" w:sz="0" w:space="0" w:color="auto"/>
            <w:right w:val="none" w:sz="0" w:space="0" w:color="auto"/>
          </w:divBdr>
        </w:div>
        <w:div w:id="1039628077">
          <w:marLeft w:val="0"/>
          <w:marRight w:val="0"/>
          <w:marTop w:val="0"/>
          <w:marBottom w:val="0"/>
          <w:divBdr>
            <w:top w:val="none" w:sz="0" w:space="0" w:color="auto"/>
            <w:left w:val="none" w:sz="0" w:space="0" w:color="auto"/>
            <w:bottom w:val="none" w:sz="0" w:space="0" w:color="auto"/>
            <w:right w:val="none" w:sz="0" w:space="0" w:color="auto"/>
          </w:divBdr>
        </w:div>
        <w:div w:id="891235589">
          <w:marLeft w:val="0"/>
          <w:marRight w:val="0"/>
          <w:marTop w:val="0"/>
          <w:marBottom w:val="0"/>
          <w:divBdr>
            <w:top w:val="none" w:sz="0" w:space="0" w:color="auto"/>
            <w:left w:val="none" w:sz="0" w:space="0" w:color="auto"/>
            <w:bottom w:val="none" w:sz="0" w:space="0" w:color="auto"/>
            <w:right w:val="none" w:sz="0" w:space="0" w:color="auto"/>
          </w:divBdr>
        </w:div>
        <w:div w:id="940457108">
          <w:marLeft w:val="0"/>
          <w:marRight w:val="0"/>
          <w:marTop w:val="0"/>
          <w:marBottom w:val="0"/>
          <w:divBdr>
            <w:top w:val="none" w:sz="0" w:space="0" w:color="auto"/>
            <w:left w:val="none" w:sz="0" w:space="0" w:color="auto"/>
            <w:bottom w:val="none" w:sz="0" w:space="0" w:color="auto"/>
            <w:right w:val="none" w:sz="0" w:space="0" w:color="auto"/>
          </w:divBdr>
        </w:div>
        <w:div w:id="215048728">
          <w:marLeft w:val="0"/>
          <w:marRight w:val="0"/>
          <w:marTop w:val="0"/>
          <w:marBottom w:val="0"/>
          <w:divBdr>
            <w:top w:val="none" w:sz="0" w:space="0" w:color="auto"/>
            <w:left w:val="none" w:sz="0" w:space="0" w:color="auto"/>
            <w:bottom w:val="none" w:sz="0" w:space="0" w:color="auto"/>
            <w:right w:val="none" w:sz="0" w:space="0" w:color="auto"/>
          </w:divBdr>
        </w:div>
      </w:divsChild>
    </w:div>
    <w:div w:id="1753621317">
      <w:bodyDiv w:val="1"/>
      <w:marLeft w:val="0"/>
      <w:marRight w:val="0"/>
      <w:marTop w:val="0"/>
      <w:marBottom w:val="0"/>
      <w:divBdr>
        <w:top w:val="none" w:sz="0" w:space="0" w:color="auto"/>
        <w:left w:val="none" w:sz="0" w:space="0" w:color="auto"/>
        <w:bottom w:val="none" w:sz="0" w:space="0" w:color="auto"/>
        <w:right w:val="none" w:sz="0" w:space="0" w:color="auto"/>
      </w:divBdr>
      <w:divsChild>
        <w:div w:id="20509111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55325078">
      <w:bodyDiv w:val="1"/>
      <w:marLeft w:val="0"/>
      <w:marRight w:val="0"/>
      <w:marTop w:val="0"/>
      <w:marBottom w:val="0"/>
      <w:divBdr>
        <w:top w:val="none" w:sz="0" w:space="0" w:color="auto"/>
        <w:left w:val="none" w:sz="0" w:space="0" w:color="auto"/>
        <w:bottom w:val="none" w:sz="0" w:space="0" w:color="auto"/>
        <w:right w:val="none" w:sz="0" w:space="0" w:color="auto"/>
      </w:divBdr>
      <w:divsChild>
        <w:div w:id="725030487">
          <w:blockQuote w:val="1"/>
          <w:marLeft w:val="720"/>
          <w:marRight w:val="720"/>
          <w:marTop w:val="100"/>
          <w:marBottom w:val="100"/>
          <w:divBdr>
            <w:top w:val="none" w:sz="0" w:space="0" w:color="auto"/>
            <w:left w:val="none" w:sz="0" w:space="0" w:color="auto"/>
            <w:bottom w:val="none" w:sz="0" w:space="0" w:color="auto"/>
            <w:right w:val="none" w:sz="0" w:space="0" w:color="auto"/>
          </w:divBdr>
        </w:div>
        <w:div w:id="593588644">
          <w:blockQuote w:val="1"/>
          <w:marLeft w:val="720"/>
          <w:marRight w:val="720"/>
          <w:marTop w:val="100"/>
          <w:marBottom w:val="100"/>
          <w:divBdr>
            <w:top w:val="none" w:sz="0" w:space="0" w:color="auto"/>
            <w:left w:val="none" w:sz="0" w:space="0" w:color="auto"/>
            <w:bottom w:val="none" w:sz="0" w:space="0" w:color="auto"/>
            <w:right w:val="none" w:sz="0" w:space="0" w:color="auto"/>
          </w:divBdr>
        </w:div>
        <w:div w:id="9508668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57676318">
      <w:bodyDiv w:val="1"/>
      <w:marLeft w:val="0"/>
      <w:marRight w:val="0"/>
      <w:marTop w:val="0"/>
      <w:marBottom w:val="0"/>
      <w:divBdr>
        <w:top w:val="none" w:sz="0" w:space="0" w:color="auto"/>
        <w:left w:val="none" w:sz="0" w:space="0" w:color="auto"/>
        <w:bottom w:val="none" w:sz="0" w:space="0" w:color="auto"/>
        <w:right w:val="none" w:sz="0" w:space="0" w:color="auto"/>
      </w:divBdr>
    </w:div>
    <w:div w:id="1765030860">
      <w:bodyDiv w:val="1"/>
      <w:marLeft w:val="0"/>
      <w:marRight w:val="0"/>
      <w:marTop w:val="0"/>
      <w:marBottom w:val="0"/>
      <w:divBdr>
        <w:top w:val="none" w:sz="0" w:space="0" w:color="auto"/>
        <w:left w:val="none" w:sz="0" w:space="0" w:color="auto"/>
        <w:bottom w:val="none" w:sz="0" w:space="0" w:color="auto"/>
        <w:right w:val="none" w:sz="0" w:space="0" w:color="auto"/>
      </w:divBdr>
      <w:divsChild>
        <w:div w:id="9366427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8843980">
      <w:bodyDiv w:val="1"/>
      <w:marLeft w:val="0"/>
      <w:marRight w:val="0"/>
      <w:marTop w:val="0"/>
      <w:marBottom w:val="0"/>
      <w:divBdr>
        <w:top w:val="none" w:sz="0" w:space="0" w:color="auto"/>
        <w:left w:val="none" w:sz="0" w:space="0" w:color="auto"/>
        <w:bottom w:val="none" w:sz="0" w:space="0" w:color="auto"/>
        <w:right w:val="none" w:sz="0" w:space="0" w:color="auto"/>
      </w:divBdr>
    </w:div>
    <w:div w:id="1772387100">
      <w:bodyDiv w:val="1"/>
      <w:marLeft w:val="0"/>
      <w:marRight w:val="0"/>
      <w:marTop w:val="0"/>
      <w:marBottom w:val="0"/>
      <w:divBdr>
        <w:top w:val="none" w:sz="0" w:space="0" w:color="auto"/>
        <w:left w:val="none" w:sz="0" w:space="0" w:color="auto"/>
        <w:bottom w:val="none" w:sz="0" w:space="0" w:color="auto"/>
        <w:right w:val="none" w:sz="0" w:space="0" w:color="auto"/>
      </w:divBdr>
      <w:divsChild>
        <w:div w:id="2534387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5009636">
      <w:bodyDiv w:val="1"/>
      <w:marLeft w:val="0"/>
      <w:marRight w:val="0"/>
      <w:marTop w:val="0"/>
      <w:marBottom w:val="0"/>
      <w:divBdr>
        <w:top w:val="none" w:sz="0" w:space="0" w:color="auto"/>
        <w:left w:val="none" w:sz="0" w:space="0" w:color="auto"/>
        <w:bottom w:val="none" w:sz="0" w:space="0" w:color="auto"/>
        <w:right w:val="none" w:sz="0" w:space="0" w:color="auto"/>
      </w:divBdr>
    </w:div>
    <w:div w:id="1776092944">
      <w:bodyDiv w:val="1"/>
      <w:marLeft w:val="0"/>
      <w:marRight w:val="0"/>
      <w:marTop w:val="0"/>
      <w:marBottom w:val="0"/>
      <w:divBdr>
        <w:top w:val="none" w:sz="0" w:space="0" w:color="auto"/>
        <w:left w:val="none" w:sz="0" w:space="0" w:color="auto"/>
        <w:bottom w:val="none" w:sz="0" w:space="0" w:color="auto"/>
        <w:right w:val="none" w:sz="0" w:space="0" w:color="auto"/>
      </w:divBdr>
    </w:div>
    <w:div w:id="1776436331">
      <w:bodyDiv w:val="1"/>
      <w:marLeft w:val="0"/>
      <w:marRight w:val="0"/>
      <w:marTop w:val="0"/>
      <w:marBottom w:val="0"/>
      <w:divBdr>
        <w:top w:val="none" w:sz="0" w:space="0" w:color="auto"/>
        <w:left w:val="none" w:sz="0" w:space="0" w:color="auto"/>
        <w:bottom w:val="none" w:sz="0" w:space="0" w:color="auto"/>
        <w:right w:val="none" w:sz="0" w:space="0" w:color="auto"/>
      </w:divBdr>
    </w:div>
    <w:div w:id="1776897576">
      <w:bodyDiv w:val="1"/>
      <w:marLeft w:val="0"/>
      <w:marRight w:val="0"/>
      <w:marTop w:val="0"/>
      <w:marBottom w:val="0"/>
      <w:divBdr>
        <w:top w:val="none" w:sz="0" w:space="0" w:color="auto"/>
        <w:left w:val="none" w:sz="0" w:space="0" w:color="auto"/>
        <w:bottom w:val="none" w:sz="0" w:space="0" w:color="auto"/>
        <w:right w:val="none" w:sz="0" w:space="0" w:color="auto"/>
      </w:divBdr>
    </w:div>
    <w:div w:id="1778940122">
      <w:bodyDiv w:val="1"/>
      <w:marLeft w:val="0"/>
      <w:marRight w:val="0"/>
      <w:marTop w:val="0"/>
      <w:marBottom w:val="0"/>
      <w:divBdr>
        <w:top w:val="none" w:sz="0" w:space="0" w:color="auto"/>
        <w:left w:val="none" w:sz="0" w:space="0" w:color="auto"/>
        <w:bottom w:val="none" w:sz="0" w:space="0" w:color="auto"/>
        <w:right w:val="none" w:sz="0" w:space="0" w:color="auto"/>
      </w:divBdr>
    </w:div>
    <w:div w:id="1782676957">
      <w:bodyDiv w:val="1"/>
      <w:marLeft w:val="0"/>
      <w:marRight w:val="0"/>
      <w:marTop w:val="0"/>
      <w:marBottom w:val="0"/>
      <w:divBdr>
        <w:top w:val="none" w:sz="0" w:space="0" w:color="auto"/>
        <w:left w:val="none" w:sz="0" w:space="0" w:color="auto"/>
        <w:bottom w:val="none" w:sz="0" w:space="0" w:color="auto"/>
        <w:right w:val="none" w:sz="0" w:space="0" w:color="auto"/>
      </w:divBdr>
    </w:div>
    <w:div w:id="1784500280">
      <w:bodyDiv w:val="1"/>
      <w:marLeft w:val="0"/>
      <w:marRight w:val="0"/>
      <w:marTop w:val="0"/>
      <w:marBottom w:val="0"/>
      <w:divBdr>
        <w:top w:val="none" w:sz="0" w:space="0" w:color="auto"/>
        <w:left w:val="none" w:sz="0" w:space="0" w:color="auto"/>
        <w:bottom w:val="none" w:sz="0" w:space="0" w:color="auto"/>
        <w:right w:val="none" w:sz="0" w:space="0" w:color="auto"/>
      </w:divBdr>
    </w:div>
    <w:div w:id="1786725699">
      <w:bodyDiv w:val="1"/>
      <w:marLeft w:val="0"/>
      <w:marRight w:val="0"/>
      <w:marTop w:val="0"/>
      <w:marBottom w:val="0"/>
      <w:divBdr>
        <w:top w:val="none" w:sz="0" w:space="0" w:color="auto"/>
        <w:left w:val="none" w:sz="0" w:space="0" w:color="auto"/>
        <w:bottom w:val="none" w:sz="0" w:space="0" w:color="auto"/>
        <w:right w:val="none" w:sz="0" w:space="0" w:color="auto"/>
      </w:divBdr>
    </w:div>
    <w:div w:id="1803573247">
      <w:bodyDiv w:val="1"/>
      <w:marLeft w:val="0"/>
      <w:marRight w:val="0"/>
      <w:marTop w:val="0"/>
      <w:marBottom w:val="0"/>
      <w:divBdr>
        <w:top w:val="none" w:sz="0" w:space="0" w:color="auto"/>
        <w:left w:val="none" w:sz="0" w:space="0" w:color="auto"/>
        <w:bottom w:val="none" w:sz="0" w:space="0" w:color="auto"/>
        <w:right w:val="none" w:sz="0" w:space="0" w:color="auto"/>
      </w:divBdr>
    </w:div>
    <w:div w:id="1805810154">
      <w:bodyDiv w:val="1"/>
      <w:marLeft w:val="0"/>
      <w:marRight w:val="0"/>
      <w:marTop w:val="0"/>
      <w:marBottom w:val="0"/>
      <w:divBdr>
        <w:top w:val="none" w:sz="0" w:space="0" w:color="auto"/>
        <w:left w:val="none" w:sz="0" w:space="0" w:color="auto"/>
        <w:bottom w:val="none" w:sz="0" w:space="0" w:color="auto"/>
        <w:right w:val="none" w:sz="0" w:space="0" w:color="auto"/>
      </w:divBdr>
    </w:div>
    <w:div w:id="1809199447">
      <w:bodyDiv w:val="1"/>
      <w:marLeft w:val="0"/>
      <w:marRight w:val="0"/>
      <w:marTop w:val="0"/>
      <w:marBottom w:val="0"/>
      <w:divBdr>
        <w:top w:val="none" w:sz="0" w:space="0" w:color="auto"/>
        <w:left w:val="none" w:sz="0" w:space="0" w:color="auto"/>
        <w:bottom w:val="none" w:sz="0" w:space="0" w:color="auto"/>
        <w:right w:val="none" w:sz="0" w:space="0" w:color="auto"/>
      </w:divBdr>
    </w:div>
    <w:div w:id="1809784132">
      <w:bodyDiv w:val="1"/>
      <w:marLeft w:val="0"/>
      <w:marRight w:val="0"/>
      <w:marTop w:val="0"/>
      <w:marBottom w:val="0"/>
      <w:divBdr>
        <w:top w:val="none" w:sz="0" w:space="0" w:color="auto"/>
        <w:left w:val="none" w:sz="0" w:space="0" w:color="auto"/>
        <w:bottom w:val="none" w:sz="0" w:space="0" w:color="auto"/>
        <w:right w:val="none" w:sz="0" w:space="0" w:color="auto"/>
      </w:divBdr>
    </w:div>
    <w:div w:id="1813867604">
      <w:bodyDiv w:val="1"/>
      <w:marLeft w:val="0"/>
      <w:marRight w:val="0"/>
      <w:marTop w:val="0"/>
      <w:marBottom w:val="0"/>
      <w:divBdr>
        <w:top w:val="none" w:sz="0" w:space="0" w:color="auto"/>
        <w:left w:val="none" w:sz="0" w:space="0" w:color="auto"/>
        <w:bottom w:val="none" w:sz="0" w:space="0" w:color="auto"/>
        <w:right w:val="none" w:sz="0" w:space="0" w:color="auto"/>
      </w:divBdr>
    </w:div>
    <w:div w:id="1813983323">
      <w:bodyDiv w:val="1"/>
      <w:marLeft w:val="0"/>
      <w:marRight w:val="0"/>
      <w:marTop w:val="0"/>
      <w:marBottom w:val="0"/>
      <w:divBdr>
        <w:top w:val="none" w:sz="0" w:space="0" w:color="auto"/>
        <w:left w:val="none" w:sz="0" w:space="0" w:color="auto"/>
        <w:bottom w:val="none" w:sz="0" w:space="0" w:color="auto"/>
        <w:right w:val="none" w:sz="0" w:space="0" w:color="auto"/>
      </w:divBdr>
      <w:divsChild>
        <w:div w:id="3248686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4521928">
      <w:bodyDiv w:val="1"/>
      <w:marLeft w:val="0"/>
      <w:marRight w:val="0"/>
      <w:marTop w:val="0"/>
      <w:marBottom w:val="0"/>
      <w:divBdr>
        <w:top w:val="none" w:sz="0" w:space="0" w:color="auto"/>
        <w:left w:val="none" w:sz="0" w:space="0" w:color="auto"/>
        <w:bottom w:val="none" w:sz="0" w:space="0" w:color="auto"/>
        <w:right w:val="none" w:sz="0" w:space="0" w:color="auto"/>
      </w:divBdr>
      <w:divsChild>
        <w:div w:id="2091342403">
          <w:blockQuote w:val="1"/>
          <w:marLeft w:val="720"/>
          <w:marRight w:val="720"/>
          <w:marTop w:val="100"/>
          <w:marBottom w:val="100"/>
          <w:divBdr>
            <w:top w:val="none" w:sz="0" w:space="0" w:color="auto"/>
            <w:left w:val="none" w:sz="0" w:space="0" w:color="auto"/>
            <w:bottom w:val="none" w:sz="0" w:space="0" w:color="auto"/>
            <w:right w:val="none" w:sz="0" w:space="0" w:color="auto"/>
          </w:divBdr>
        </w:div>
        <w:div w:id="1551452670">
          <w:blockQuote w:val="1"/>
          <w:marLeft w:val="720"/>
          <w:marRight w:val="720"/>
          <w:marTop w:val="100"/>
          <w:marBottom w:val="100"/>
          <w:divBdr>
            <w:top w:val="none" w:sz="0" w:space="0" w:color="auto"/>
            <w:left w:val="none" w:sz="0" w:space="0" w:color="auto"/>
            <w:bottom w:val="none" w:sz="0" w:space="0" w:color="auto"/>
            <w:right w:val="none" w:sz="0" w:space="0" w:color="auto"/>
          </w:divBdr>
        </w:div>
        <w:div w:id="8808277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3081391">
      <w:bodyDiv w:val="1"/>
      <w:marLeft w:val="0"/>
      <w:marRight w:val="0"/>
      <w:marTop w:val="0"/>
      <w:marBottom w:val="0"/>
      <w:divBdr>
        <w:top w:val="none" w:sz="0" w:space="0" w:color="auto"/>
        <w:left w:val="none" w:sz="0" w:space="0" w:color="auto"/>
        <w:bottom w:val="none" w:sz="0" w:space="0" w:color="auto"/>
        <w:right w:val="none" w:sz="0" w:space="0" w:color="auto"/>
      </w:divBdr>
    </w:div>
    <w:div w:id="1827431917">
      <w:bodyDiv w:val="1"/>
      <w:marLeft w:val="0"/>
      <w:marRight w:val="0"/>
      <w:marTop w:val="0"/>
      <w:marBottom w:val="0"/>
      <w:divBdr>
        <w:top w:val="none" w:sz="0" w:space="0" w:color="auto"/>
        <w:left w:val="none" w:sz="0" w:space="0" w:color="auto"/>
        <w:bottom w:val="none" w:sz="0" w:space="0" w:color="auto"/>
        <w:right w:val="none" w:sz="0" w:space="0" w:color="auto"/>
      </w:divBdr>
      <w:divsChild>
        <w:div w:id="107895029">
          <w:blockQuote w:val="1"/>
          <w:marLeft w:val="720"/>
          <w:marRight w:val="720"/>
          <w:marTop w:val="100"/>
          <w:marBottom w:val="100"/>
          <w:divBdr>
            <w:top w:val="none" w:sz="0" w:space="0" w:color="auto"/>
            <w:left w:val="none" w:sz="0" w:space="0" w:color="auto"/>
            <w:bottom w:val="none" w:sz="0" w:space="0" w:color="auto"/>
            <w:right w:val="none" w:sz="0" w:space="0" w:color="auto"/>
          </w:divBdr>
        </w:div>
        <w:div w:id="11670914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7938097">
      <w:bodyDiv w:val="1"/>
      <w:marLeft w:val="0"/>
      <w:marRight w:val="0"/>
      <w:marTop w:val="0"/>
      <w:marBottom w:val="0"/>
      <w:divBdr>
        <w:top w:val="none" w:sz="0" w:space="0" w:color="auto"/>
        <w:left w:val="none" w:sz="0" w:space="0" w:color="auto"/>
        <w:bottom w:val="none" w:sz="0" w:space="0" w:color="auto"/>
        <w:right w:val="none" w:sz="0" w:space="0" w:color="auto"/>
      </w:divBdr>
    </w:div>
    <w:div w:id="1830630107">
      <w:bodyDiv w:val="1"/>
      <w:marLeft w:val="0"/>
      <w:marRight w:val="0"/>
      <w:marTop w:val="0"/>
      <w:marBottom w:val="0"/>
      <w:divBdr>
        <w:top w:val="none" w:sz="0" w:space="0" w:color="auto"/>
        <w:left w:val="none" w:sz="0" w:space="0" w:color="auto"/>
        <w:bottom w:val="none" w:sz="0" w:space="0" w:color="auto"/>
        <w:right w:val="none" w:sz="0" w:space="0" w:color="auto"/>
      </w:divBdr>
    </w:div>
    <w:div w:id="1830898000">
      <w:bodyDiv w:val="1"/>
      <w:marLeft w:val="0"/>
      <w:marRight w:val="0"/>
      <w:marTop w:val="0"/>
      <w:marBottom w:val="0"/>
      <w:divBdr>
        <w:top w:val="none" w:sz="0" w:space="0" w:color="auto"/>
        <w:left w:val="none" w:sz="0" w:space="0" w:color="auto"/>
        <w:bottom w:val="none" w:sz="0" w:space="0" w:color="auto"/>
        <w:right w:val="none" w:sz="0" w:space="0" w:color="auto"/>
      </w:divBdr>
    </w:div>
    <w:div w:id="1831142137">
      <w:bodyDiv w:val="1"/>
      <w:marLeft w:val="0"/>
      <w:marRight w:val="0"/>
      <w:marTop w:val="0"/>
      <w:marBottom w:val="0"/>
      <w:divBdr>
        <w:top w:val="none" w:sz="0" w:space="0" w:color="auto"/>
        <w:left w:val="none" w:sz="0" w:space="0" w:color="auto"/>
        <w:bottom w:val="none" w:sz="0" w:space="0" w:color="auto"/>
        <w:right w:val="none" w:sz="0" w:space="0" w:color="auto"/>
      </w:divBdr>
    </w:div>
    <w:div w:id="1839423980">
      <w:bodyDiv w:val="1"/>
      <w:marLeft w:val="0"/>
      <w:marRight w:val="0"/>
      <w:marTop w:val="0"/>
      <w:marBottom w:val="0"/>
      <w:divBdr>
        <w:top w:val="none" w:sz="0" w:space="0" w:color="auto"/>
        <w:left w:val="none" w:sz="0" w:space="0" w:color="auto"/>
        <w:bottom w:val="none" w:sz="0" w:space="0" w:color="auto"/>
        <w:right w:val="none" w:sz="0" w:space="0" w:color="auto"/>
      </w:divBdr>
    </w:div>
    <w:div w:id="1843201968">
      <w:bodyDiv w:val="1"/>
      <w:marLeft w:val="0"/>
      <w:marRight w:val="0"/>
      <w:marTop w:val="0"/>
      <w:marBottom w:val="0"/>
      <w:divBdr>
        <w:top w:val="none" w:sz="0" w:space="0" w:color="auto"/>
        <w:left w:val="none" w:sz="0" w:space="0" w:color="auto"/>
        <w:bottom w:val="none" w:sz="0" w:space="0" w:color="auto"/>
        <w:right w:val="none" w:sz="0" w:space="0" w:color="auto"/>
      </w:divBdr>
    </w:div>
    <w:div w:id="1844279006">
      <w:bodyDiv w:val="1"/>
      <w:marLeft w:val="0"/>
      <w:marRight w:val="0"/>
      <w:marTop w:val="0"/>
      <w:marBottom w:val="0"/>
      <w:divBdr>
        <w:top w:val="none" w:sz="0" w:space="0" w:color="auto"/>
        <w:left w:val="none" w:sz="0" w:space="0" w:color="auto"/>
        <w:bottom w:val="none" w:sz="0" w:space="0" w:color="auto"/>
        <w:right w:val="none" w:sz="0" w:space="0" w:color="auto"/>
      </w:divBdr>
    </w:div>
    <w:div w:id="1854147056">
      <w:bodyDiv w:val="1"/>
      <w:marLeft w:val="0"/>
      <w:marRight w:val="0"/>
      <w:marTop w:val="0"/>
      <w:marBottom w:val="0"/>
      <w:divBdr>
        <w:top w:val="none" w:sz="0" w:space="0" w:color="auto"/>
        <w:left w:val="none" w:sz="0" w:space="0" w:color="auto"/>
        <w:bottom w:val="none" w:sz="0" w:space="0" w:color="auto"/>
        <w:right w:val="none" w:sz="0" w:space="0" w:color="auto"/>
      </w:divBdr>
      <w:divsChild>
        <w:div w:id="348530438">
          <w:blockQuote w:val="1"/>
          <w:marLeft w:val="720"/>
          <w:marRight w:val="720"/>
          <w:marTop w:val="100"/>
          <w:marBottom w:val="100"/>
          <w:divBdr>
            <w:top w:val="none" w:sz="0" w:space="0" w:color="auto"/>
            <w:left w:val="none" w:sz="0" w:space="0" w:color="auto"/>
            <w:bottom w:val="none" w:sz="0" w:space="0" w:color="auto"/>
            <w:right w:val="none" w:sz="0" w:space="0" w:color="auto"/>
          </w:divBdr>
        </w:div>
        <w:div w:id="1043748721">
          <w:blockQuote w:val="1"/>
          <w:marLeft w:val="720"/>
          <w:marRight w:val="720"/>
          <w:marTop w:val="100"/>
          <w:marBottom w:val="100"/>
          <w:divBdr>
            <w:top w:val="none" w:sz="0" w:space="0" w:color="auto"/>
            <w:left w:val="none" w:sz="0" w:space="0" w:color="auto"/>
            <w:bottom w:val="none" w:sz="0" w:space="0" w:color="auto"/>
            <w:right w:val="none" w:sz="0" w:space="0" w:color="auto"/>
          </w:divBdr>
        </w:div>
        <w:div w:id="1042487339">
          <w:blockQuote w:val="1"/>
          <w:marLeft w:val="720"/>
          <w:marRight w:val="720"/>
          <w:marTop w:val="100"/>
          <w:marBottom w:val="100"/>
          <w:divBdr>
            <w:top w:val="none" w:sz="0" w:space="0" w:color="auto"/>
            <w:left w:val="none" w:sz="0" w:space="0" w:color="auto"/>
            <w:bottom w:val="none" w:sz="0" w:space="0" w:color="auto"/>
            <w:right w:val="none" w:sz="0" w:space="0" w:color="auto"/>
          </w:divBdr>
        </w:div>
        <w:div w:id="940601890">
          <w:blockQuote w:val="1"/>
          <w:marLeft w:val="720"/>
          <w:marRight w:val="720"/>
          <w:marTop w:val="100"/>
          <w:marBottom w:val="100"/>
          <w:divBdr>
            <w:top w:val="none" w:sz="0" w:space="0" w:color="auto"/>
            <w:left w:val="none" w:sz="0" w:space="0" w:color="auto"/>
            <w:bottom w:val="none" w:sz="0" w:space="0" w:color="auto"/>
            <w:right w:val="none" w:sz="0" w:space="0" w:color="auto"/>
          </w:divBdr>
        </w:div>
        <w:div w:id="646976727">
          <w:blockQuote w:val="1"/>
          <w:marLeft w:val="720"/>
          <w:marRight w:val="720"/>
          <w:marTop w:val="100"/>
          <w:marBottom w:val="100"/>
          <w:divBdr>
            <w:top w:val="none" w:sz="0" w:space="0" w:color="auto"/>
            <w:left w:val="none" w:sz="0" w:space="0" w:color="auto"/>
            <w:bottom w:val="none" w:sz="0" w:space="0" w:color="auto"/>
            <w:right w:val="none" w:sz="0" w:space="0" w:color="auto"/>
          </w:divBdr>
        </w:div>
        <w:div w:id="4514823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5610153">
      <w:bodyDiv w:val="1"/>
      <w:marLeft w:val="0"/>
      <w:marRight w:val="0"/>
      <w:marTop w:val="0"/>
      <w:marBottom w:val="0"/>
      <w:divBdr>
        <w:top w:val="none" w:sz="0" w:space="0" w:color="auto"/>
        <w:left w:val="none" w:sz="0" w:space="0" w:color="auto"/>
        <w:bottom w:val="none" w:sz="0" w:space="0" w:color="auto"/>
        <w:right w:val="none" w:sz="0" w:space="0" w:color="auto"/>
      </w:divBdr>
      <w:divsChild>
        <w:div w:id="20223929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8159151">
      <w:bodyDiv w:val="1"/>
      <w:marLeft w:val="0"/>
      <w:marRight w:val="0"/>
      <w:marTop w:val="0"/>
      <w:marBottom w:val="0"/>
      <w:divBdr>
        <w:top w:val="none" w:sz="0" w:space="0" w:color="auto"/>
        <w:left w:val="none" w:sz="0" w:space="0" w:color="auto"/>
        <w:bottom w:val="none" w:sz="0" w:space="0" w:color="auto"/>
        <w:right w:val="none" w:sz="0" w:space="0" w:color="auto"/>
      </w:divBdr>
    </w:div>
    <w:div w:id="1863473543">
      <w:bodyDiv w:val="1"/>
      <w:marLeft w:val="0"/>
      <w:marRight w:val="0"/>
      <w:marTop w:val="0"/>
      <w:marBottom w:val="0"/>
      <w:divBdr>
        <w:top w:val="none" w:sz="0" w:space="0" w:color="auto"/>
        <w:left w:val="none" w:sz="0" w:space="0" w:color="auto"/>
        <w:bottom w:val="none" w:sz="0" w:space="0" w:color="auto"/>
        <w:right w:val="none" w:sz="0" w:space="0" w:color="auto"/>
      </w:divBdr>
      <w:divsChild>
        <w:div w:id="361985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4540324">
      <w:bodyDiv w:val="1"/>
      <w:marLeft w:val="0"/>
      <w:marRight w:val="0"/>
      <w:marTop w:val="0"/>
      <w:marBottom w:val="0"/>
      <w:divBdr>
        <w:top w:val="none" w:sz="0" w:space="0" w:color="auto"/>
        <w:left w:val="none" w:sz="0" w:space="0" w:color="auto"/>
        <w:bottom w:val="none" w:sz="0" w:space="0" w:color="auto"/>
        <w:right w:val="none" w:sz="0" w:space="0" w:color="auto"/>
      </w:divBdr>
      <w:divsChild>
        <w:div w:id="9875129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86720878">
      <w:bodyDiv w:val="1"/>
      <w:marLeft w:val="0"/>
      <w:marRight w:val="0"/>
      <w:marTop w:val="0"/>
      <w:marBottom w:val="0"/>
      <w:divBdr>
        <w:top w:val="none" w:sz="0" w:space="0" w:color="auto"/>
        <w:left w:val="none" w:sz="0" w:space="0" w:color="auto"/>
        <w:bottom w:val="none" w:sz="0" w:space="0" w:color="auto"/>
        <w:right w:val="none" w:sz="0" w:space="0" w:color="auto"/>
      </w:divBdr>
    </w:div>
    <w:div w:id="1888564240">
      <w:bodyDiv w:val="1"/>
      <w:marLeft w:val="0"/>
      <w:marRight w:val="0"/>
      <w:marTop w:val="0"/>
      <w:marBottom w:val="0"/>
      <w:divBdr>
        <w:top w:val="none" w:sz="0" w:space="0" w:color="auto"/>
        <w:left w:val="none" w:sz="0" w:space="0" w:color="auto"/>
        <w:bottom w:val="none" w:sz="0" w:space="0" w:color="auto"/>
        <w:right w:val="none" w:sz="0" w:space="0" w:color="auto"/>
      </w:divBdr>
    </w:div>
    <w:div w:id="1894075045">
      <w:bodyDiv w:val="1"/>
      <w:marLeft w:val="0"/>
      <w:marRight w:val="0"/>
      <w:marTop w:val="0"/>
      <w:marBottom w:val="0"/>
      <w:divBdr>
        <w:top w:val="none" w:sz="0" w:space="0" w:color="auto"/>
        <w:left w:val="none" w:sz="0" w:space="0" w:color="auto"/>
        <w:bottom w:val="none" w:sz="0" w:space="0" w:color="auto"/>
        <w:right w:val="none" w:sz="0" w:space="0" w:color="auto"/>
      </w:divBdr>
      <w:divsChild>
        <w:div w:id="760762879">
          <w:blockQuote w:val="1"/>
          <w:marLeft w:val="720"/>
          <w:marRight w:val="720"/>
          <w:marTop w:val="100"/>
          <w:marBottom w:val="100"/>
          <w:divBdr>
            <w:top w:val="none" w:sz="0" w:space="0" w:color="auto"/>
            <w:left w:val="none" w:sz="0" w:space="0" w:color="auto"/>
            <w:bottom w:val="none" w:sz="0" w:space="0" w:color="auto"/>
            <w:right w:val="none" w:sz="0" w:space="0" w:color="auto"/>
          </w:divBdr>
        </w:div>
        <w:div w:id="10596740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4845536">
      <w:bodyDiv w:val="1"/>
      <w:marLeft w:val="0"/>
      <w:marRight w:val="0"/>
      <w:marTop w:val="0"/>
      <w:marBottom w:val="0"/>
      <w:divBdr>
        <w:top w:val="none" w:sz="0" w:space="0" w:color="auto"/>
        <w:left w:val="none" w:sz="0" w:space="0" w:color="auto"/>
        <w:bottom w:val="none" w:sz="0" w:space="0" w:color="auto"/>
        <w:right w:val="none" w:sz="0" w:space="0" w:color="auto"/>
      </w:divBdr>
    </w:div>
    <w:div w:id="1901134144">
      <w:bodyDiv w:val="1"/>
      <w:marLeft w:val="0"/>
      <w:marRight w:val="0"/>
      <w:marTop w:val="0"/>
      <w:marBottom w:val="0"/>
      <w:divBdr>
        <w:top w:val="none" w:sz="0" w:space="0" w:color="auto"/>
        <w:left w:val="none" w:sz="0" w:space="0" w:color="auto"/>
        <w:bottom w:val="none" w:sz="0" w:space="0" w:color="auto"/>
        <w:right w:val="none" w:sz="0" w:space="0" w:color="auto"/>
      </w:divBdr>
    </w:div>
    <w:div w:id="1902130286">
      <w:bodyDiv w:val="1"/>
      <w:marLeft w:val="0"/>
      <w:marRight w:val="0"/>
      <w:marTop w:val="0"/>
      <w:marBottom w:val="0"/>
      <w:divBdr>
        <w:top w:val="none" w:sz="0" w:space="0" w:color="auto"/>
        <w:left w:val="none" w:sz="0" w:space="0" w:color="auto"/>
        <w:bottom w:val="none" w:sz="0" w:space="0" w:color="auto"/>
        <w:right w:val="none" w:sz="0" w:space="0" w:color="auto"/>
      </w:divBdr>
    </w:div>
    <w:div w:id="1905333885">
      <w:bodyDiv w:val="1"/>
      <w:marLeft w:val="0"/>
      <w:marRight w:val="0"/>
      <w:marTop w:val="0"/>
      <w:marBottom w:val="0"/>
      <w:divBdr>
        <w:top w:val="none" w:sz="0" w:space="0" w:color="auto"/>
        <w:left w:val="none" w:sz="0" w:space="0" w:color="auto"/>
        <w:bottom w:val="none" w:sz="0" w:space="0" w:color="auto"/>
        <w:right w:val="none" w:sz="0" w:space="0" w:color="auto"/>
      </w:divBdr>
    </w:div>
    <w:div w:id="1912543914">
      <w:bodyDiv w:val="1"/>
      <w:marLeft w:val="0"/>
      <w:marRight w:val="0"/>
      <w:marTop w:val="0"/>
      <w:marBottom w:val="0"/>
      <w:divBdr>
        <w:top w:val="none" w:sz="0" w:space="0" w:color="auto"/>
        <w:left w:val="none" w:sz="0" w:space="0" w:color="auto"/>
        <w:bottom w:val="none" w:sz="0" w:space="0" w:color="auto"/>
        <w:right w:val="none" w:sz="0" w:space="0" w:color="auto"/>
      </w:divBdr>
      <w:divsChild>
        <w:div w:id="10867266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1062816">
      <w:bodyDiv w:val="1"/>
      <w:marLeft w:val="0"/>
      <w:marRight w:val="0"/>
      <w:marTop w:val="0"/>
      <w:marBottom w:val="0"/>
      <w:divBdr>
        <w:top w:val="none" w:sz="0" w:space="0" w:color="auto"/>
        <w:left w:val="none" w:sz="0" w:space="0" w:color="auto"/>
        <w:bottom w:val="none" w:sz="0" w:space="0" w:color="auto"/>
        <w:right w:val="none" w:sz="0" w:space="0" w:color="auto"/>
      </w:divBdr>
    </w:div>
    <w:div w:id="1932934345">
      <w:bodyDiv w:val="1"/>
      <w:marLeft w:val="0"/>
      <w:marRight w:val="0"/>
      <w:marTop w:val="0"/>
      <w:marBottom w:val="0"/>
      <w:divBdr>
        <w:top w:val="none" w:sz="0" w:space="0" w:color="auto"/>
        <w:left w:val="none" w:sz="0" w:space="0" w:color="auto"/>
        <w:bottom w:val="none" w:sz="0" w:space="0" w:color="auto"/>
        <w:right w:val="none" w:sz="0" w:space="0" w:color="auto"/>
      </w:divBdr>
    </w:div>
    <w:div w:id="1938638359">
      <w:bodyDiv w:val="1"/>
      <w:marLeft w:val="0"/>
      <w:marRight w:val="0"/>
      <w:marTop w:val="0"/>
      <w:marBottom w:val="0"/>
      <w:divBdr>
        <w:top w:val="none" w:sz="0" w:space="0" w:color="auto"/>
        <w:left w:val="none" w:sz="0" w:space="0" w:color="auto"/>
        <w:bottom w:val="none" w:sz="0" w:space="0" w:color="auto"/>
        <w:right w:val="none" w:sz="0" w:space="0" w:color="auto"/>
      </w:divBdr>
    </w:div>
    <w:div w:id="1939292517">
      <w:bodyDiv w:val="1"/>
      <w:marLeft w:val="0"/>
      <w:marRight w:val="0"/>
      <w:marTop w:val="0"/>
      <w:marBottom w:val="0"/>
      <w:divBdr>
        <w:top w:val="none" w:sz="0" w:space="0" w:color="auto"/>
        <w:left w:val="none" w:sz="0" w:space="0" w:color="auto"/>
        <w:bottom w:val="none" w:sz="0" w:space="0" w:color="auto"/>
        <w:right w:val="none" w:sz="0" w:space="0" w:color="auto"/>
      </w:divBdr>
    </w:div>
    <w:div w:id="1946108831">
      <w:bodyDiv w:val="1"/>
      <w:marLeft w:val="0"/>
      <w:marRight w:val="0"/>
      <w:marTop w:val="0"/>
      <w:marBottom w:val="0"/>
      <w:divBdr>
        <w:top w:val="none" w:sz="0" w:space="0" w:color="auto"/>
        <w:left w:val="none" w:sz="0" w:space="0" w:color="auto"/>
        <w:bottom w:val="none" w:sz="0" w:space="0" w:color="auto"/>
        <w:right w:val="none" w:sz="0" w:space="0" w:color="auto"/>
      </w:divBdr>
      <w:divsChild>
        <w:div w:id="8227406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8274357">
      <w:bodyDiv w:val="1"/>
      <w:marLeft w:val="0"/>
      <w:marRight w:val="0"/>
      <w:marTop w:val="0"/>
      <w:marBottom w:val="0"/>
      <w:divBdr>
        <w:top w:val="none" w:sz="0" w:space="0" w:color="auto"/>
        <w:left w:val="none" w:sz="0" w:space="0" w:color="auto"/>
        <w:bottom w:val="none" w:sz="0" w:space="0" w:color="auto"/>
        <w:right w:val="none" w:sz="0" w:space="0" w:color="auto"/>
      </w:divBdr>
    </w:div>
    <w:div w:id="1963804872">
      <w:bodyDiv w:val="1"/>
      <w:marLeft w:val="0"/>
      <w:marRight w:val="0"/>
      <w:marTop w:val="0"/>
      <w:marBottom w:val="0"/>
      <w:divBdr>
        <w:top w:val="none" w:sz="0" w:space="0" w:color="auto"/>
        <w:left w:val="none" w:sz="0" w:space="0" w:color="auto"/>
        <w:bottom w:val="none" w:sz="0" w:space="0" w:color="auto"/>
        <w:right w:val="none" w:sz="0" w:space="0" w:color="auto"/>
      </w:divBdr>
    </w:div>
    <w:div w:id="1969164418">
      <w:bodyDiv w:val="1"/>
      <w:marLeft w:val="0"/>
      <w:marRight w:val="0"/>
      <w:marTop w:val="0"/>
      <w:marBottom w:val="0"/>
      <w:divBdr>
        <w:top w:val="none" w:sz="0" w:space="0" w:color="auto"/>
        <w:left w:val="none" w:sz="0" w:space="0" w:color="auto"/>
        <w:bottom w:val="none" w:sz="0" w:space="0" w:color="auto"/>
        <w:right w:val="none" w:sz="0" w:space="0" w:color="auto"/>
      </w:divBdr>
    </w:div>
    <w:div w:id="1971980596">
      <w:bodyDiv w:val="1"/>
      <w:marLeft w:val="0"/>
      <w:marRight w:val="0"/>
      <w:marTop w:val="0"/>
      <w:marBottom w:val="0"/>
      <w:divBdr>
        <w:top w:val="none" w:sz="0" w:space="0" w:color="auto"/>
        <w:left w:val="none" w:sz="0" w:space="0" w:color="auto"/>
        <w:bottom w:val="none" w:sz="0" w:space="0" w:color="auto"/>
        <w:right w:val="none" w:sz="0" w:space="0" w:color="auto"/>
      </w:divBdr>
      <w:divsChild>
        <w:div w:id="1322582285">
          <w:blockQuote w:val="1"/>
          <w:marLeft w:val="720"/>
          <w:marRight w:val="720"/>
          <w:marTop w:val="100"/>
          <w:marBottom w:val="100"/>
          <w:divBdr>
            <w:top w:val="none" w:sz="0" w:space="0" w:color="auto"/>
            <w:left w:val="none" w:sz="0" w:space="0" w:color="auto"/>
            <w:bottom w:val="none" w:sz="0" w:space="0" w:color="auto"/>
            <w:right w:val="none" w:sz="0" w:space="0" w:color="auto"/>
          </w:divBdr>
        </w:div>
        <w:div w:id="1274634465">
          <w:blockQuote w:val="1"/>
          <w:marLeft w:val="720"/>
          <w:marRight w:val="720"/>
          <w:marTop w:val="100"/>
          <w:marBottom w:val="100"/>
          <w:divBdr>
            <w:top w:val="none" w:sz="0" w:space="0" w:color="auto"/>
            <w:left w:val="none" w:sz="0" w:space="0" w:color="auto"/>
            <w:bottom w:val="none" w:sz="0" w:space="0" w:color="auto"/>
            <w:right w:val="none" w:sz="0" w:space="0" w:color="auto"/>
          </w:divBdr>
        </w:div>
        <w:div w:id="723523816">
          <w:blockQuote w:val="1"/>
          <w:marLeft w:val="720"/>
          <w:marRight w:val="720"/>
          <w:marTop w:val="100"/>
          <w:marBottom w:val="100"/>
          <w:divBdr>
            <w:top w:val="none" w:sz="0" w:space="0" w:color="auto"/>
            <w:left w:val="none" w:sz="0" w:space="0" w:color="auto"/>
            <w:bottom w:val="none" w:sz="0" w:space="0" w:color="auto"/>
            <w:right w:val="none" w:sz="0" w:space="0" w:color="auto"/>
          </w:divBdr>
        </w:div>
        <w:div w:id="494077613">
          <w:blockQuote w:val="1"/>
          <w:marLeft w:val="720"/>
          <w:marRight w:val="720"/>
          <w:marTop w:val="100"/>
          <w:marBottom w:val="100"/>
          <w:divBdr>
            <w:top w:val="none" w:sz="0" w:space="0" w:color="auto"/>
            <w:left w:val="none" w:sz="0" w:space="0" w:color="auto"/>
            <w:bottom w:val="none" w:sz="0" w:space="0" w:color="auto"/>
            <w:right w:val="none" w:sz="0" w:space="0" w:color="auto"/>
          </w:divBdr>
        </w:div>
        <w:div w:id="474025471">
          <w:blockQuote w:val="1"/>
          <w:marLeft w:val="720"/>
          <w:marRight w:val="720"/>
          <w:marTop w:val="100"/>
          <w:marBottom w:val="100"/>
          <w:divBdr>
            <w:top w:val="none" w:sz="0" w:space="0" w:color="auto"/>
            <w:left w:val="none" w:sz="0" w:space="0" w:color="auto"/>
            <w:bottom w:val="none" w:sz="0" w:space="0" w:color="auto"/>
            <w:right w:val="none" w:sz="0" w:space="0" w:color="auto"/>
          </w:divBdr>
        </w:div>
        <w:div w:id="1083837779">
          <w:blockQuote w:val="1"/>
          <w:marLeft w:val="720"/>
          <w:marRight w:val="720"/>
          <w:marTop w:val="100"/>
          <w:marBottom w:val="100"/>
          <w:divBdr>
            <w:top w:val="none" w:sz="0" w:space="0" w:color="auto"/>
            <w:left w:val="none" w:sz="0" w:space="0" w:color="auto"/>
            <w:bottom w:val="none" w:sz="0" w:space="0" w:color="auto"/>
            <w:right w:val="none" w:sz="0" w:space="0" w:color="auto"/>
          </w:divBdr>
        </w:div>
        <w:div w:id="777720948">
          <w:blockQuote w:val="1"/>
          <w:marLeft w:val="720"/>
          <w:marRight w:val="720"/>
          <w:marTop w:val="100"/>
          <w:marBottom w:val="100"/>
          <w:divBdr>
            <w:top w:val="none" w:sz="0" w:space="0" w:color="auto"/>
            <w:left w:val="none" w:sz="0" w:space="0" w:color="auto"/>
            <w:bottom w:val="none" w:sz="0" w:space="0" w:color="auto"/>
            <w:right w:val="none" w:sz="0" w:space="0" w:color="auto"/>
          </w:divBdr>
        </w:div>
        <w:div w:id="8681780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2900345">
      <w:bodyDiv w:val="1"/>
      <w:marLeft w:val="0"/>
      <w:marRight w:val="0"/>
      <w:marTop w:val="0"/>
      <w:marBottom w:val="0"/>
      <w:divBdr>
        <w:top w:val="none" w:sz="0" w:space="0" w:color="auto"/>
        <w:left w:val="none" w:sz="0" w:space="0" w:color="auto"/>
        <w:bottom w:val="none" w:sz="0" w:space="0" w:color="auto"/>
        <w:right w:val="none" w:sz="0" w:space="0" w:color="auto"/>
      </w:divBdr>
      <w:divsChild>
        <w:div w:id="198665076">
          <w:marLeft w:val="0"/>
          <w:marRight w:val="0"/>
          <w:marTop w:val="0"/>
          <w:marBottom w:val="0"/>
          <w:divBdr>
            <w:top w:val="none" w:sz="0" w:space="0" w:color="auto"/>
            <w:left w:val="none" w:sz="0" w:space="0" w:color="auto"/>
            <w:bottom w:val="none" w:sz="0" w:space="0" w:color="auto"/>
            <w:right w:val="none" w:sz="0" w:space="0" w:color="auto"/>
          </w:divBdr>
        </w:div>
      </w:divsChild>
    </w:div>
    <w:div w:id="1977293456">
      <w:bodyDiv w:val="1"/>
      <w:marLeft w:val="0"/>
      <w:marRight w:val="0"/>
      <w:marTop w:val="0"/>
      <w:marBottom w:val="0"/>
      <w:divBdr>
        <w:top w:val="none" w:sz="0" w:space="0" w:color="auto"/>
        <w:left w:val="none" w:sz="0" w:space="0" w:color="auto"/>
        <w:bottom w:val="none" w:sz="0" w:space="0" w:color="auto"/>
        <w:right w:val="none" w:sz="0" w:space="0" w:color="auto"/>
      </w:divBdr>
    </w:div>
    <w:div w:id="1982728482">
      <w:bodyDiv w:val="1"/>
      <w:marLeft w:val="0"/>
      <w:marRight w:val="0"/>
      <w:marTop w:val="0"/>
      <w:marBottom w:val="0"/>
      <w:divBdr>
        <w:top w:val="none" w:sz="0" w:space="0" w:color="auto"/>
        <w:left w:val="none" w:sz="0" w:space="0" w:color="auto"/>
        <w:bottom w:val="none" w:sz="0" w:space="0" w:color="auto"/>
        <w:right w:val="none" w:sz="0" w:space="0" w:color="auto"/>
      </w:divBdr>
    </w:div>
    <w:div w:id="1988780553">
      <w:bodyDiv w:val="1"/>
      <w:marLeft w:val="0"/>
      <w:marRight w:val="0"/>
      <w:marTop w:val="0"/>
      <w:marBottom w:val="0"/>
      <w:divBdr>
        <w:top w:val="none" w:sz="0" w:space="0" w:color="auto"/>
        <w:left w:val="none" w:sz="0" w:space="0" w:color="auto"/>
        <w:bottom w:val="none" w:sz="0" w:space="0" w:color="auto"/>
        <w:right w:val="none" w:sz="0" w:space="0" w:color="auto"/>
      </w:divBdr>
    </w:div>
    <w:div w:id="1993440708">
      <w:bodyDiv w:val="1"/>
      <w:marLeft w:val="0"/>
      <w:marRight w:val="0"/>
      <w:marTop w:val="0"/>
      <w:marBottom w:val="0"/>
      <w:divBdr>
        <w:top w:val="none" w:sz="0" w:space="0" w:color="auto"/>
        <w:left w:val="none" w:sz="0" w:space="0" w:color="auto"/>
        <w:bottom w:val="none" w:sz="0" w:space="0" w:color="auto"/>
        <w:right w:val="none" w:sz="0" w:space="0" w:color="auto"/>
      </w:divBdr>
    </w:div>
    <w:div w:id="1997032306">
      <w:bodyDiv w:val="1"/>
      <w:marLeft w:val="0"/>
      <w:marRight w:val="0"/>
      <w:marTop w:val="0"/>
      <w:marBottom w:val="0"/>
      <w:divBdr>
        <w:top w:val="none" w:sz="0" w:space="0" w:color="auto"/>
        <w:left w:val="none" w:sz="0" w:space="0" w:color="auto"/>
        <w:bottom w:val="none" w:sz="0" w:space="0" w:color="auto"/>
        <w:right w:val="none" w:sz="0" w:space="0" w:color="auto"/>
      </w:divBdr>
    </w:div>
    <w:div w:id="2001342984">
      <w:bodyDiv w:val="1"/>
      <w:marLeft w:val="0"/>
      <w:marRight w:val="0"/>
      <w:marTop w:val="0"/>
      <w:marBottom w:val="0"/>
      <w:divBdr>
        <w:top w:val="none" w:sz="0" w:space="0" w:color="auto"/>
        <w:left w:val="none" w:sz="0" w:space="0" w:color="auto"/>
        <w:bottom w:val="none" w:sz="0" w:space="0" w:color="auto"/>
        <w:right w:val="none" w:sz="0" w:space="0" w:color="auto"/>
      </w:divBdr>
    </w:div>
    <w:div w:id="2001806460">
      <w:bodyDiv w:val="1"/>
      <w:marLeft w:val="0"/>
      <w:marRight w:val="0"/>
      <w:marTop w:val="0"/>
      <w:marBottom w:val="0"/>
      <w:divBdr>
        <w:top w:val="none" w:sz="0" w:space="0" w:color="auto"/>
        <w:left w:val="none" w:sz="0" w:space="0" w:color="auto"/>
        <w:bottom w:val="none" w:sz="0" w:space="0" w:color="auto"/>
        <w:right w:val="none" w:sz="0" w:space="0" w:color="auto"/>
      </w:divBdr>
    </w:div>
    <w:div w:id="2014450381">
      <w:bodyDiv w:val="1"/>
      <w:marLeft w:val="0"/>
      <w:marRight w:val="0"/>
      <w:marTop w:val="0"/>
      <w:marBottom w:val="0"/>
      <w:divBdr>
        <w:top w:val="none" w:sz="0" w:space="0" w:color="auto"/>
        <w:left w:val="none" w:sz="0" w:space="0" w:color="auto"/>
        <w:bottom w:val="none" w:sz="0" w:space="0" w:color="auto"/>
        <w:right w:val="none" w:sz="0" w:space="0" w:color="auto"/>
      </w:divBdr>
    </w:div>
    <w:div w:id="2019431038">
      <w:bodyDiv w:val="1"/>
      <w:marLeft w:val="0"/>
      <w:marRight w:val="0"/>
      <w:marTop w:val="0"/>
      <w:marBottom w:val="0"/>
      <w:divBdr>
        <w:top w:val="none" w:sz="0" w:space="0" w:color="auto"/>
        <w:left w:val="none" w:sz="0" w:space="0" w:color="auto"/>
        <w:bottom w:val="none" w:sz="0" w:space="0" w:color="auto"/>
        <w:right w:val="none" w:sz="0" w:space="0" w:color="auto"/>
      </w:divBdr>
    </w:div>
    <w:div w:id="2034457893">
      <w:bodyDiv w:val="1"/>
      <w:marLeft w:val="0"/>
      <w:marRight w:val="0"/>
      <w:marTop w:val="0"/>
      <w:marBottom w:val="0"/>
      <w:divBdr>
        <w:top w:val="none" w:sz="0" w:space="0" w:color="auto"/>
        <w:left w:val="none" w:sz="0" w:space="0" w:color="auto"/>
        <w:bottom w:val="none" w:sz="0" w:space="0" w:color="auto"/>
        <w:right w:val="none" w:sz="0" w:space="0" w:color="auto"/>
      </w:divBdr>
    </w:div>
    <w:div w:id="2041201421">
      <w:bodyDiv w:val="1"/>
      <w:marLeft w:val="0"/>
      <w:marRight w:val="0"/>
      <w:marTop w:val="0"/>
      <w:marBottom w:val="0"/>
      <w:divBdr>
        <w:top w:val="none" w:sz="0" w:space="0" w:color="auto"/>
        <w:left w:val="none" w:sz="0" w:space="0" w:color="auto"/>
        <w:bottom w:val="none" w:sz="0" w:space="0" w:color="auto"/>
        <w:right w:val="none" w:sz="0" w:space="0" w:color="auto"/>
      </w:divBdr>
    </w:div>
    <w:div w:id="2042895682">
      <w:bodyDiv w:val="1"/>
      <w:marLeft w:val="0"/>
      <w:marRight w:val="0"/>
      <w:marTop w:val="0"/>
      <w:marBottom w:val="0"/>
      <w:divBdr>
        <w:top w:val="none" w:sz="0" w:space="0" w:color="auto"/>
        <w:left w:val="none" w:sz="0" w:space="0" w:color="auto"/>
        <w:bottom w:val="none" w:sz="0" w:space="0" w:color="auto"/>
        <w:right w:val="none" w:sz="0" w:space="0" w:color="auto"/>
      </w:divBdr>
    </w:div>
    <w:div w:id="2048674206">
      <w:bodyDiv w:val="1"/>
      <w:marLeft w:val="0"/>
      <w:marRight w:val="0"/>
      <w:marTop w:val="0"/>
      <w:marBottom w:val="0"/>
      <w:divBdr>
        <w:top w:val="none" w:sz="0" w:space="0" w:color="auto"/>
        <w:left w:val="none" w:sz="0" w:space="0" w:color="auto"/>
        <w:bottom w:val="none" w:sz="0" w:space="0" w:color="auto"/>
        <w:right w:val="none" w:sz="0" w:space="0" w:color="auto"/>
      </w:divBdr>
    </w:div>
    <w:div w:id="2050303723">
      <w:bodyDiv w:val="1"/>
      <w:marLeft w:val="0"/>
      <w:marRight w:val="0"/>
      <w:marTop w:val="0"/>
      <w:marBottom w:val="0"/>
      <w:divBdr>
        <w:top w:val="none" w:sz="0" w:space="0" w:color="auto"/>
        <w:left w:val="none" w:sz="0" w:space="0" w:color="auto"/>
        <w:bottom w:val="none" w:sz="0" w:space="0" w:color="auto"/>
        <w:right w:val="none" w:sz="0" w:space="0" w:color="auto"/>
      </w:divBdr>
      <w:divsChild>
        <w:div w:id="1574467864">
          <w:marLeft w:val="0"/>
          <w:marRight w:val="0"/>
          <w:marTop w:val="0"/>
          <w:marBottom w:val="0"/>
          <w:divBdr>
            <w:top w:val="single" w:sz="2" w:space="0" w:color="auto"/>
            <w:left w:val="single" w:sz="2" w:space="0" w:color="auto"/>
            <w:bottom w:val="single" w:sz="2" w:space="0" w:color="auto"/>
            <w:right w:val="single" w:sz="2" w:space="0" w:color="auto"/>
          </w:divBdr>
          <w:divsChild>
            <w:div w:id="1789617745">
              <w:marLeft w:val="0"/>
              <w:marRight w:val="0"/>
              <w:marTop w:val="0"/>
              <w:marBottom w:val="0"/>
              <w:divBdr>
                <w:top w:val="single" w:sz="2" w:space="0" w:color="auto"/>
                <w:left w:val="single" w:sz="2" w:space="0" w:color="auto"/>
                <w:bottom w:val="single" w:sz="2" w:space="0" w:color="auto"/>
                <w:right w:val="single" w:sz="2" w:space="0" w:color="auto"/>
              </w:divBdr>
            </w:div>
          </w:divsChild>
        </w:div>
        <w:div w:id="1436746779">
          <w:marLeft w:val="0"/>
          <w:marRight w:val="0"/>
          <w:marTop w:val="0"/>
          <w:marBottom w:val="0"/>
          <w:divBdr>
            <w:top w:val="single" w:sz="2" w:space="0" w:color="auto"/>
            <w:left w:val="single" w:sz="2" w:space="0" w:color="auto"/>
            <w:bottom w:val="single" w:sz="2" w:space="0" w:color="auto"/>
            <w:right w:val="single" w:sz="2" w:space="0" w:color="auto"/>
          </w:divBdr>
          <w:divsChild>
            <w:div w:id="1859079778">
              <w:marLeft w:val="0"/>
              <w:marRight w:val="0"/>
              <w:marTop w:val="0"/>
              <w:marBottom w:val="0"/>
              <w:divBdr>
                <w:top w:val="single" w:sz="2" w:space="0" w:color="auto"/>
                <w:left w:val="single" w:sz="2" w:space="0" w:color="auto"/>
                <w:bottom w:val="single" w:sz="2" w:space="0" w:color="auto"/>
                <w:right w:val="single" w:sz="2" w:space="0" w:color="auto"/>
              </w:divBdr>
              <w:divsChild>
                <w:div w:id="1375155590">
                  <w:marLeft w:val="0"/>
                  <w:marRight w:val="0"/>
                  <w:marTop w:val="0"/>
                  <w:marBottom w:val="0"/>
                  <w:divBdr>
                    <w:top w:val="single" w:sz="2" w:space="0" w:color="auto"/>
                    <w:left w:val="single" w:sz="2" w:space="0" w:color="auto"/>
                    <w:bottom w:val="single" w:sz="2" w:space="0" w:color="auto"/>
                    <w:right w:val="single" w:sz="2" w:space="0" w:color="auto"/>
                  </w:divBdr>
                  <w:divsChild>
                    <w:div w:id="101045109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88696975">
              <w:marLeft w:val="0"/>
              <w:marRight w:val="0"/>
              <w:marTop w:val="0"/>
              <w:marBottom w:val="0"/>
              <w:divBdr>
                <w:top w:val="single" w:sz="2" w:space="0" w:color="auto"/>
                <w:left w:val="single" w:sz="2" w:space="0" w:color="auto"/>
                <w:bottom w:val="single" w:sz="2" w:space="0" w:color="auto"/>
                <w:right w:val="single" w:sz="2" w:space="0" w:color="auto"/>
              </w:divBdr>
              <w:divsChild>
                <w:div w:id="32396874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51218800">
      <w:bodyDiv w:val="1"/>
      <w:marLeft w:val="0"/>
      <w:marRight w:val="0"/>
      <w:marTop w:val="0"/>
      <w:marBottom w:val="0"/>
      <w:divBdr>
        <w:top w:val="none" w:sz="0" w:space="0" w:color="auto"/>
        <w:left w:val="none" w:sz="0" w:space="0" w:color="auto"/>
        <w:bottom w:val="none" w:sz="0" w:space="0" w:color="auto"/>
        <w:right w:val="none" w:sz="0" w:space="0" w:color="auto"/>
      </w:divBdr>
      <w:divsChild>
        <w:div w:id="3402090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8814131">
      <w:bodyDiv w:val="1"/>
      <w:marLeft w:val="0"/>
      <w:marRight w:val="0"/>
      <w:marTop w:val="0"/>
      <w:marBottom w:val="0"/>
      <w:divBdr>
        <w:top w:val="none" w:sz="0" w:space="0" w:color="auto"/>
        <w:left w:val="none" w:sz="0" w:space="0" w:color="auto"/>
        <w:bottom w:val="none" w:sz="0" w:space="0" w:color="auto"/>
        <w:right w:val="none" w:sz="0" w:space="0" w:color="auto"/>
      </w:divBdr>
    </w:div>
    <w:div w:id="2060859284">
      <w:bodyDiv w:val="1"/>
      <w:marLeft w:val="0"/>
      <w:marRight w:val="0"/>
      <w:marTop w:val="0"/>
      <w:marBottom w:val="0"/>
      <w:divBdr>
        <w:top w:val="none" w:sz="0" w:space="0" w:color="auto"/>
        <w:left w:val="none" w:sz="0" w:space="0" w:color="auto"/>
        <w:bottom w:val="none" w:sz="0" w:space="0" w:color="auto"/>
        <w:right w:val="none" w:sz="0" w:space="0" w:color="auto"/>
      </w:divBdr>
    </w:div>
    <w:div w:id="2063360081">
      <w:bodyDiv w:val="1"/>
      <w:marLeft w:val="0"/>
      <w:marRight w:val="0"/>
      <w:marTop w:val="0"/>
      <w:marBottom w:val="0"/>
      <w:divBdr>
        <w:top w:val="none" w:sz="0" w:space="0" w:color="auto"/>
        <w:left w:val="none" w:sz="0" w:space="0" w:color="auto"/>
        <w:bottom w:val="none" w:sz="0" w:space="0" w:color="auto"/>
        <w:right w:val="none" w:sz="0" w:space="0" w:color="auto"/>
      </w:divBdr>
    </w:div>
    <w:div w:id="2067139410">
      <w:bodyDiv w:val="1"/>
      <w:marLeft w:val="0"/>
      <w:marRight w:val="0"/>
      <w:marTop w:val="0"/>
      <w:marBottom w:val="0"/>
      <w:divBdr>
        <w:top w:val="none" w:sz="0" w:space="0" w:color="auto"/>
        <w:left w:val="none" w:sz="0" w:space="0" w:color="auto"/>
        <w:bottom w:val="none" w:sz="0" w:space="0" w:color="auto"/>
        <w:right w:val="none" w:sz="0" w:space="0" w:color="auto"/>
      </w:divBdr>
      <w:divsChild>
        <w:div w:id="1465656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9064764">
      <w:bodyDiv w:val="1"/>
      <w:marLeft w:val="0"/>
      <w:marRight w:val="0"/>
      <w:marTop w:val="0"/>
      <w:marBottom w:val="0"/>
      <w:divBdr>
        <w:top w:val="none" w:sz="0" w:space="0" w:color="auto"/>
        <w:left w:val="none" w:sz="0" w:space="0" w:color="auto"/>
        <w:bottom w:val="none" w:sz="0" w:space="0" w:color="auto"/>
        <w:right w:val="none" w:sz="0" w:space="0" w:color="auto"/>
      </w:divBdr>
    </w:div>
    <w:div w:id="2070229539">
      <w:bodyDiv w:val="1"/>
      <w:marLeft w:val="0"/>
      <w:marRight w:val="0"/>
      <w:marTop w:val="0"/>
      <w:marBottom w:val="0"/>
      <w:divBdr>
        <w:top w:val="none" w:sz="0" w:space="0" w:color="auto"/>
        <w:left w:val="none" w:sz="0" w:space="0" w:color="auto"/>
        <w:bottom w:val="none" w:sz="0" w:space="0" w:color="auto"/>
        <w:right w:val="none" w:sz="0" w:space="0" w:color="auto"/>
      </w:divBdr>
    </w:div>
    <w:div w:id="2074160644">
      <w:bodyDiv w:val="1"/>
      <w:marLeft w:val="0"/>
      <w:marRight w:val="0"/>
      <w:marTop w:val="0"/>
      <w:marBottom w:val="0"/>
      <w:divBdr>
        <w:top w:val="none" w:sz="0" w:space="0" w:color="auto"/>
        <w:left w:val="none" w:sz="0" w:space="0" w:color="auto"/>
        <w:bottom w:val="none" w:sz="0" w:space="0" w:color="auto"/>
        <w:right w:val="none" w:sz="0" w:space="0" w:color="auto"/>
      </w:divBdr>
      <w:divsChild>
        <w:div w:id="17055191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78699030">
      <w:bodyDiv w:val="1"/>
      <w:marLeft w:val="0"/>
      <w:marRight w:val="0"/>
      <w:marTop w:val="0"/>
      <w:marBottom w:val="0"/>
      <w:divBdr>
        <w:top w:val="none" w:sz="0" w:space="0" w:color="auto"/>
        <w:left w:val="none" w:sz="0" w:space="0" w:color="auto"/>
        <w:bottom w:val="none" w:sz="0" w:space="0" w:color="auto"/>
        <w:right w:val="none" w:sz="0" w:space="0" w:color="auto"/>
      </w:divBdr>
      <w:divsChild>
        <w:div w:id="16732966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79551506">
      <w:bodyDiv w:val="1"/>
      <w:marLeft w:val="0"/>
      <w:marRight w:val="0"/>
      <w:marTop w:val="0"/>
      <w:marBottom w:val="0"/>
      <w:divBdr>
        <w:top w:val="none" w:sz="0" w:space="0" w:color="auto"/>
        <w:left w:val="none" w:sz="0" w:space="0" w:color="auto"/>
        <w:bottom w:val="none" w:sz="0" w:space="0" w:color="auto"/>
        <w:right w:val="none" w:sz="0" w:space="0" w:color="auto"/>
      </w:divBdr>
    </w:div>
    <w:div w:id="2082360290">
      <w:bodyDiv w:val="1"/>
      <w:marLeft w:val="0"/>
      <w:marRight w:val="0"/>
      <w:marTop w:val="0"/>
      <w:marBottom w:val="0"/>
      <w:divBdr>
        <w:top w:val="none" w:sz="0" w:space="0" w:color="auto"/>
        <w:left w:val="none" w:sz="0" w:space="0" w:color="auto"/>
        <w:bottom w:val="none" w:sz="0" w:space="0" w:color="auto"/>
        <w:right w:val="none" w:sz="0" w:space="0" w:color="auto"/>
      </w:divBdr>
    </w:div>
    <w:div w:id="2088574650">
      <w:bodyDiv w:val="1"/>
      <w:marLeft w:val="0"/>
      <w:marRight w:val="0"/>
      <w:marTop w:val="0"/>
      <w:marBottom w:val="0"/>
      <w:divBdr>
        <w:top w:val="none" w:sz="0" w:space="0" w:color="auto"/>
        <w:left w:val="none" w:sz="0" w:space="0" w:color="auto"/>
        <w:bottom w:val="none" w:sz="0" w:space="0" w:color="auto"/>
        <w:right w:val="none" w:sz="0" w:space="0" w:color="auto"/>
      </w:divBdr>
    </w:div>
    <w:div w:id="2089960329">
      <w:bodyDiv w:val="1"/>
      <w:marLeft w:val="0"/>
      <w:marRight w:val="0"/>
      <w:marTop w:val="0"/>
      <w:marBottom w:val="0"/>
      <w:divBdr>
        <w:top w:val="none" w:sz="0" w:space="0" w:color="auto"/>
        <w:left w:val="none" w:sz="0" w:space="0" w:color="auto"/>
        <w:bottom w:val="none" w:sz="0" w:space="0" w:color="auto"/>
        <w:right w:val="none" w:sz="0" w:space="0" w:color="auto"/>
      </w:divBdr>
      <w:divsChild>
        <w:div w:id="18010240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1810672">
      <w:bodyDiv w:val="1"/>
      <w:marLeft w:val="0"/>
      <w:marRight w:val="0"/>
      <w:marTop w:val="0"/>
      <w:marBottom w:val="0"/>
      <w:divBdr>
        <w:top w:val="none" w:sz="0" w:space="0" w:color="auto"/>
        <w:left w:val="none" w:sz="0" w:space="0" w:color="auto"/>
        <w:bottom w:val="none" w:sz="0" w:space="0" w:color="auto"/>
        <w:right w:val="none" w:sz="0" w:space="0" w:color="auto"/>
      </w:divBdr>
    </w:div>
    <w:div w:id="2101751621">
      <w:bodyDiv w:val="1"/>
      <w:marLeft w:val="0"/>
      <w:marRight w:val="0"/>
      <w:marTop w:val="0"/>
      <w:marBottom w:val="0"/>
      <w:divBdr>
        <w:top w:val="none" w:sz="0" w:space="0" w:color="auto"/>
        <w:left w:val="none" w:sz="0" w:space="0" w:color="auto"/>
        <w:bottom w:val="none" w:sz="0" w:space="0" w:color="auto"/>
        <w:right w:val="none" w:sz="0" w:space="0" w:color="auto"/>
      </w:divBdr>
    </w:div>
    <w:div w:id="2102406753">
      <w:bodyDiv w:val="1"/>
      <w:marLeft w:val="0"/>
      <w:marRight w:val="0"/>
      <w:marTop w:val="0"/>
      <w:marBottom w:val="0"/>
      <w:divBdr>
        <w:top w:val="none" w:sz="0" w:space="0" w:color="auto"/>
        <w:left w:val="none" w:sz="0" w:space="0" w:color="auto"/>
        <w:bottom w:val="none" w:sz="0" w:space="0" w:color="auto"/>
        <w:right w:val="none" w:sz="0" w:space="0" w:color="auto"/>
      </w:divBdr>
    </w:div>
    <w:div w:id="2102557144">
      <w:bodyDiv w:val="1"/>
      <w:marLeft w:val="0"/>
      <w:marRight w:val="0"/>
      <w:marTop w:val="0"/>
      <w:marBottom w:val="0"/>
      <w:divBdr>
        <w:top w:val="none" w:sz="0" w:space="0" w:color="auto"/>
        <w:left w:val="none" w:sz="0" w:space="0" w:color="auto"/>
        <w:bottom w:val="none" w:sz="0" w:space="0" w:color="auto"/>
        <w:right w:val="none" w:sz="0" w:space="0" w:color="auto"/>
      </w:divBdr>
      <w:divsChild>
        <w:div w:id="16681704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4302192">
      <w:bodyDiv w:val="1"/>
      <w:marLeft w:val="0"/>
      <w:marRight w:val="0"/>
      <w:marTop w:val="0"/>
      <w:marBottom w:val="0"/>
      <w:divBdr>
        <w:top w:val="none" w:sz="0" w:space="0" w:color="auto"/>
        <w:left w:val="none" w:sz="0" w:space="0" w:color="auto"/>
        <w:bottom w:val="none" w:sz="0" w:space="0" w:color="auto"/>
        <w:right w:val="none" w:sz="0" w:space="0" w:color="auto"/>
      </w:divBdr>
    </w:div>
    <w:div w:id="2106611308">
      <w:bodyDiv w:val="1"/>
      <w:marLeft w:val="0"/>
      <w:marRight w:val="0"/>
      <w:marTop w:val="0"/>
      <w:marBottom w:val="0"/>
      <w:divBdr>
        <w:top w:val="none" w:sz="0" w:space="0" w:color="auto"/>
        <w:left w:val="none" w:sz="0" w:space="0" w:color="auto"/>
        <w:bottom w:val="none" w:sz="0" w:space="0" w:color="auto"/>
        <w:right w:val="none" w:sz="0" w:space="0" w:color="auto"/>
      </w:divBdr>
    </w:div>
    <w:div w:id="2108963140">
      <w:bodyDiv w:val="1"/>
      <w:marLeft w:val="0"/>
      <w:marRight w:val="0"/>
      <w:marTop w:val="0"/>
      <w:marBottom w:val="0"/>
      <w:divBdr>
        <w:top w:val="none" w:sz="0" w:space="0" w:color="auto"/>
        <w:left w:val="none" w:sz="0" w:space="0" w:color="auto"/>
        <w:bottom w:val="none" w:sz="0" w:space="0" w:color="auto"/>
        <w:right w:val="none" w:sz="0" w:space="0" w:color="auto"/>
      </w:divBdr>
    </w:div>
    <w:div w:id="2109881869">
      <w:bodyDiv w:val="1"/>
      <w:marLeft w:val="0"/>
      <w:marRight w:val="0"/>
      <w:marTop w:val="0"/>
      <w:marBottom w:val="0"/>
      <w:divBdr>
        <w:top w:val="none" w:sz="0" w:space="0" w:color="auto"/>
        <w:left w:val="none" w:sz="0" w:space="0" w:color="auto"/>
        <w:bottom w:val="none" w:sz="0" w:space="0" w:color="auto"/>
        <w:right w:val="none" w:sz="0" w:space="0" w:color="auto"/>
      </w:divBdr>
    </w:div>
    <w:div w:id="2113501868">
      <w:bodyDiv w:val="1"/>
      <w:marLeft w:val="0"/>
      <w:marRight w:val="0"/>
      <w:marTop w:val="0"/>
      <w:marBottom w:val="0"/>
      <w:divBdr>
        <w:top w:val="none" w:sz="0" w:space="0" w:color="auto"/>
        <w:left w:val="none" w:sz="0" w:space="0" w:color="auto"/>
        <w:bottom w:val="none" w:sz="0" w:space="0" w:color="auto"/>
        <w:right w:val="none" w:sz="0" w:space="0" w:color="auto"/>
      </w:divBdr>
    </w:div>
    <w:div w:id="2114157068">
      <w:bodyDiv w:val="1"/>
      <w:marLeft w:val="0"/>
      <w:marRight w:val="0"/>
      <w:marTop w:val="0"/>
      <w:marBottom w:val="0"/>
      <w:divBdr>
        <w:top w:val="none" w:sz="0" w:space="0" w:color="auto"/>
        <w:left w:val="none" w:sz="0" w:space="0" w:color="auto"/>
        <w:bottom w:val="none" w:sz="0" w:space="0" w:color="auto"/>
        <w:right w:val="none" w:sz="0" w:space="0" w:color="auto"/>
      </w:divBdr>
    </w:div>
    <w:div w:id="2116825071">
      <w:bodyDiv w:val="1"/>
      <w:marLeft w:val="0"/>
      <w:marRight w:val="0"/>
      <w:marTop w:val="0"/>
      <w:marBottom w:val="0"/>
      <w:divBdr>
        <w:top w:val="none" w:sz="0" w:space="0" w:color="auto"/>
        <w:left w:val="none" w:sz="0" w:space="0" w:color="auto"/>
        <w:bottom w:val="none" w:sz="0" w:space="0" w:color="auto"/>
        <w:right w:val="none" w:sz="0" w:space="0" w:color="auto"/>
      </w:divBdr>
    </w:div>
    <w:div w:id="2117868283">
      <w:bodyDiv w:val="1"/>
      <w:marLeft w:val="0"/>
      <w:marRight w:val="0"/>
      <w:marTop w:val="0"/>
      <w:marBottom w:val="0"/>
      <w:divBdr>
        <w:top w:val="none" w:sz="0" w:space="0" w:color="auto"/>
        <w:left w:val="none" w:sz="0" w:space="0" w:color="auto"/>
        <w:bottom w:val="none" w:sz="0" w:space="0" w:color="auto"/>
        <w:right w:val="none" w:sz="0" w:space="0" w:color="auto"/>
      </w:divBdr>
    </w:div>
    <w:div w:id="2117870470">
      <w:bodyDiv w:val="1"/>
      <w:marLeft w:val="0"/>
      <w:marRight w:val="0"/>
      <w:marTop w:val="0"/>
      <w:marBottom w:val="0"/>
      <w:divBdr>
        <w:top w:val="none" w:sz="0" w:space="0" w:color="auto"/>
        <w:left w:val="none" w:sz="0" w:space="0" w:color="auto"/>
        <w:bottom w:val="none" w:sz="0" w:space="0" w:color="auto"/>
        <w:right w:val="none" w:sz="0" w:space="0" w:color="auto"/>
      </w:divBdr>
      <w:divsChild>
        <w:div w:id="1789738755">
          <w:marLeft w:val="0"/>
          <w:marRight w:val="0"/>
          <w:marTop w:val="0"/>
          <w:marBottom w:val="0"/>
          <w:divBdr>
            <w:top w:val="none" w:sz="0" w:space="0" w:color="auto"/>
            <w:left w:val="none" w:sz="0" w:space="0" w:color="auto"/>
            <w:bottom w:val="none" w:sz="0" w:space="0" w:color="auto"/>
            <w:right w:val="none" w:sz="0" w:space="0" w:color="auto"/>
          </w:divBdr>
        </w:div>
      </w:divsChild>
    </w:div>
    <w:div w:id="2118525598">
      <w:bodyDiv w:val="1"/>
      <w:marLeft w:val="0"/>
      <w:marRight w:val="0"/>
      <w:marTop w:val="0"/>
      <w:marBottom w:val="0"/>
      <w:divBdr>
        <w:top w:val="none" w:sz="0" w:space="0" w:color="auto"/>
        <w:left w:val="none" w:sz="0" w:space="0" w:color="auto"/>
        <w:bottom w:val="none" w:sz="0" w:space="0" w:color="auto"/>
        <w:right w:val="none" w:sz="0" w:space="0" w:color="auto"/>
      </w:divBdr>
    </w:div>
    <w:div w:id="2118987550">
      <w:bodyDiv w:val="1"/>
      <w:marLeft w:val="0"/>
      <w:marRight w:val="0"/>
      <w:marTop w:val="0"/>
      <w:marBottom w:val="0"/>
      <w:divBdr>
        <w:top w:val="none" w:sz="0" w:space="0" w:color="auto"/>
        <w:left w:val="none" w:sz="0" w:space="0" w:color="auto"/>
        <w:bottom w:val="none" w:sz="0" w:space="0" w:color="auto"/>
        <w:right w:val="none" w:sz="0" w:space="0" w:color="auto"/>
      </w:divBdr>
    </w:div>
    <w:div w:id="2121954559">
      <w:bodyDiv w:val="1"/>
      <w:marLeft w:val="0"/>
      <w:marRight w:val="0"/>
      <w:marTop w:val="0"/>
      <w:marBottom w:val="0"/>
      <w:divBdr>
        <w:top w:val="none" w:sz="0" w:space="0" w:color="auto"/>
        <w:left w:val="none" w:sz="0" w:space="0" w:color="auto"/>
        <w:bottom w:val="none" w:sz="0" w:space="0" w:color="auto"/>
        <w:right w:val="none" w:sz="0" w:space="0" w:color="auto"/>
      </w:divBdr>
    </w:div>
    <w:div w:id="2122990031">
      <w:bodyDiv w:val="1"/>
      <w:marLeft w:val="0"/>
      <w:marRight w:val="0"/>
      <w:marTop w:val="0"/>
      <w:marBottom w:val="0"/>
      <w:divBdr>
        <w:top w:val="none" w:sz="0" w:space="0" w:color="auto"/>
        <w:left w:val="none" w:sz="0" w:space="0" w:color="auto"/>
        <w:bottom w:val="none" w:sz="0" w:space="0" w:color="auto"/>
        <w:right w:val="none" w:sz="0" w:space="0" w:color="auto"/>
      </w:divBdr>
      <w:divsChild>
        <w:div w:id="16488210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6344574">
      <w:bodyDiv w:val="1"/>
      <w:marLeft w:val="0"/>
      <w:marRight w:val="0"/>
      <w:marTop w:val="0"/>
      <w:marBottom w:val="0"/>
      <w:divBdr>
        <w:top w:val="none" w:sz="0" w:space="0" w:color="auto"/>
        <w:left w:val="none" w:sz="0" w:space="0" w:color="auto"/>
        <w:bottom w:val="none" w:sz="0" w:space="0" w:color="auto"/>
        <w:right w:val="none" w:sz="0" w:space="0" w:color="auto"/>
      </w:divBdr>
      <w:divsChild>
        <w:div w:id="10082863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6652134">
      <w:bodyDiv w:val="1"/>
      <w:marLeft w:val="0"/>
      <w:marRight w:val="0"/>
      <w:marTop w:val="0"/>
      <w:marBottom w:val="0"/>
      <w:divBdr>
        <w:top w:val="none" w:sz="0" w:space="0" w:color="auto"/>
        <w:left w:val="none" w:sz="0" w:space="0" w:color="auto"/>
        <w:bottom w:val="none" w:sz="0" w:space="0" w:color="auto"/>
        <w:right w:val="none" w:sz="0" w:space="0" w:color="auto"/>
      </w:divBdr>
    </w:div>
    <w:div w:id="2127038256">
      <w:bodyDiv w:val="1"/>
      <w:marLeft w:val="0"/>
      <w:marRight w:val="0"/>
      <w:marTop w:val="0"/>
      <w:marBottom w:val="0"/>
      <w:divBdr>
        <w:top w:val="none" w:sz="0" w:space="0" w:color="auto"/>
        <w:left w:val="none" w:sz="0" w:space="0" w:color="auto"/>
        <w:bottom w:val="none" w:sz="0" w:space="0" w:color="auto"/>
        <w:right w:val="none" w:sz="0" w:space="0" w:color="auto"/>
      </w:divBdr>
    </w:div>
    <w:div w:id="2131781370">
      <w:bodyDiv w:val="1"/>
      <w:marLeft w:val="0"/>
      <w:marRight w:val="0"/>
      <w:marTop w:val="0"/>
      <w:marBottom w:val="0"/>
      <w:divBdr>
        <w:top w:val="none" w:sz="0" w:space="0" w:color="auto"/>
        <w:left w:val="none" w:sz="0" w:space="0" w:color="auto"/>
        <w:bottom w:val="none" w:sz="0" w:space="0" w:color="auto"/>
        <w:right w:val="none" w:sz="0" w:space="0" w:color="auto"/>
      </w:divBdr>
    </w:div>
    <w:div w:id="2137094324">
      <w:bodyDiv w:val="1"/>
      <w:marLeft w:val="0"/>
      <w:marRight w:val="0"/>
      <w:marTop w:val="0"/>
      <w:marBottom w:val="0"/>
      <w:divBdr>
        <w:top w:val="none" w:sz="0" w:space="0" w:color="auto"/>
        <w:left w:val="none" w:sz="0" w:space="0" w:color="auto"/>
        <w:bottom w:val="none" w:sz="0" w:space="0" w:color="auto"/>
        <w:right w:val="none" w:sz="0" w:space="0" w:color="auto"/>
      </w:divBdr>
      <w:divsChild>
        <w:div w:id="7123833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7677863">
      <w:bodyDiv w:val="1"/>
      <w:marLeft w:val="0"/>
      <w:marRight w:val="0"/>
      <w:marTop w:val="0"/>
      <w:marBottom w:val="0"/>
      <w:divBdr>
        <w:top w:val="none" w:sz="0" w:space="0" w:color="auto"/>
        <w:left w:val="none" w:sz="0" w:space="0" w:color="auto"/>
        <w:bottom w:val="none" w:sz="0" w:space="0" w:color="auto"/>
        <w:right w:val="none" w:sz="0" w:space="0" w:color="auto"/>
      </w:divBdr>
    </w:div>
    <w:div w:id="2138527478">
      <w:bodyDiv w:val="1"/>
      <w:marLeft w:val="0"/>
      <w:marRight w:val="0"/>
      <w:marTop w:val="0"/>
      <w:marBottom w:val="0"/>
      <w:divBdr>
        <w:top w:val="none" w:sz="0" w:space="0" w:color="auto"/>
        <w:left w:val="none" w:sz="0" w:space="0" w:color="auto"/>
        <w:bottom w:val="none" w:sz="0" w:space="0" w:color="auto"/>
        <w:right w:val="none" w:sz="0" w:space="0" w:color="auto"/>
      </w:divBdr>
    </w:div>
    <w:div w:id="2145075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9" Type="http://schemas.openxmlformats.org/officeDocument/2006/relationships/image" Target="media/image33.jpg"/><Relationship Id="rId21" Type="http://schemas.openxmlformats.org/officeDocument/2006/relationships/image" Target="media/image15.jpg"/><Relationship Id="rId34" Type="http://schemas.openxmlformats.org/officeDocument/2006/relationships/image" Target="media/image28.jpg"/><Relationship Id="rId42" Type="http://schemas.openxmlformats.org/officeDocument/2006/relationships/image" Target="media/image36.jpg"/><Relationship Id="rId47" Type="http://schemas.openxmlformats.org/officeDocument/2006/relationships/image" Target="media/image41.jpg"/><Relationship Id="rId50" Type="http://schemas.openxmlformats.org/officeDocument/2006/relationships/image" Target="media/image44.jpg"/><Relationship Id="rId55" Type="http://schemas.openxmlformats.org/officeDocument/2006/relationships/image" Target="media/image49.jpg"/><Relationship Id="rId63"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image" Target="media/image23.jpg"/><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image" Target="media/image31.jpg"/><Relationship Id="rId40" Type="http://schemas.openxmlformats.org/officeDocument/2006/relationships/image" Target="media/image34.jpg"/><Relationship Id="rId45" Type="http://schemas.openxmlformats.org/officeDocument/2006/relationships/image" Target="media/image39.jpg"/><Relationship Id="rId53" Type="http://schemas.openxmlformats.org/officeDocument/2006/relationships/image" Target="media/image47.jpg"/><Relationship Id="rId58" Type="http://schemas.openxmlformats.org/officeDocument/2006/relationships/image" Target="media/image52.jpg"/><Relationship Id="rId5" Type="http://schemas.openxmlformats.org/officeDocument/2006/relationships/footnotes" Target="footnotes.xml"/><Relationship Id="rId61" Type="http://schemas.openxmlformats.org/officeDocument/2006/relationships/header" Target="header1.xml"/><Relationship Id="rId19" Type="http://schemas.openxmlformats.org/officeDocument/2006/relationships/image" Target="media/image1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 Id="rId43" Type="http://schemas.openxmlformats.org/officeDocument/2006/relationships/image" Target="media/image37.jpg"/><Relationship Id="rId48" Type="http://schemas.openxmlformats.org/officeDocument/2006/relationships/image" Target="media/image42.jpg"/><Relationship Id="rId56" Type="http://schemas.openxmlformats.org/officeDocument/2006/relationships/image" Target="media/image50.jpg"/><Relationship Id="rId64" Type="http://schemas.openxmlformats.org/officeDocument/2006/relationships/theme" Target="theme/theme1.xml"/><Relationship Id="rId8" Type="http://schemas.openxmlformats.org/officeDocument/2006/relationships/image" Target="media/image2.jpg"/><Relationship Id="rId51" Type="http://schemas.openxmlformats.org/officeDocument/2006/relationships/image" Target="media/image45.jp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image" Target="media/image32.jpg"/><Relationship Id="rId46" Type="http://schemas.openxmlformats.org/officeDocument/2006/relationships/image" Target="media/image40.jpg"/><Relationship Id="rId59" Type="http://schemas.openxmlformats.org/officeDocument/2006/relationships/image" Target="media/image53.jpg"/><Relationship Id="rId20" Type="http://schemas.openxmlformats.org/officeDocument/2006/relationships/image" Target="media/image14.jpg"/><Relationship Id="rId41" Type="http://schemas.openxmlformats.org/officeDocument/2006/relationships/image" Target="media/image35.jpg"/><Relationship Id="rId54" Type="http://schemas.openxmlformats.org/officeDocument/2006/relationships/image" Target="media/image48.jpg"/><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g"/><Relationship Id="rId49" Type="http://schemas.openxmlformats.org/officeDocument/2006/relationships/image" Target="media/image43.jpg"/><Relationship Id="rId57" Type="http://schemas.openxmlformats.org/officeDocument/2006/relationships/image" Target="media/image51.jpg"/><Relationship Id="rId10" Type="http://schemas.openxmlformats.org/officeDocument/2006/relationships/image" Target="media/image4.jpg"/><Relationship Id="rId31" Type="http://schemas.openxmlformats.org/officeDocument/2006/relationships/image" Target="media/image25.jpg"/><Relationship Id="rId44" Type="http://schemas.openxmlformats.org/officeDocument/2006/relationships/image" Target="media/image38.jpg"/><Relationship Id="rId52" Type="http://schemas.openxmlformats.org/officeDocument/2006/relationships/image" Target="media/image46.jpg"/><Relationship Id="rId60" Type="http://schemas.openxmlformats.org/officeDocument/2006/relationships/image" Target="media/image54.jpg"/><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159</Pages>
  <Words>32064</Words>
  <Characters>182766</Characters>
  <Application>Microsoft Office Word</Application>
  <DocSecurity>0</DocSecurity>
  <Lines>1523</Lines>
  <Paragraphs>428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Dave Sullivan</cp:lastModifiedBy>
  <cp:revision>2</cp:revision>
  <dcterms:created xsi:type="dcterms:W3CDTF">2026-06-08T08:18:00Z</dcterms:created>
  <dcterms:modified xsi:type="dcterms:W3CDTF">2026-06-08T08:29:00Z</dcterms:modified>
</cp:coreProperties>
</file>