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4206240" cy="6309360"/>
            <wp:effectExtent b="0" l="0" r="0" t="0"/>
            <wp:docPr descr="" title="" id="1" name="Picture"/>
            <a:graphic>
              <a:graphicData uri="http://schemas.openxmlformats.org/drawingml/2006/picture">
                <pic:pic>
                  <pic:nvPicPr>
                    <pic:cNvPr descr="/sessions/affectionate-stoic-pasteur/mnt/Claude%20Cowork/_tools/_web_cache/stewards_front_86487a3753d5_1200x_q90.jpg" id="0" name="Picture"/>
                    <pic:cNvPicPr>
                      <a:picLocks noChangeArrowheads="1" noChangeAspect="1"/>
                    </pic:cNvPicPr>
                  </pic:nvPicPr>
                  <pic:blipFill>
                    <a:blip r:embed="rId20"/>
                    <a:stretch>
                      <a:fillRect/>
                    </a:stretch>
                  </pic:blipFill>
                  <pic:spPr bwMode="auto">
                    <a:xfrm>
                      <a:off x="0" y="0"/>
                      <a:ext cx="4206240" cy="6309360"/>
                    </a:xfrm>
                    <a:prstGeom prst="rect">
                      <a:avLst/>
                    </a:prstGeom>
                    <a:noFill/>
                    <a:ln w="9525">
                      <a:noFill/>
                      <a:headEnd/>
                      <a:tailEnd/>
                    </a:ln>
                  </pic:spPr>
                </pic:pic>
              </a:graphicData>
            </a:graphic>
          </wp:inline>
        </w:drawing>
      </w:r>
    </w:p>
    <w:p>
      <w:r>
        <w:br w:type="page"/>
      </w:r>
    </w:p>
    <w:p>
      <w:pPr>
        <w:pStyle w:val="BodyText"/>
      </w:pPr>
      <w:r>
        <w:drawing>
          <wp:inline>
            <wp:extent cx="4206240" cy="6309360"/>
            <wp:effectExtent b="0" l="0" r="0" t="0"/>
            <wp:docPr descr="" title="" id="1" name="Picture"/>
            <a:graphic>
              <a:graphicData uri="http://schemas.openxmlformats.org/drawingml/2006/picture">
                <pic:pic>
                  <pic:nvPicPr>
                    <pic:cNvPr descr="/sessions/affectionate-stoic-pasteur/mnt/Claude%20Cowork/_tools/_web_cache/stewards_back_e863f9fec7e5_1200x_q90.jpg" id="0" name="Picture"/>
                    <pic:cNvPicPr>
                      <a:picLocks noChangeArrowheads="1" noChangeAspect="1"/>
                    </pic:cNvPicPr>
                  </pic:nvPicPr>
                  <pic:blipFill>
                    <a:blip r:embed="rId21"/>
                    <a:stretch>
                      <a:fillRect/>
                    </a:stretch>
                  </pic:blipFill>
                  <pic:spPr bwMode="auto">
                    <a:xfrm>
                      <a:off x="0" y="0"/>
                      <a:ext cx="4206240" cy="6309360"/>
                    </a:xfrm>
                    <a:prstGeom prst="rect">
                      <a:avLst/>
                    </a:prstGeom>
                    <a:noFill/>
                    <a:ln w="9525">
                      <a:noFill/>
                      <a:headEnd/>
                      <a:tailEnd/>
                    </a:ln>
                  </pic:spPr>
                </pic:pic>
              </a:graphicData>
            </a:graphic>
          </wp:inline>
        </w:drawing>
      </w:r>
    </w:p>
    <w:p>
      <w:r>
        <w:br w:type="page"/>
      </w:r>
    </w:p>
    <w:p>
      <w:pPr>
        <w:pStyle w:val="Title"/>
      </w:pPr>
      <w:r>
        <w:t xml:space="preserve">STEWARDS OF THE REPUBLIC</w:t>
      </w:r>
    </w:p>
    <w:p>
      <w:r>
        <w:br w:type="page"/>
      </w:r>
    </w:p>
    <w:p>
      <w:pPr>
        <w:pStyle w:val="BodyText"/>
      </w:pPr>
      <w:r>
        <w:rPr>
          <w:b/>
        </w:rPr>
        <w:t xml:space="preserve">A FOREVER GIFT · BOOK TWO</w:t>
      </w:r>
    </w:p>
    <w:p>
      <w:pPr>
        <w:pStyle w:val="BodyText"/>
      </w:pPr>
      <w:r>
        <w:t xml:space="preserve"> </w:t>
      </w:r>
    </w:p>
    <w:p>
      <w:pPr>
        <w:pStyle w:val="Title"/>
      </w:pPr>
      <w:r>
        <w:t xml:space="preserve">STEWARDS OF THE REPUBLIC</w:t>
      </w:r>
    </w:p>
    <w:p>
      <w:pPr>
        <w:pStyle w:val="Heading3"/>
      </w:pPr>
      <w:bookmarkStart w:id="22" w:name="Xfa4ed9085151e17f8521bc3faccdc667cae3b62"/>
      <w:r>
        <w:t xml:space="preserve">How America’s oldest forever trust teaches us to protect the public promises now arriving</w:t>
      </w:r>
      <w:bookmarkEnd w:id="22"/>
    </w:p>
    <w:p>
      <w:pPr>
        <w:pStyle w:val="FirstParagraph"/>
      </w:pPr>
      <w:r>
        <w:t xml:space="preserve"> </w:t>
      </w:r>
    </w:p>
    <w:p>
      <w:pPr>
        <w:pStyle w:val="BodyText"/>
      </w:pPr>
      <w:r>
        <w:t xml:space="preserve">David Sullivan</w:t>
      </w:r>
    </w:p>
    <w:p>
      <w:pPr>
        <w:pStyle w:val="BodyText"/>
      </w:pPr>
      <w:r>
        <w:t xml:space="preserve"> </w:t>
      </w:r>
    </w:p>
    <w:p>
      <w:pPr>
        <w:pStyle w:val="BodyText"/>
      </w:pPr>
      <w:r>
        <w:t xml:space="preserve"> </w:t>
      </w:r>
    </w:p>
    <w:p>
      <w:pPr>
        <w:pStyle w:val="BodyText"/>
      </w:pPr>
      <w:r>
        <w:t xml:space="preserve">Advocates for School Trust Lands</w:t>
      </w:r>
    </w:p>
    <w:p>
      <w:pPr>
        <w:pStyle w:val="BodyText"/>
      </w:pPr>
      <w:r>
        <w:rPr>
          <w:i/>
        </w:rPr>
        <w:t xml:space="preserve">AMERICA’S SCHOOL TRUST LIBRARY</w:t>
      </w:r>
    </w:p>
    <w:p>
      <w:r>
        <w:br w:type="page"/>
      </w:r>
    </w:p>
    <w:p>
      <w:pPr>
        <w:pStyle w:val="BodyText"/>
      </w:pPr>
      <w:r>
        <w:rPr>
          <w:i/>
        </w:rPr>
        <w:t xml:space="preserve">Stewards of the Republic</w:t>
      </w:r>
      <w:r>
        <w:t xml:space="preserve">, How America’s oldest forever trust teaches us to protect the public promises now arriving</w:t>
      </w:r>
    </w:p>
    <w:p>
      <w:pPr>
        <w:pStyle w:val="BodyText"/>
      </w:pPr>
      <w:r>
        <w:t xml:space="preserve">Copyright © 2026 David Sullivan</w:t>
      </w:r>
    </w:p>
    <w:p>
      <w:pPr>
        <w:pStyle w:val="BodyText"/>
      </w:pPr>
      <w:r>
        <w:t xml:space="preserve">All rights reserved. No part of this book may be reproduced, distributed, or transmitted in any form without the prior written permission of the authors, except for brief quotations in reviews and noncommercial educational use with attribution.</w:t>
      </w:r>
    </w:p>
    <w:p>
      <w:pPr>
        <w:pStyle w:val="BodyText"/>
      </w:pPr>
      <w:r>
        <w:t xml:space="preserve">Published by Advocates for School Trust Lands · schooltrusts.net</w:t>
      </w:r>
    </w:p>
    <w:p>
      <w:pPr>
        <w:pStyle w:val="BodyText"/>
      </w:pPr>
      <w:r>
        <w:t xml:space="preserve">First edition, 2026 · Content current as of June 2026</w:t>
      </w:r>
    </w:p>
    <w:p>
      <w:pPr>
        <w:pStyle w:val="BoxedHeaderSimple"/>
      </w:pPr>
      <w:r>
        <w:t xml:space="preserve">ISBN</w:t>
      </w:r>
    </w:p>
    <w:p>
      <w:pPr>
        <w:pStyle w:val="BoxBody"/>
      </w:pPr>
      <w:r>
        <w:t xml:space="preserve">ISBN: 979-8-_______-__-_ (paperback) — to be assigned at publication.</w:t>
      </w:r>
    </w:p>
    <w:p>
      <w:pPr>
        <w:pStyle w:val="BodyText"/>
      </w:pPr>
      <w:r>
        <w:rPr>
          <w:b/>
        </w:rPr>
        <w:t xml:space="preserve">How this book was made.</w:t>
      </w:r>
      <w:r>
        <w:t xml:space="preserve"> </w:t>
      </w:r>
      <w:r>
        <w:t xml:space="preserve">David Sullivan supplied the direction, the judgment, the lineage, and the final review of every page. Claude (Anthropic) drafted and assembled text under that direction. Every factual claim traces to the Library’s citation register; claims not yet verified against a primary source carry a visible flag in the text. A contributions ledger appears at the back of this book; claim-level credits live in the public register at schooltrusts.net.</w:t>
      </w:r>
    </w:p>
    <w:p>
      <w:r>
        <w:br w:type="page"/>
      </w:r>
    </w:p>
    <w:p>
      <w:pPr>
        <w:pStyle w:val="BodyText"/>
      </w:pPr>
      <w:r>
        <w:t xml:space="preserve"> </w:t>
      </w:r>
    </w:p>
    <w:p>
      <w:pPr>
        <w:pStyle w:val="BodyText"/>
      </w:pPr>
      <w:r>
        <w:t xml:space="preserve"> </w:t>
      </w:r>
    </w:p>
    <w:p>
      <w:pPr>
        <w:pStyle w:val="BodyText"/>
      </w:pPr>
      <w:r>
        <w:t xml:space="preserve"> </w:t>
      </w:r>
    </w:p>
    <w:p>
      <w:pPr>
        <w:pStyle w:val="BodyText"/>
      </w:pPr>
      <w:r>
        <w:rPr>
          <w:i/>
        </w:rPr>
        <w:t xml:space="preserve">[Dedication — to come]</w:t>
      </w:r>
    </w:p>
    <w:p>
      <w:r>
        <w:br w:type="page"/>
      </w:r>
    </w:p>
    <w:p>
      <w:pPr>
        <w:pStyle w:val="Heading1"/>
      </w:pPr>
      <w:bookmarkStart w:id="23" w:name="X83244aaff6ecaa4c7a52583e4b5609fb48e8130"/>
      <w:r>
        <w:t xml:space="preserve">Stewards of the Republic — A Note from the Author (front matter, v1)</w:t>
      </w:r>
      <w:bookmarkEnd w:id="23"/>
    </w:p>
    <w:p>
      <w:pPr>
        <w:pStyle w:val="FirstParagraph"/>
      </w:pPr>
      <w:r>
        <w:rPr>
          <w:i/>
        </w:rPr>
        <w:t xml:space="preserve">Canonical source for the book’s front-matter introduction. Written 2026-06-07 per Dave’s direction: focus on what the book contains (how school trusts went wrong + UPTEA solutions); forward-looking; NO Eighth Anchor references (abandoned); NO Magna Carta. Live on the web at schooltrusts.net/writing/stewards-of-the-republic/. The v4 correction pass should carry this note into the manuscript front matter (Dave’s voice pass may revise).</w:t>
      </w:r>
    </w:p>
    <w:p>
      <w:pPr>
        <w:pStyle w:val="BodyText"/>
      </w:pPr>
      <w:r>
        <w:t xml:space="preserve">This book is about a promise that is failing for reasons we can name — and about a law, drafted and ready, that would stop the failing.</w:t>
      </w:r>
    </w:p>
    <w:p>
      <w:pPr>
        <w:pStyle w:val="BodyText"/>
      </w:pPr>
      <w:r>
        <w:t xml:space="preserve">The promise is the school trust: land and funds that every state accepted, at statehood, to hold in trust for its schoolchildren, forever. The first half of this book shows how that promise has gone wrong, and the striking thing the record shows is that it goes wrong the same six ways everywhere. The children cannot sue, and no one can agree on who else may. The trustee’s duties, though real, were never written where a judge could read them. The state’s own lawyer ends up on both sides of the case. No one ever sends the beneficiaries a statement. Courts that find wrongdoing discover they have no power to order the money back. And the trustees themselves are never taught that they are trustees. No villains required — just a structure that makes neglect the path of least resistance.</w:t>
      </w:r>
    </w:p>
    <w:p>
      <w:pPr>
        <w:pStyle w:val="BodyText"/>
      </w:pPr>
      <w:r>
        <w:t xml:space="preserve">The second half is the repair: the Uniform Public Trust Enforcement Act, a model law this project has drafted and put through review. It says nothing new — the duties have existed all along — and changes everything, because it makes them enforceable. It opens the books with a statement the beneficiaries actually receive; it opens the courthouse door; it puts teeth behind judgments; and it is built to maintain itself, so the repair does not depend on the watchfulness of any one generation. Each of those pieces gets its own chapter, and the act itself, annotated, is the appendix.</w:t>
      </w:r>
    </w:p>
    <w:p>
      <w:pPr>
        <w:pStyle w:val="BodyText"/>
      </w:pPr>
      <w:r>
        <w:t xml:space="preserve">The book looks forward. The question it asks is not what was lost — its companion volume,</w:t>
      </w:r>
      <w:r>
        <w:t xml:space="preserve"> </w:t>
      </w:r>
      <w:r>
        <w:rPr>
          <w:i/>
        </w:rPr>
        <w:t xml:space="preserve">The Forgotten Forever Gift to Public Schools</w:t>
      </w:r>
      <w:r>
        <w:t xml:space="preserve">, tells that story — but what we can do now to protect the school trusts still standing. And because the school trusts are America’s longest-running experiment in keeping a public promise across generations, what protects them speaks, by analogy, to every other forever trust we are now building. Get the repair right where the record is longest, and the lesson travels.</w:t>
      </w:r>
    </w:p>
    <w:p>
      <w:pPr>
        <w:pStyle w:val="BodyText"/>
      </w:pPr>
      <w:r>
        <w:t xml:space="preserve">The drafts here are working drafts, published in the open with their known issues stated plainly. If you see an error or a sharper version of an argument, write to the Reference Desk. This book will be better for it.</w:t>
      </w:r>
    </w:p>
    <w:p>
      <w:pPr>
        <w:pStyle w:val="BodyText"/>
      </w:pPr>
      <w:r>
        <w:t xml:space="preserve">— Dave Sullivan, Oregon, 2026.</w:t>
      </w:r>
    </w:p>
    <w:p>
      <w:r>
        <w:br w:type="page"/>
      </w:r>
    </w:p>
    <w:p>
      <w:pPr>
        <w:pStyle w:val="Heading1"/>
      </w:pPr>
      <w:bookmarkStart w:id="24" w:name="foreword"/>
      <w:r>
        <w:t xml:space="preserve">Foreword</w:t>
      </w:r>
      <w:bookmarkEnd w:id="24"/>
    </w:p>
    <w:p>
      <w:pPr>
        <w:pStyle w:val="FirstParagraph"/>
      </w:pPr>
      <w:r>
        <w:rPr>
          <w:i/>
        </w:rPr>
        <w:t xml:space="preserve">[Foreword — invited.]</w:t>
      </w:r>
    </w:p>
    <w:p>
      <w:pPr>
        <w:pStyle w:val="BodyText"/>
      </w:pPr>
      <w:r>
        <w:t xml:space="preserve">This page is reserved for an invited foreword from the readers this book serves. Every edition in the Library’s family carries one.</w:t>
      </w:r>
    </w:p>
    <w:p>
      <w:r>
        <w:br w:type="page"/>
      </w:r>
    </w:p>
    <w:p>
      <w:pPr>
        <w:pStyle w:val="BodyText"/>
      </w:pPr>
      <w:r>
        <w:t xml:space="preserve"> </w:t>
      </w:r>
    </w:p>
    <w:p>
      <w:pPr>
        <w:pStyle w:val="BodyText"/>
      </w:pPr>
      <w:r>
        <w:rPr>
          <w:b/>
        </w:rPr>
        <w:t xml:space="preserve">A WORKING EDITION — FOR REVIEW</w:t>
      </w:r>
    </w:p>
    <w:p>
      <w:pPr>
        <w:pStyle w:val="BodyText"/>
      </w:pPr>
      <w:r>
        <w:t xml:space="preserve">This copy is a complete dress rehearsal of a book still in progress. The design, sequence, and apparatus are final-form; the text stands where its card in the Writing Room (schooltrusts.net/writing/) says it stands. Statements not yet verified against a primary source carry a visible flag in place.</w:t>
      </w:r>
    </w:p>
    <w:p>
      <w:pPr>
        <w:pStyle w:val="BodyText"/>
      </w:pPr>
      <w:r>
        <w:rPr>
          <w:i/>
        </w:rPr>
        <w:t xml:space="preserve">Not for sale or citation.</w:t>
      </w:r>
    </w:p>
    <w:p>
      <w:r>
        <w:br w:type="page"/>
      </w:r>
    </w:p>
    <w:p>
      <w:pPr>
        <w:pStyle w:val="Heading1"/>
      </w:pPr>
      <w:bookmarkStart w:id="25" w:name="X6279b45c721d72a96fe4e0e3f3bdd507b07992c"/>
      <w:r>
        <w:t xml:space="preserve">Prologue — A Note on How This Book Was Written</w:t>
      </w:r>
      <w:bookmarkEnd w:id="25"/>
    </w:p>
    <w:p>
      <w:pPr>
        <w:pStyle w:val="FirstParagraph"/>
      </w:pPr>
      <w:r>
        <w:t xml:space="preserve">[DRAFT v2.0 — AI first pass; awaiting Dave’s voice pass]</w:t>
      </w:r>
    </w:p>
    <w:p>
      <w:r>
        <w:pict>
          <v:rect style="width:0;height:1.5pt" o:hralign="center" o:hrstd="t" o:hr="t"/>
        </w:pict>
      </w:r>
    </w:p>
    <w:p>
      <w:pPr>
        <w:pStyle w:val="FirstParagraph"/>
      </w:pPr>
      <w:r>
        <w:t xml:space="preserve">There is a fact about this book the reader should know up front, because it bears on what the book claims and on what the book is for.</w:t>
      </w:r>
    </w:p>
    <w:p>
      <w:pPr>
        <w:pStyle w:val="BodyText"/>
      </w:pPr>
      <w:r>
        <w:t xml:space="preserve">The pages that follow place a 1785 surveying ordinance next to a 1907 governor’s message next to a 1928 New York fiduciary opinion next to a 1994 Utah statute next to a court filing from this past spring. They draw on law, history, public finance, forestry, and education policy — disciplines that do not normally talk to each other — across timescales longer than any scholar’s working life. Until a few years ago, no one person working alone could have held that much in mind at once. I know, because I tried.</w:t>
      </w:r>
    </w:p>
    <w:p>
      <w:pPr>
        <w:pStyle w:val="BodyText"/>
      </w:pPr>
      <w:r>
        <w:t xml:space="preserve">This book exists because biological intelligence and artificial intelligence have begun to work together in a way that holds thousands of pages in working memory at once and synthesizes across them.</w:t>
      </w:r>
    </w:p>
    <w:p>
      <w:pPr>
        <w:pStyle w:val="BodyText"/>
      </w:pPr>
      <w:r>
        <w:t xml:space="preserve">I want to be careful about how I describe that. The temptation, when one writes a book with an AI collaborator, is to oversell the partner —</w:t>
      </w:r>
      <w:r>
        <w:t xml:space="preserve"> </w:t>
      </w:r>
      <w:r>
        <w:rPr>
          <w:i/>
        </w:rPr>
        <w:t xml:space="preserve">the machine did it</w:t>
      </w:r>
      <w:r>
        <w:t xml:space="preserve"> </w:t>
      </w:r>
      <w:r>
        <w:t xml:space="preserve">— or to undersell it —</w:t>
      </w:r>
      <w:r>
        <w:t xml:space="preserve"> </w:t>
      </w:r>
      <w:r>
        <w:rPr>
          <w:i/>
        </w:rPr>
        <w:t xml:space="preserve">I did it, with some typing help</w:t>
      </w:r>
      <w:r>
        <w:t xml:space="preserve">. Neither is honest. I spent my career in information systems and my retirement on a tree farm, and the truest comparison I have found comes from the woods. The new tool is the chainsaw where there used to be a two-man crosscut saw. It lets the same forester work a different scale of woodlot. The forester’s judgment about what to do with the woodlot has not been replaced. The reach of the forester’s day has changed.</w:t>
      </w:r>
    </w:p>
    <w:p>
      <w:pPr>
        <w:pStyle w:val="BodyText"/>
      </w:pPr>
      <w:r>
        <w:t xml:space="preserve">So the division of labor in these pages is plain. The judgments are mine: what matters, what is fair, what is worth fighting for, and every place where the book says</w:t>
      </w:r>
      <w:r>
        <w:t xml:space="preserve"> </w:t>
      </w:r>
      <w:r>
        <w:t xml:space="preserve">“</w:t>
      </w:r>
      <w:r>
        <w:t xml:space="preserve">I.</w:t>
      </w:r>
      <w:r>
        <w:t xml:space="preserve">”</w:t>
      </w:r>
      <w:r>
        <w:t xml:space="preserve"> </w:t>
      </w:r>
      <w:r>
        <w:t xml:space="preserve">The reach is the partnership’s: the search across two hundred and forty years of records, the cross-checking of figures against sources, the discipline of keeping a long argument consistent with itself. Where the book asserts a fact, a human checked it against the primary record before it was allowed to stand. Where a fact could not be checked in time, it was cut.</w:t>
      </w:r>
    </w:p>
    <w:p>
      <w:pPr>
        <w:pStyle w:val="BodyText"/>
      </w:pPr>
      <w:r>
        <w:t xml:space="preserve">There is one more reason to tell you this, beyond honesty. This book argues that forever promises survive only when somebody keeps watch — and that keeping watch over a complex, long-lived institution used to cost more time and training than ordinary citizens could pay. That cost has now collapsed. A retired tree farmer with these tools can do in an afternoon what once took a state archivist a month. The way this book was made is a small, working preview of the watchfulness it argues for. The framers of the promise you are about to read could not build that watch. We can.</w:t>
      </w:r>
    </w:p>
    <w:p>
      <w:pPr>
        <w:pStyle w:val="BodyText"/>
      </w:pPr>
      <w:r>
        <w:t xml:space="preserve">The end of the work has not moved: the schoolchildren a single sentence was written for in 1785, and the people now drafting the forever promises of the next two centuries. The means changed. The purpose did not.</w:t>
      </w:r>
    </w:p>
    <w:p>
      <w:pPr>
        <w:pStyle w:val="BodyText"/>
      </w:pPr>
      <w:r>
        <w:t xml:space="preserve">— D.S.</w:t>
      </w:r>
    </w:p>
    <w:p>
      <w:r>
        <w:pict>
          <v:rect style="width:0;height:1.5pt" o:hralign="center" o:hrstd="t" o:hr="t"/>
        </w:pict>
      </w:r>
    </w:p>
    <w:p>
      <w:pPr>
        <w:pStyle w:val="FirstParagraph"/>
      </w:pPr>
      <w:r>
        <w:rPr>
          <w:i/>
        </w:rPr>
        <w:t xml:space="preserve">Sources for this prologue: the author’s working records of the book’s construction, 2024–2026. The fiduciary opinion referenced is Cardozo’s in</w:t>
      </w:r>
      <w:r>
        <w:t xml:space="preserve"> </w:t>
      </w:r>
      <w:r>
        <w:t xml:space="preserve">Meinhard v. Salmon</w:t>
      </w:r>
      <w:r>
        <w:t xml:space="preserve"> </w:t>
      </w:r>
      <w:r>
        <w:rPr>
          <w:i/>
        </w:rPr>
        <w:t xml:space="preserve">(1928), which returns in Chapter 4; the 1907 governor’s message and the 1994 Utah statute return in Chapters 1 and 3.</w:t>
      </w:r>
    </w:p>
    <w:p>
      <w:r>
        <w:br w:type="page"/>
      </w:r>
    </w:p>
    <w:p>
      <w:pPr>
        <w:pStyle w:val="Heading1"/>
      </w:pPr>
      <w:bookmarkStart w:id="26" w:name="chapter-1-the-forever-promise"/>
      <w:r>
        <w:t xml:space="preserve">Chapter 1 — The Forever Promise</w:t>
      </w:r>
      <w:bookmarkEnd w:id="26"/>
    </w:p>
    <w:p>
      <w:pPr>
        <w:pStyle w:val="FirstParagraph"/>
      </w:pPr>
      <w:r>
        <w:t xml:space="preserve">[DRAFT v2.0 — AI first pass; awaiting Dave’s voice pass]</w:t>
      </w:r>
    </w:p>
    <w:p>
      <w:r>
        <w:pict>
          <v:rect style="width:0;height:1.5pt" o:hralign="center" o:hrstd="t" o:hr="t"/>
        </w:pict>
      </w:r>
    </w:p>
    <w:p>
      <w:pPr>
        <w:pStyle w:val="FirstParagraph"/>
      </w:pPr>
      <w:r>
        <w:t xml:space="preserve">In 1785, a Congress that governed a country with no constitution, no president, and almost no money made a promise to children who would not be born for two hundred years.</w:t>
      </w:r>
    </w:p>
    <w:p>
      <w:pPr>
        <w:pStyle w:val="BodyText"/>
      </w:pPr>
      <w:r>
        <w:t xml:space="preserve">The promise was one sentence long. In every township of the new western lands — every square of the grid the surveyors were about to draw across the continent — one square mile would be reserved</w:t>
      </w:r>
      <w:r>
        <w:t xml:space="preserve"> </w:t>
      </w:r>
      <w:r>
        <w:t xml:space="preserve">“</w:t>
      </w:r>
      <w:r>
        <w:t xml:space="preserve">for the maintenance of public schools.</w:t>
      </w:r>
      <w:r>
        <w:t xml:space="preserve">”</w:t>
      </w:r>
      <w:r>
        <w:t xml:space="preserve"> </w:t>
      </w:r>
      <w:r>
        <w:t xml:space="preserve">Not for this year’s schools. For the schools, forever. As each new state entered the Union, it accepted that land, and the promise that came with it, as a condition of statehood. Hold this in trust, the bargain ran. It belongs to the schoolchildren — the ones alive now, and all the ones to come.</w:t>
      </w:r>
    </w:p>
    <w:p>
      <w:pPr>
        <w:pStyle w:val="BodyText"/>
      </w:pPr>
      <w:r>
        <w:t xml:space="preserve">Two hundred and forty years later, we know how that promise fared, because it became, without anyone intending it, the longest-running experiment in American history: roughly thirty states admitted from the public domain, every kind of economy and politics a republic can produce, each handed the same forever promise to administer. The experiment ran long enough to return results.</w:t>
      </w:r>
    </w:p>
    <w:p>
      <w:pPr>
        <w:pStyle w:val="BodyText"/>
      </w:pPr>
      <w:r>
        <w:t xml:space="preserve">Here is what it returned. The promise held in the places that did two things: wrote the trustee’s duties into law a court could enforce, and kept people watching. One state — Utah — did both, lost its way, and fought its way back; today every school there receives its share of the trust in plain view, and the people of Utah would notice within the year if anyone reached for it.</w:t>
      </w:r>
    </w:p>
    <w:p>
      <w:pPr>
        <w:pStyle w:val="BodyText"/>
      </w:pPr>
      <w:r>
        <w:t xml:space="preserve">Everywhere else, the promise failed in the same six ways, so reliably you can use the list as a checklist. The children could not sue, and no one could agree on who else might. The trustee’s duties, though real, were never written where a judge could read them. The state’s own lawyer defended the state against the children. No one ever sent the beneficiaries a statement. Courts that found wrongdoing discovered they had no power to order the money back. And the trustees themselves were never once taught that they were trustees.</w:t>
      </w:r>
    </w:p>
    <w:p>
      <w:pPr>
        <w:pStyle w:val="BodyText"/>
      </w:pPr>
      <w:r>
        <w:t xml:space="preserve">Notice what is not on that list: villains. The promise was not murdered. It was neglected to death, by ordinary people inside a structure that made neglect the path of least resistance.</w:t>
      </w:r>
    </w:p>
    <w:p>
      <w:pPr>
        <w:pStyle w:val="BodyText"/>
      </w:pPr>
      <w:r>
        <w:t xml:space="preserve">This book is about the repair — a law, drafted and ready, that says nothing new and changes everything, because it takes duties that have existed all along and finally makes them enforceable. And it is about why the repair cannot wait. Right now, in this decade, we are writing charters for a new generation of forever promises — funds and trusts meant to carry wealth, knowledge, and power across centuries. Their architects are designing in the dark. The lights, as it happens, have been on for two hundred and forty years.</w:t>
      </w:r>
    </w:p>
    <w:p>
      <w:pPr>
        <w:pStyle w:val="BodyText"/>
      </w:pPr>
      <w:r>
        <w:t xml:space="preserve">But first, the promise itself. You cannot understand how a thing breaks until you understand what was built.</w:t>
      </w:r>
    </w:p>
    <w:p>
      <w:pPr>
        <w:pStyle w:val="Heading2"/>
      </w:pPr>
      <w:bookmarkStart w:id="27" w:name="one-sentence-in-a-surveying-law"/>
      <w:r>
        <w:t xml:space="preserve">One sentence in a surveying law</w:t>
      </w:r>
      <w:bookmarkEnd w:id="27"/>
    </w:p>
    <w:p>
      <w:pPr>
        <w:pStyle w:val="FirstParagraph"/>
      </w:pPr>
      <w:r>
        <w:t xml:space="preserve">The Land Ordinance of May 1785 is mostly a technical document. It tells surveyors how to lay a grid over the continent: townships six miles square, each cut into thirty-six numbered sections of one square mile. Buried in the instructions is the sentence that matters. Section sixteen of every township — a parcel near the center of the grid — was</w:t>
      </w:r>
      <w:r>
        <w:t xml:space="preserve"> </w:t>
      </w:r>
      <w:r>
        <w:t xml:space="preserve">“</w:t>
      </w:r>
      <w:r>
        <w:t xml:space="preserve">reserved for the maintenance of public schools.</w:t>
      </w:r>
      <w:r>
        <w:t xml:space="preserve">”</w:t>
      </w:r>
    </w:p>
    <w:p>
      <w:pPr>
        <w:pStyle w:val="BodyText"/>
      </w:pPr>
      <w:r>
        <w:t xml:space="preserve">Why number sixteen? No floor speech survives to tell us. The likely answer is geography. In a six-by-six grid, lot sixteen sits roughly in the middle, so every settler, however far out, could claim the schoolhouse land was reachable. Whatever the reason, the choice tells you something about the men who made it. They were not endowing an idea. They were reserving a particular square mile of particular ground, in every township the country would ever survey, before most of those townships had a single cabin on them.</w:t>
      </w:r>
    </w:p>
    <w:p>
      <w:pPr>
        <w:pStyle w:val="BodyText"/>
      </w:pPr>
      <w:r>
        <w:t xml:space="preserve">That is an unusual way to build an endowment. Most endowments are funds — pools of money in somebody’s custody, governable from a single chair. This one was written into the land itself. As the surveyors finished each township, the school parcel was already on the map. The endowment grew automatically as the country grew. The map of the country was the map of the gift.</w:t>
      </w:r>
    </w:p>
    <w:p>
      <w:pPr>
        <w:pStyle w:val="BodyText"/>
      </w:pPr>
      <w:r>
        <w:t xml:space="preserve">It also meant the gift was visible. The sections were not numbers in a ledger; they were pieces of places, held for particular schools. People organize around things they can see. That fact will matter enormously, much later in this story.</w:t>
      </w:r>
    </w:p>
    <w:p>
      <w:pPr>
        <w:pStyle w:val="Heading2"/>
      </w:pPr>
      <w:bookmarkStart w:id="28" w:name="forever-encouraged"/>
      <w:r>
        <w:t xml:space="preserve">“</w:t>
      </w:r>
      <w:r>
        <w:t xml:space="preserve">Forever encouraged</w:t>
      </w:r>
      <w:r>
        <w:t xml:space="preserve">”</w:t>
      </w:r>
      <w:bookmarkEnd w:id="28"/>
    </w:p>
    <w:p>
      <w:pPr>
        <w:pStyle w:val="FirstParagraph"/>
      </w:pPr>
      <w:r>
        <w:t xml:space="preserve">The 1785 ordinance dedicated the asset. Two years later, Congress declared the principle. The Northwest Ordinance of July 1787 contained six</w:t>
      </w:r>
      <w:r>
        <w:t xml:space="preserve"> </w:t>
      </w:r>
      <w:r>
        <w:t xml:space="preserve">“</w:t>
      </w:r>
      <w:r>
        <w:t xml:space="preserve">articles of compact</w:t>
      </w:r>
      <w:r>
        <w:t xml:space="preserve">”</w:t>
      </w:r>
      <w:r>
        <w:t xml:space="preserve"> </w:t>
      </w:r>
      <w:r>
        <w:t xml:space="preserve">between the original states and the people of the new territory, declared to</w:t>
      </w:r>
      <w:r>
        <w:t xml:space="preserve"> </w:t>
      </w:r>
      <w:r>
        <w:t xml:space="preserve">“</w:t>
      </w:r>
      <w:r>
        <w:t xml:space="preserve">forever remain unalterable, unless by common consent.</w:t>
      </w:r>
      <w:r>
        <w:t xml:space="preserve">”</w:t>
      </w:r>
      <w:r>
        <w:t xml:space="preserve"> </w:t>
      </w:r>
      <w:r>
        <w:t xml:space="preserve">The third article reads:</w:t>
      </w:r>
      <w:r>
        <w:t xml:space="preserve"> </w:t>
      </w:r>
      <w:r>
        <w:t xml:space="preserve">“</w:t>
      </w:r>
      <w:r>
        <w:t xml:space="preserve">Religion, morality, and knowledge being necessary to good government and the happiness of mankind, schools and the means of education shall forever be encouraged.</w:t>
      </w:r>
      <w:r>
        <w:t xml:space="preserve">”</w:t>
      </w:r>
    </w:p>
    <w:p>
      <w:pPr>
        <w:pStyle w:val="BodyText"/>
      </w:pPr>
      <w:r>
        <w:t xml:space="preserve">Read that sentence the way a lawyer would. The other articles use hard verbs — no person</w:t>
      </w:r>
      <w:r>
        <w:t xml:space="preserve"> </w:t>
      </w:r>
      <w:r>
        <w:rPr>
          <w:i/>
        </w:rPr>
        <w:t xml:space="preserve">shall ever be molested</w:t>
      </w:r>
      <w:r>
        <w:t xml:space="preserve"> </w:t>
      </w:r>
      <w:r>
        <w:t xml:space="preserve">for worship; legislatures</w:t>
      </w:r>
      <w:r>
        <w:t xml:space="preserve"> </w:t>
      </w:r>
      <w:r>
        <w:rPr>
          <w:i/>
        </w:rPr>
        <w:t xml:space="preserve">shall never interfere</w:t>
      </w:r>
      <w:r>
        <w:t xml:space="preserve"> </w:t>
      </w:r>
      <w:r>
        <w:t xml:space="preserve">with federal land sales; there</w:t>
      </w:r>
      <w:r>
        <w:t xml:space="preserve"> </w:t>
      </w:r>
      <w:r>
        <w:rPr>
          <w:i/>
        </w:rPr>
        <w:t xml:space="preserve">shall be neither</w:t>
      </w:r>
      <w:r>
        <w:t xml:space="preserve"> </w:t>
      </w:r>
      <w:r>
        <w:t xml:space="preserve">slavery nor involuntary servitude. Article Three alone says</w:t>
      </w:r>
      <w:r>
        <w:t xml:space="preserve"> </w:t>
      </w:r>
      <w:r>
        <w:rPr>
          <w:i/>
        </w:rPr>
        <w:t xml:space="preserve">encouraged</w:t>
      </w:r>
      <w:r>
        <w:t xml:space="preserve">. It states a permanent national commitment and then hands the machinery of keeping it to someone else — to the land reservation of 1785, and to the bargains that would be struck with each new state at its admission.</w:t>
      </w:r>
    </w:p>
    <w:p>
      <w:pPr>
        <w:pStyle w:val="BodyText"/>
      </w:pPr>
      <w:r>
        <w:t xml:space="preserve">The bargain got its teeth in Ohio. When Congress offered the new state its school sections in 1802, the Ohio convention did not simply accept. It asked for stronger words: that the school lands be vested in the legislature</w:t>
      </w:r>
      <w:r>
        <w:t xml:space="preserve"> </w:t>
      </w:r>
      <w:r>
        <w:rPr>
          <w:i/>
        </w:rPr>
        <w:t xml:space="preserve">in trust</w:t>
      </w:r>
      <w:r>
        <w:t xml:space="preserve">. Congress agreed, and in the implementing act of 1803 added a phrase of its own — the lands were granted in trust for the use of schools</w:t>
      </w:r>
      <w:r>
        <w:t xml:space="preserve"> </w:t>
      </w:r>
      <w:r>
        <w:t xml:space="preserve">“</w:t>
      </w:r>
      <w:r>
        <w:t xml:space="preserve">and for no other use, intent or purpose whatever.</w:t>
      </w:r>
      <w:r>
        <w:t xml:space="preserve">”</w:t>
      </w:r>
    </w:p>
    <w:p>
      <w:pPr>
        <w:pStyle w:val="BodyText"/>
      </w:pPr>
      <w:r>
        <w:t xml:space="preserve">That phrase became the load-bearing beam of the whole structure. It says the legislature holds the land but does not own it. It says there is no exception for hard budget years, popular causes, or good intentions. Every state admitted afterward took its school lands under some version of the same bargain, and the language only got stronger with time. The United States Supreme Court confirmed what the words meant in</w:t>
      </w:r>
      <w:r>
        <w:t xml:space="preserve"> </w:t>
      </w:r>
      <w:r>
        <w:rPr>
          <w:i/>
        </w:rPr>
        <w:t xml:space="preserve">Cooper v. Roberts</w:t>
      </w:r>
      <w:r>
        <w:t xml:space="preserve"> </w:t>
      </w:r>
      <w:r>
        <w:t xml:space="preserve">in 1855: the school-land grants create real trusts, imposing</w:t>
      </w:r>
      <w:r>
        <w:t xml:space="preserve"> </w:t>
      </w:r>
      <w:r>
        <w:t xml:space="preserve">“</w:t>
      </w:r>
      <w:r>
        <w:t xml:space="preserve">a sacred obligation</w:t>
      </w:r>
      <w:r>
        <w:t xml:space="preserve">”</w:t>
      </w:r>
      <w:r>
        <w:t xml:space="preserve"> </w:t>
      </w:r>
      <w:r>
        <w:t xml:space="preserve">on each state’s public faith. A hundred and thirty-one years later, in</w:t>
      </w:r>
      <w:r>
        <w:t xml:space="preserve"> </w:t>
      </w:r>
      <w:r>
        <w:rPr>
          <w:i/>
        </w:rPr>
        <w:t xml:space="preserve">Papasan v. Allain</w:t>
      </w:r>
      <w:r>
        <w:t xml:space="preserve">, the Court was still describing the same lands the same way: property held in trust for the benefit of the public schools.</w:t>
      </w:r>
    </w:p>
    <w:p>
      <w:pPr>
        <w:pStyle w:val="BodyText"/>
      </w:pPr>
      <w:r>
        <w:t xml:space="preserve">The doctrine has not moved in a century and a half. The land has not moved. The states moved. That is the story of Part I.</w:t>
      </w:r>
    </w:p>
    <w:p>
      <w:pPr>
        <w:pStyle w:val="Heading2"/>
      </w:pPr>
      <w:bookmarkStart w:id="29" w:name="a-promise-to-people-who-cannot-collect"/>
      <w:r>
        <w:t xml:space="preserve">A promise to people who cannot collect</w:t>
      </w:r>
      <w:bookmarkEnd w:id="29"/>
    </w:p>
    <w:p>
      <w:pPr>
        <w:pStyle w:val="FirstParagraph"/>
      </w:pPr>
      <w:r>
        <w:t xml:space="preserve">Now look at the strangest feature of the design — the one that makes the school trust worth a book in an age of artificial intelligence and perpetual funds.</w:t>
      </w:r>
    </w:p>
    <w:p>
      <w:pPr>
        <w:pStyle w:val="BodyText"/>
      </w:pPr>
      <w:r>
        <w:t xml:space="preserve">The founders did not believe in disinterested generosity as a political force. John Adams wrote in 1776 that power always follows property, as surely as action equals reaction in mechanics. The men who wrote the school promise were, most of them, large holders of land, and they understood land as the medium of political existence. By their own theory, they knew exactly what they were doing in 1785: they were giving a share of the country’s most secure asset to a class of people who would never hold power over it. Children cannot vote. Children cannot lobby. Children cannot sue. And the children of 2026, and 2126 — the ones the word</w:t>
      </w:r>
      <w:r>
        <w:t xml:space="preserve"> </w:t>
      </w:r>
      <w:r>
        <w:rPr>
          <w:i/>
        </w:rPr>
        <w:t xml:space="preserve">forever</w:t>
      </w:r>
      <w:r>
        <w:t xml:space="preserve"> </w:t>
      </w:r>
      <w:r>
        <w:t xml:space="preserve">was for — could not even be seen from where the framers stood.</w:t>
      </w:r>
    </w:p>
    <w:p>
      <w:pPr>
        <w:pStyle w:val="BodyText"/>
      </w:pPr>
      <w:r>
        <w:t xml:space="preserve">How do you keep a promise to people who cannot collect on it?</w:t>
      </w:r>
    </w:p>
    <w:p>
      <w:pPr>
        <w:pStyle w:val="BodyText"/>
      </w:pPr>
      <w:r>
        <w:t xml:space="preserve">The eighteenth century had exactly one legal instrument built for that job: the trust. English courts of equity had spent two centuries hardening it for precisely this situation — property held by one party for the benefit of another who is absent, young, scattered, or not yet born. A trustee who diverts the property breaches the trust on the face of the diversion; there is no political-judgment excuse. And for a charitable trust, uniquely, no individual beneficiary needed to stand in court: the state’s attorney general would appear on the public’s behalf. The schoolchildren of a township not yet settled cannot sue. The attorney general can sue for them.</w:t>
      </w:r>
    </w:p>
    <w:p>
      <w:pPr>
        <w:pStyle w:val="BodyText"/>
      </w:pPr>
      <w:r>
        <w:t xml:space="preserve">So the framers reached for the most rigid device known to their law and locked the promise inside it. It was a remarkable piece of engineering for its century. It also carried, from its first day, a structural bet: that someone — an attorney general, a court, an officer under oath — would actually show up to enforce it, in 1885, in 1925, in 1985, in 2025, generation after generation, on behalf of beneficiaries who could never show up for themselves.</w:t>
      </w:r>
    </w:p>
    <w:p>
      <w:pPr>
        <w:pStyle w:val="BodyText"/>
      </w:pPr>
      <w:r>
        <w:t xml:space="preserve">Whether that bet paid is the subject of the next six chapters. The short answer is: rarely, late, and only where ordinary people forced the issue.</w:t>
      </w:r>
    </w:p>
    <w:p>
      <w:pPr>
        <w:pStyle w:val="Heading2"/>
      </w:pPr>
      <w:bookmarkStart w:id="30" w:name="the-charge-that-travels-with-the-gift"/>
      <w:r>
        <w:t xml:space="preserve">The charge that travels with the gift</w:t>
      </w:r>
      <w:bookmarkEnd w:id="30"/>
    </w:p>
    <w:p>
      <w:pPr>
        <w:pStyle w:val="FirstParagraph"/>
      </w:pPr>
      <w:r>
        <w:t xml:space="preserve">One objection deserves an answer before we go on, because it is the objection every raider of the trust has reached for since. What right does 1785 have to bind 2026? Thomas Jefferson himself raised it, writing to James Madison from Paris in 1789:</w:t>
      </w:r>
      <w:r>
        <w:t xml:space="preserve"> </w:t>
      </w:r>
      <w:r>
        <w:t xml:space="preserve">“</w:t>
      </w:r>
      <w:r>
        <w:t xml:space="preserve">the earth belongs in usufruct to the living,</w:t>
      </w:r>
      <w:r>
        <w:t xml:space="preserve">”</w:t>
      </w:r>
      <w:r>
        <w:t xml:space="preserve"> </w:t>
      </w:r>
      <w:r>
        <w:t xml:space="preserve">he argued — each generation inherits the world fresh, and the dead have no power over it. Read literally, Jefferson’s principle would dissolve the school trust at the border of every generation.</w:t>
      </w:r>
    </w:p>
    <w:p>
      <w:pPr>
        <w:pStyle w:val="BodyText"/>
      </w:pPr>
      <w:r>
        <w:t xml:space="preserve">Madison’s reply, drafted carefully over a winter, is the answer the whole structure rests on. The living, he pointed out, do not actually inherit the earth in its natural state. They inherit the</w:t>
      </w:r>
      <w:r>
        <w:t xml:space="preserve"> </w:t>
      </w:r>
      <w:r>
        <w:rPr>
          <w:i/>
        </w:rPr>
        <w:t xml:space="preserve">improvements</w:t>
      </w:r>
      <w:r>
        <w:t xml:space="preserve"> </w:t>
      </w:r>
      <w:r>
        <w:t xml:space="preserve">the dead have made — the surveys, the roads, the towns, the institutions — and</w:t>
      </w:r>
      <w:r>
        <w:t xml:space="preserve"> </w:t>
      </w:r>
      <w:r>
        <w:t xml:space="preserve">“</w:t>
      </w:r>
      <w:r>
        <w:t xml:space="preserve">the improvements made by the dead form a charge against the living who take the benefit of them.</w:t>
      </w:r>
      <w:r>
        <w:t xml:space="preserve">”</w:t>
      </w:r>
      <w:r>
        <w:t xml:space="preserve"> </w:t>
      </w:r>
      <w:r>
        <w:t xml:space="preserve">You may decline the inheritance. You may not take the inheritance and refuse the charge that came with it.</w:t>
      </w:r>
    </w:p>
    <w:p>
      <w:pPr>
        <w:pStyle w:val="BodyText"/>
      </w:pPr>
      <w:r>
        <w:t xml:space="preserve">The school trust is the cleanest application of Madison’s logic ever written into American ground. Every generation since 1785 has taken up the survey, the secured titles, the settled townships — and the square mile in each one that was never theirs to spend. Edmund Burke, writing in the same months as Madison, put the same idea in moral language: society is a partnership</w:t>
      </w:r>
      <w:r>
        <w:t xml:space="preserve"> </w:t>
      </w:r>
      <w:r>
        <w:t xml:space="preserve">“</w:t>
      </w:r>
      <w:r>
        <w:t xml:space="preserve">between those who are living, those who are dead, and those who are to be born.</w:t>
      </w:r>
      <w:r>
        <w:t xml:space="preserve">”</w:t>
      </w:r>
      <w:r>
        <w:t xml:space="preserve"> </w:t>
      </w:r>
      <w:r>
        <w:t xml:space="preserve">The school sections are that partnership, recorded on a plat map.</w:t>
      </w:r>
    </w:p>
    <w:p>
      <w:pPr>
        <w:pStyle w:val="Heading2"/>
      </w:pPr>
      <w:bookmarkStart w:id="31" w:name="the-experiment-returns-its-results"/>
      <w:r>
        <w:t xml:space="preserve">The experiment returns its results</w:t>
      </w:r>
      <w:bookmarkEnd w:id="31"/>
    </w:p>
    <w:p>
      <w:pPr>
        <w:pStyle w:val="FirstParagraph"/>
      </w:pPr>
      <w:r>
        <w:t xml:space="preserve">Nobody designed the school trust as an experiment. But that is what it became: the same promise, administered under every condition American politics could supply, for two hundred and forty years. It is older than the Constitution. It outlasted every government in Europe that existed when it was made. And because states differed — in their admission-act language, their constitutions, their economies, their watchfulness — the record reads like a controlled trial of how forever promises live and die.</w:t>
      </w:r>
    </w:p>
    <w:p>
      <w:pPr>
        <w:pStyle w:val="BodyText"/>
      </w:pPr>
      <w:r>
        <w:t xml:space="preserve">The results came in early. By 1907, Oregon’s own governor told his legislature that, but for the policies the state had adopted toward its school lands, the school fund</w:t>
      </w:r>
      <w:r>
        <w:t xml:space="preserve"> </w:t>
      </w:r>
      <w:r>
        <w:t xml:space="preserve">“</w:t>
      </w:r>
      <w:r>
        <w:t xml:space="preserve">might have been five or six times as large as it is at present.</w:t>
      </w:r>
      <w:r>
        <w:t xml:space="preserve">”</w:t>
      </w:r>
      <w:r>
        <w:t xml:space="preserve"> </w:t>
      </w:r>
      <w:r>
        <w:t xml:space="preserve">Sit with that sentence. Fifty years into a forever promise, the trustee’s chief executive measured the loss at four-fifths of the corpus — and the measurement changed almost nothing, because no machinery existed to act on it.</w:t>
      </w:r>
    </w:p>
    <w:p>
      <w:pPr>
        <w:pStyle w:val="BodyText"/>
      </w:pPr>
      <w:r>
        <w:t xml:space="preserve">That is the pattern this book exists to break. Not the loss — the</w:t>
      </w:r>
      <w:r>
        <w:t xml:space="preserve"> </w:t>
      </w:r>
      <w:r>
        <w:rPr>
          <w:i/>
        </w:rPr>
        <w:t xml:space="preserve">helplessness in the face of the measured loss</w:t>
      </w:r>
      <w:r>
        <w:t xml:space="preserve">. The next six chapters walk the six failures one at a time, each through a real episode: the courthouse door that would not open; the duties no one wrote down; the lawyer on both sides; the trust that never sent a statement; the victories that came with no remedy attached; the trustees no one ever taught. Each failure is structural. Each repeats across states and centuries. And each one — this is the point of the whole exercise — can be fixed with ordinary statutory language, already drafted, which Part III lays out in plain English.</w:t>
      </w:r>
    </w:p>
    <w:p>
      <w:pPr>
        <w:pStyle w:val="BodyText"/>
      </w:pPr>
      <w:r>
        <w:t xml:space="preserve">The promise was good. The architecture was incomplete. The evidence of exactly</w:t>
      </w:r>
      <w:r>
        <w:t xml:space="preserve"> </w:t>
      </w:r>
      <w:r>
        <w:rPr>
          <w:i/>
        </w:rPr>
        <w:t xml:space="preserve">where</w:t>
      </w:r>
      <w:r>
        <w:t xml:space="preserve"> </w:t>
      </w:r>
      <w:r>
        <w:t xml:space="preserve">it was incomplete is the most valuable thing two hundred and forty years can hand us — if we read it.</w:t>
      </w:r>
    </w:p>
    <w:p>
      <w:r>
        <w:pict>
          <v:rect style="width:0;height:1.5pt" o:hralign="center" o:hrstd="t" o:hr="t"/>
        </w:pict>
      </w:r>
    </w:p>
    <w:p>
      <w:pPr>
        <w:pStyle w:val="FirstParagraph"/>
      </w:pPr>
      <w:r>
        <w:rPr>
          <w:i/>
        </w:rPr>
        <w:t xml:space="preserve">Sources for this chapter: Land Ordinance of May 20, 1785, and Northwest Ordinance of July 13, 1787, Article III (Journals of the Continental Congress; Avalon Project transcriptions); Ohio Enabling Act of 1802 and implementing act of March 3, 1803 (</w:t>
      </w:r>
      <w:r>
        <w:rPr>
          <w:i/>
        </w:rPr>
        <w:t xml:space="preserve">“</w:t>
      </w:r>
      <w:r>
        <w:rPr>
          <w:i/>
        </w:rPr>
        <w:t xml:space="preserve">in trust … and for no other use, intent or purpose whatever</w:t>
      </w:r>
      <w:r>
        <w:rPr>
          <w:i/>
        </w:rPr>
        <w:t xml:space="preserve">”</w:t>
      </w:r>
      <w:r>
        <w:rPr>
          <w:i/>
        </w:rPr>
        <w:t xml:space="preserve">);</w:t>
      </w:r>
      <w:r>
        <w:t xml:space="preserve"> </w:t>
      </w:r>
      <w:r>
        <w:t xml:space="preserve">Cooper v. Roberts,</w:t>
      </w:r>
      <w:r>
        <w:t xml:space="preserve"> </w:t>
      </w:r>
      <w:r>
        <w:rPr>
          <w:i/>
        </w:rPr>
        <w:t xml:space="preserve">59 U.S. (18 How.) 173 (1855) (citation verified against L0);</w:t>
      </w:r>
      <w:r>
        <w:t xml:space="preserve"> </w:t>
      </w:r>
      <w:r>
        <w:t xml:space="preserve">Papasan v. Allain,</w:t>
      </w:r>
      <w:r>
        <w:t xml:space="preserve"> </w:t>
      </w:r>
      <w:r>
        <w:rPr>
          <w:i/>
        </w:rPr>
        <w:t xml:space="preserve">478 U.S. 265 (1986) (citation verified against L0; cited here only for the founding-trust framing, not as a standing authority); John Adams to James Sullivan, May 26, 1776; Thomas Jefferson to James Madison, September 6, 1789, and Madison’s reply of February 4, 1790 (Founders Online); Edmund Burke,</w:t>
      </w:r>
      <w:r>
        <w:t xml:space="preserve"> </w:t>
      </w:r>
      <w:r>
        <w:t xml:space="preserve">Reflections on the Revolution in France</w:t>
      </w:r>
      <w:r>
        <w:t xml:space="preserve"> </w:t>
      </w:r>
      <w:r>
        <w:rPr>
          <w:i/>
        </w:rPr>
        <w:t xml:space="preserve">(1790); Governor George Chamberlain, message to the Oregon Legislature, 1907. Fuller treatment of the founding record appears in the companion volume,</w:t>
      </w:r>
    </w:p>
    <w:p>
      <w:r>
        <w:br w:type="page"/>
      </w:r>
    </w:p>
    <w:p>
      <w:pPr>
        <w:pStyle w:val="Heading1"/>
      </w:pPr>
      <w:bookmarkStart w:id="32" w:name="chapter-2-the-locked-courthouse-door"/>
      <w:r>
        <w:t xml:space="preserve">Chapter 2 — The Locked Courthouse Door</w:t>
      </w:r>
      <w:bookmarkEnd w:id="32"/>
    </w:p>
    <w:p>
      <w:pPr>
        <w:pStyle w:val="FirstParagraph"/>
      </w:pPr>
      <w:r>
        <w:t xml:space="preserve">[DRAFT v2.0 — AI first pass; awaiting Dave’s voice pass]</w:t>
      </w:r>
    </w:p>
    <w:p>
      <w:pPr>
        <w:pStyle w:val="BodyText"/>
      </w:pPr>
      <w:r>
        <w:rPr>
          <w:i/>
        </w:rPr>
        <w:t xml:space="preserve">[Litigation note: every passage in this chapter describing the live Oregon case is drawn from public filings and rulings only, is gated on counsel review before any external circulation, and makes no prediction about outcomes. All case-specific dates and characterizations carry verification flags until checked against the opinions themselves.]</w:t>
      </w:r>
    </w:p>
    <w:p>
      <w:r>
        <w:pict>
          <v:rect style="width:0;height:1.5pt" o:hralign="center" o:hrstd="t" o:hr="t"/>
        </w:pict>
      </w:r>
    </w:p>
    <w:p>
      <w:pPr>
        <w:pStyle w:val="FirstParagraph"/>
      </w:pPr>
      <w:r>
        <w:t xml:space="preserve">In late January 2026, the Oregon Court of Appeals decided a question that had consumed years of litigation over the state’s school trust. The question was not whether Oregon had mismanaged the trust. The court did not reach that. The question was whether anyone in the courtroom was allowed to ask.</w:t>
      </w:r>
    </w:p>
    <w:p>
      <w:pPr>
        <w:pStyle w:val="BodyText"/>
      </w:pPr>
      <w:r>
        <w:t xml:space="preserve">Think about what that means. A promise made in 1859, when Oregon entered the Union — school lands held in trust for the schoolchildren, in a fund the state constitution calls</w:t>
      </w:r>
      <w:r>
        <w:t xml:space="preserve"> </w:t>
      </w:r>
      <w:r>
        <w:t xml:space="preserve">“</w:t>
      </w:r>
      <w:r>
        <w:t xml:space="preserve">irreducible</w:t>
      </w:r>
      <w:r>
        <w:t xml:space="preserve">”</w:t>
      </w:r>
      <w:r>
        <w:t xml:space="preserve"> </w:t>
      </w:r>
      <w:r>
        <w:t xml:space="preserve">— had come under enough strain that beneficiaries finally went to court about it. And the threshold fight, the fight that had to be won before a single document about the trust’s management could be examined on the merits, was over whether the people the trust exists for have any right to be in the room.</w:t>
      </w:r>
    </w:p>
    <w:p>
      <w:pPr>
        <w:pStyle w:val="BodyText"/>
      </w:pPr>
      <w:r>
        <w:t xml:space="preserve">An Oregon appellate court has now said yes. On January 28, 2026, in a case brought by the trust’s advocates, the Court of Appeals held that the schoolchildren beneficiaries have standing to challenge how the state manages the common school lands, and it sent the case back to the trial court to proceed. It was a genuine victory, and this book will treat it as one — with one caveat the honest reader is owed: the state has asked the Oregon Supreme Court to review that ruling, and as this book goes to press that petition is pending, so the question is not yet finally settled. But hold the celebration long enough to notice what the victory was, even if it stands: after a century and two-thirds, the schoolchildren of Oregon won the right to knock on the door. What happened inside the house — whether the trust was honored — is the subject of a separate, still-unresolved case heading toward trial in Coos County in 2026.</w:t>
      </w:r>
    </w:p>
    <w:p>
      <w:pPr>
        <w:pStyle w:val="BodyText"/>
      </w:pPr>
      <w:r>
        <w:t xml:space="preserve">This chapter is about the door. Of the six structural failures this book catalogs, the locked courthouse door comes first, because it is the failure that protects all the others. Duties that are never examined are never enforced. Accounts that are never demanded are never rendered. The door is where the silence starts.</w:t>
      </w:r>
    </w:p>
    <w:p>
      <w:pPr>
        <w:pStyle w:val="Heading2"/>
      </w:pPr>
      <w:bookmarkStart w:id="33" w:name="X28395d0dc68a6d432acf0d08689717664e532bd"/>
      <w:r>
        <w:t xml:space="preserve">A doctrine doing a job it was never given</w:t>
      </w:r>
      <w:bookmarkEnd w:id="33"/>
    </w:p>
    <w:p>
      <w:pPr>
        <w:pStyle w:val="FirstParagraph"/>
      </w:pPr>
      <w:r>
        <w:t xml:space="preserve">Lawyers call the doctrine</w:t>
      </w:r>
      <w:r>
        <w:t xml:space="preserve"> </w:t>
      </w:r>
      <w:r>
        <w:rPr>
          <w:i/>
        </w:rPr>
        <w:t xml:space="preserve">standing</w:t>
      </w:r>
      <w:r>
        <w:t xml:space="preserve">, and in fairness, it exists for respectable reasons. Courts decide disputes; they do not run the government by petition. Before a court will hear you, you must show the matter injures</w:t>
      </w:r>
      <w:r>
        <w:t xml:space="preserve"> </w:t>
      </w:r>
      <w:r>
        <w:rPr>
          <w:i/>
        </w:rPr>
        <w:t xml:space="preserve">you</w:t>
      </w:r>
      <w:r>
        <w:t xml:space="preserve"> </w:t>
      </w:r>
      <w:r>
        <w:t xml:space="preserve">— not the world in general, not your sense of civic order, you. Standing is the rule that keeps the courthouse from becoming a complaint window for everyone angry about anything.</w:t>
      </w:r>
    </w:p>
    <w:p>
      <w:pPr>
        <w:pStyle w:val="BodyText"/>
      </w:pPr>
      <w:r>
        <w:t xml:space="preserve">Applied to an ordinary lawsuit, the rule works fine. The person hit by the truck sues the trucking company. Applied to a perpetual public trust, the rule becomes something else entirely. Run the logic.</w:t>
      </w:r>
    </w:p>
    <w:p>
      <w:pPr>
        <w:pStyle w:val="BodyText"/>
      </w:pPr>
      <w:r>
        <w:t xml:space="preserve">The beneficiaries of the school trust are children. Children cannot vote, cannot lobby, and cannot — as a practical matter — hire counsel and sue their state. A large share of the beneficiaries are not children yet; the trust runs forever, so most of the people it belongs to have not been born. They are, by definition, the class least able to appear in any courtroom in any generation.</w:t>
      </w:r>
    </w:p>
    <w:p>
      <w:pPr>
        <w:pStyle w:val="BodyText"/>
      </w:pPr>
      <w:r>
        <w:t xml:space="preserve">The founders knew this, as Chapter 1 told. Their solution was the attorney general: for a charitable trust, the state’s chief lawyer stands in for the beneficiaries who cannot stand for themselves. But the attorney general of a state is also the lawyer for the trustee being complained about — a structural twist so consequential it gets its own chapter, two chapters from now. When the enforcer-of-record sits at the defendant’s table, the beneficiaries’ designated voice in court is silent. And when anyone else — a parent, a school district, an advocacy group — tries to speak instead, the state’s first answer is the doctrine:</w:t>
      </w:r>
      <w:r>
        <w:t xml:space="preserve"> </w:t>
      </w:r>
      <w:r>
        <w:rPr>
          <w:i/>
        </w:rPr>
        <w:t xml:space="preserve">you are not the proper party. You have no standing. The door is closed.</w:t>
      </w:r>
    </w:p>
    <w:p>
      <w:pPr>
        <w:pStyle w:val="BodyText"/>
      </w:pPr>
      <w:r>
        <w:t xml:space="preserve">Notice the shape of the trap. It is not that no one is injured — the injury is to everyone, spread across generations, which courts have historically treated as an injury to no one in particular. The very features that made the trust necessary — beneficiaries too young, too diffuse, too unborn to defend themselves — are recycled as the reasons no defense will be heard. The trust form was invented to protect the absent. Standing doctrine, applied without adjustment, protects the trustee</w:t>
      </w:r>
      <w:r>
        <w:t xml:space="preserve"> </w:t>
      </w:r>
      <w:r>
        <w:rPr>
          <w:i/>
        </w:rPr>
        <w:t xml:space="preserve">from</w:t>
      </w:r>
      <w:r>
        <w:t xml:space="preserve"> </w:t>
      </w:r>
      <w:r>
        <w:t xml:space="preserve">the absent.</w:t>
      </w:r>
    </w:p>
    <w:p>
      <w:pPr>
        <w:pStyle w:val="Heading2"/>
      </w:pPr>
      <w:bookmarkStart w:id="34" w:name="oregons-long-walk-to-the-door"/>
      <w:r>
        <w:t xml:space="preserve">Oregon’s long walk to the door</w:t>
      </w:r>
      <w:bookmarkEnd w:id="34"/>
    </w:p>
    <w:p>
      <w:pPr>
        <w:pStyle w:val="FirstParagraph"/>
      </w:pPr>
      <w:r>
        <w:t xml:space="preserve">Oregon shows what the trap costs in practice, and it is worth saying plainly that Oregon’s beneficiaries got further than most ever have.</w:t>
      </w:r>
    </w:p>
    <w:p>
      <w:pPr>
        <w:pStyle w:val="BodyText"/>
      </w:pPr>
      <w:r>
        <w:t xml:space="preserve">The constitutional ground was long in place. The education article of Oregon’s constitution — Article VIII, which sets the common school lands and the Common School Fund apart for the schools — has carried that dedication since statehood, through later amendments. The provisions sat largely untested while the controversies accumulated — most visibly around the Elliott State Forest, the trust’s onetime workhorse asset, whose story Chapter 6 tells. [VERIFY any specific amendment relied on against the opinion; the January 2026 ruling turned on Article VIII, sections 2 and 5, and on declaratory-judgment standing — not on a separate later section — so do not attribute the standing win to a 2000 measure.]</w:t>
      </w:r>
    </w:p>
    <w:p>
      <w:pPr>
        <w:pStyle w:val="BodyText"/>
      </w:pPr>
      <w:r>
        <w:t xml:space="preserve">Then an organized beneficiary constituency finally formed: Oregon Advocates for School Trust Lands, a group of parents, educators, and former officials who concluded that after 167 years someone had to assert the trust against its trustee. Litigation followed, in two related cases. The first, filed in 2023 (Coos County Circuit Court No. 23CV39056), was dismissed by the trial court and taken up on appeal as</w:t>
      </w:r>
      <w:r>
        <w:t xml:space="preserve"> </w:t>
      </w:r>
      <w:r>
        <w:rPr>
          <w:i/>
        </w:rPr>
        <w:t xml:space="preserve">Advocates for School Trust Lands v. State</w:t>
      </w:r>
      <w:r>
        <w:t xml:space="preserve">. The second, filed in 2024 and now docketed as</w:t>
      </w:r>
      <w:r>
        <w:t xml:space="preserve"> </w:t>
      </w:r>
      <w:r>
        <w:rPr>
          <w:i/>
        </w:rPr>
        <w:t xml:space="preserve">Siuslaw School District 97J v. State of Oregon</w:t>
      </w:r>
      <w:r>
        <w:t xml:space="preserve">, No. 24CV38372 (OASTL is among the named plaintiffs), is the case that has moved toward a trial on the merits. In both, the state’s response, before any argument about forests or funds or fiduciary duty, ran first through the threshold: these plaintiffs, the state contended, were not entitled to bring the question at all. [Captions verified 2026-06-06 against the filed record; case-related passages gated on counsel review before external use.]</w:t>
      </w:r>
    </w:p>
    <w:p>
      <w:pPr>
        <w:pStyle w:val="BodyText"/>
      </w:pPr>
      <w:r>
        <w:t xml:space="preserve">It took until January 28, 2026 — in the appeal of the 2023 case — for the Court of Appeals to resolve that threshold in the beneficiaries’ favor, holding that the schoolchildren have standing to challenge how the common school lands are managed, and reversing and remanding for the case to go forward. (The state has petitioned the Oregon Supreme Court to review that ruling; the petition is pending as this book goes to press, so the threshold question is not yet finally settled.) Years of motion practice, briefing, and appellate argument — consumed not by the question</w:t>
      </w:r>
      <w:r>
        <w:t xml:space="preserve"> </w:t>
      </w:r>
      <w:r>
        <w:rPr>
          <w:i/>
        </w:rPr>
        <w:t xml:space="preserve">was the trust honored?</w:t>
      </w:r>
      <w:r>
        <w:t xml:space="preserve"> </w:t>
      </w:r>
      <w:r>
        <w:t xml:space="preserve">but by the question</w:t>
      </w:r>
      <w:r>
        <w:t xml:space="preserve"> </w:t>
      </w:r>
      <w:r>
        <w:rPr>
          <w:i/>
        </w:rPr>
        <w:t xml:space="preserve">may we ask?</w:t>
      </w:r>
      <w:r>
        <w:t xml:space="preserve"> </w:t>
      </w:r>
      <w:r>
        <w:t xml:space="preserve">The separate 2024 case has meanwhile moved toward a trial on the merits in Coos County in 2026. This book, completed before that trial, makes no prediction about it and needs none. Whatever a court eventually says about Oregon’s administration of its trust, the threshold years are already in the record, and the threshold years are the point: the door consumed the better part of the beneficiaries’ resources before the house could be entered.</w:t>
      </w:r>
    </w:p>
    <w:p>
      <w:pPr>
        <w:pStyle w:val="BodyText"/>
      </w:pPr>
      <w:r>
        <w:t xml:space="preserve">One more honesty requirement. Oregon’s standing ruling was a catch-up, not a national first. Beneficiaries and their advocates in other trust-land states fought their own versions of this fight across the preceding decades, some winning passage, some turned away for good [VERIFY comparative summary against the fifty-state research before naming states]. Oregon’s door was unusually well documented, not uniquely locked.</w:t>
      </w:r>
    </w:p>
    <w:p>
      <w:pPr>
        <w:pStyle w:val="Heading2"/>
      </w:pPr>
      <w:bookmarkStart w:id="35" w:name="what-a-locked-door-does-over-a-century"/>
      <w:r>
        <w:t xml:space="preserve">What a locked door does over a century</w:t>
      </w:r>
      <w:bookmarkEnd w:id="35"/>
    </w:p>
    <w:p>
      <w:pPr>
        <w:pStyle w:val="FirstParagraph"/>
      </w:pPr>
      <w:r>
        <w:t xml:space="preserve">The deepest damage of the standing trap is invisible, because it is measured in cases never filed.</w:t>
      </w:r>
    </w:p>
    <w:p>
      <w:pPr>
        <w:pStyle w:val="BodyText"/>
      </w:pPr>
      <w:r>
        <w:t xml:space="preserve">A lawsuit that must begin with a multi-year fight over the right to sue is a lawsuit most people cannot bring. Parents have jobs. School boards have budgets and lawyers who counsel caution. Advocacy groups run on volunteers and small donations against a defendant with the state treasury behind it. Every potential plaintiff who looks at the door, prices the lock, and turns away is a case that never happens — and every case that never happens teaches the trustee that no case will. That lesson, absorbed over decades, is worth more to a drifting trustee than any single courtroom victory. The trust can be neglected in plain sight, because sight was never the problem. Enforcement was.</w:t>
      </w:r>
    </w:p>
    <w:p>
      <w:pPr>
        <w:pStyle w:val="BodyText"/>
      </w:pPr>
      <w:r>
        <w:t xml:space="preserve">There is also a quieter cost, paid in the quality of the trustee’s own work. A bank trustee who knows the beneficiaries can haul her into court reads every transaction twice. A public trustee who knows they cannot reads the politics instead. The discipline of being answerable is not a punishment; it is the working environment in which fiduciary judgment stays sharp. Take it away for a hundred years and the institution does not become corrupt — it becomes casual, which over a long enough horizon costs the beneficiaries more.</w:t>
      </w:r>
    </w:p>
    <w:p>
      <w:pPr>
        <w:pStyle w:val="BodyText"/>
      </w:pPr>
      <w:r>
        <w:t xml:space="preserve">This is why the locked door is the first failure and not merely one of six. The other five — unwritten duties, conflicted counsel, missing accounts, toothless remedies, untrained trustees — all persist</w:t>
      </w:r>
      <w:r>
        <w:t xml:space="preserve"> </w:t>
      </w:r>
      <w:r>
        <w:rPr>
          <w:i/>
        </w:rPr>
        <w:t xml:space="preserve">because</w:t>
      </w:r>
      <w:r>
        <w:t xml:space="preserve"> </w:t>
      </w:r>
      <w:r>
        <w:t xml:space="preserve">the forum where they would be examined is so hard to reach. Open the door, and the rest of the structure comes under light. Keep it locked, and nothing else needs to go wrong on purpose. Time does the work.</w:t>
      </w:r>
    </w:p>
    <w:p>
      <w:pPr>
        <w:pStyle w:val="Heading2"/>
      </w:pPr>
      <w:bookmarkStart w:id="36" w:name="the-one-sentence-repair"/>
      <w:r>
        <w:t xml:space="preserve">The one-sentence repair</w:t>
      </w:r>
      <w:bookmarkEnd w:id="36"/>
    </w:p>
    <w:p>
      <w:pPr>
        <w:pStyle w:val="FirstParagraph"/>
      </w:pPr>
      <w:r>
        <w:t xml:space="preserve">Here is the strange comfort in all this: of the six failures, the locked door has the simplest fix on the books of American legislatures. Standing is a creature of law. A statute can say, in a sentence, who may enforce a public trust — and then no one ever litigates the threshold again.</w:t>
      </w:r>
    </w:p>
    <w:p>
      <w:pPr>
        <w:pStyle w:val="BodyText"/>
      </w:pPr>
      <w:r>
        <w:t xml:space="preserve">The model act this book builds toward, in Part III, does exactly that. It names the people the door must open for: beneficiaries; their parents and guardians; the school districts that serve them; organizations formed to represent them. It provides a representative for the beneficiaries who cannot appear in any era — the future ones — so that the largest class the trust serves is no longer the only class without a voice. None of this invents a new right. The right to enforce a trust is as old as trusts. The statute simply stops requiring each generation of beneficiaries to spend years proving, at its own expense, that the promise made to it was a promise at all.</w:t>
      </w:r>
    </w:p>
    <w:p>
      <w:pPr>
        <w:pStyle w:val="BodyText"/>
      </w:pPr>
      <w:r>
        <w:t xml:space="preserve">Oregon’s beneficiaries eventually got through the door. It took organized citizens, volunteer experts, sustained fundraising, appellate counsel, and the better part of [VERIFY span] years — to reach the starting line. The next chapter is about what they found waiting there: a trustee whose duties, though two centuries old and constitutionally anchored, had never been written down where a judge could conveniently read them.</w:t>
      </w:r>
    </w:p>
    <w:p>
      <w:r>
        <w:pict>
          <v:rect style="width:0;height:1.5pt" o:hralign="center" o:hrstd="t" o:hr="t"/>
        </w:pict>
      </w:r>
    </w:p>
    <w:p>
      <w:pPr>
        <w:pStyle w:val="FirstParagraph"/>
      </w:pPr>
      <w:r>
        <w:t xml:space="preserve">*Sources for this chapter: Oregon Constitution, Article VIII (1857, as amende</w:t>
      </w:r>
    </w:p>
    <w:p>
      <w:r>
        <w:br w:type="page"/>
      </w:r>
    </w:p>
    <w:p>
      <w:pPr>
        <w:pStyle w:val="Heading1"/>
      </w:pPr>
      <w:bookmarkStart w:id="37" w:name="X089feed39f03ebf5e7c4d72662048258dc2f7cd"/>
      <w:r>
        <w:t xml:space="preserve">Chapter 3 — Duties Everyone Has but No One Wrote Down</w:t>
      </w:r>
      <w:bookmarkEnd w:id="37"/>
    </w:p>
    <w:p>
      <w:pPr>
        <w:pStyle w:val="FirstParagraph"/>
      </w:pPr>
      <w:r>
        <w:t xml:space="preserve">[DRAFT v2.0 — AI first pass; awaiting Dave’s voice pass]</w:t>
      </w:r>
    </w:p>
    <w:p>
      <w:r>
        <w:pict>
          <v:rect style="width:0;height:1.5pt" o:hralign="center" o:hrstd="t" o:hr="t"/>
        </w:pict>
      </w:r>
    </w:p>
    <w:p>
      <w:pPr>
        <w:pStyle w:val="FirstParagraph"/>
      </w:pPr>
      <w:r>
        <w:t xml:space="preserve">In 1992, the Attorney General of Oregon answered a question about the state’s school lands, in a formal published opinion, in language nobody could mistake. The obligations imposed on the state by the Admission Act lands, it wrote,</w:t>
      </w:r>
      <w:r>
        <w:t xml:space="preserve"> </w:t>
      </w:r>
      <w:r>
        <w:t xml:space="preserve">“</w:t>
      </w:r>
      <w:r>
        <w:t xml:space="preserve">are binding. They cannot be disregarded.</w:t>
      </w:r>
      <w:r>
        <w:t xml:space="preserve">”</w:t>
      </w:r>
      <w:r>
        <w:t xml:space="preserve"> </w:t>
      </w:r>
      <w:r>
        <w:t xml:space="preserve">And, quoting the Oregon Supreme Court, it described</w:t>
      </w:r>
      <w:r>
        <w:t xml:space="preserve"> </w:t>
      </w:r>
      <w:r>
        <w:t xml:space="preserve">“</w:t>
      </w:r>
      <w:r>
        <w:t xml:space="preserve">the school lands granted to the State of Oregon</w:t>
      </w:r>
      <w:r>
        <w:t xml:space="preserve">”</w:t>
      </w:r>
      <w:r>
        <w:t xml:space="preserve"> </w:t>
      </w:r>
      <w:r>
        <w:t xml:space="preserve">as</w:t>
      </w:r>
      <w:r>
        <w:t xml:space="preserve"> </w:t>
      </w:r>
      <w:r>
        <w:t xml:space="preserve">“</w:t>
      </w:r>
      <w:r>
        <w:t xml:space="preserve">a trust for the benefit of public education.</w:t>
      </w:r>
      <w:r>
        <w:t xml:space="preserve">”</w:t>
      </w:r>
      <w:r>
        <w:t xml:space="preserve"> </w:t>
      </w:r>
      <w:r>
        <w:t xml:space="preserve">(Opinion OP 8223, July 24, 1992, verified against the L0 text; the</w:t>
      </w:r>
      <w:r>
        <w:t xml:space="preserve"> </w:t>
      </w:r>
      <w:r>
        <w:t xml:space="preserve">“</w:t>
      </w:r>
      <w:r>
        <w:t xml:space="preserve">trust for the benefit</w:t>
      </w:r>
      <w:r>
        <w:t xml:space="preserve">”</w:t>
      </w:r>
      <w:r>
        <w:t xml:space="preserve"> </w:t>
      </w:r>
      <w:r>
        <w:t xml:space="preserve">phrase the opinion quotes from Grand Prize Hydraulic Mines v. Boswell, 83 Or 1, 6 (1917).) In 2003, the same office reaffirmed the trust framework (OP 8279, May 9, 2003).</w:t>
      </w:r>
    </w:p>
    <w:p>
      <w:pPr>
        <w:pStyle w:val="BodyText"/>
      </w:pPr>
      <w:r>
        <w:t xml:space="preserve">Two decades later, the State of Oregon stood in court against the trust’s own beneficiaries, defending its land board’s administration of those same lands. [VERIFY characterization of the State’s litigation position against the actual briefing before any external use; case passages gated on counsel review.] Whatever else the lawyers argued — and this chapter is not about the merits of any live case — the scene itself poses the question this chapter answers. How can a duty be declared</w:t>
      </w:r>
      <w:r>
        <w:t xml:space="preserve"> </w:t>
      </w:r>
      <w:r>
        <w:t xml:space="preserve">“</w:t>
      </w:r>
      <w:r>
        <w:t xml:space="preserve">binding</w:t>
      </w:r>
      <w:r>
        <w:t xml:space="preserve">”</w:t>
      </w:r>
      <w:r>
        <w:t xml:space="preserve"> </w:t>
      </w:r>
      <w:r>
        <w:t xml:space="preserve">by the state’s own chief lawyer in one generation and be up for grabs in the next?</w:t>
      </w:r>
    </w:p>
    <w:p>
      <w:pPr>
        <w:pStyle w:val="BodyText"/>
      </w:pPr>
      <w:r>
        <w:t xml:space="preserve">The answer is one of the strangest facts in American law, and once you see it you cannot unsee it: the duties of the trustees of America’s school trusts — duties two centuries old, constitutionally anchored, repeatedly confirmed by the United States Supreme Court — are, in most states, written down nowhere in the statute books. They exist. They bind. And a judge who goes looking for them in the place judges look first will find a hole where the law should be.</w:t>
      </w:r>
    </w:p>
    <w:p>
      <w:pPr>
        <w:pStyle w:val="Heading2"/>
      </w:pPr>
      <w:bookmarkStart w:id="38" w:name="where-the-duties-actually-live"/>
      <w:r>
        <w:t xml:space="preserve">Where the duties actually live</w:t>
      </w:r>
      <w:bookmarkEnd w:id="38"/>
    </w:p>
    <w:p>
      <w:pPr>
        <w:pStyle w:val="FirstParagraph"/>
      </w:pPr>
      <w:r>
        <w:t xml:space="preserve">Start with what is not in doubt. The trustee’s duties are real, and they come from three sources stacked on top of each other.</w:t>
      </w:r>
    </w:p>
    <w:p>
      <w:pPr>
        <w:pStyle w:val="BodyText"/>
      </w:pPr>
      <w:r>
        <w:t xml:space="preserve">First, the granting instruments. When Congress gave each new state its school sections, the grants came with conditions — Ohio’s 1803 formula,</w:t>
      </w:r>
      <w:r>
        <w:t xml:space="preserve"> </w:t>
      </w:r>
      <w:r>
        <w:t xml:space="preserve">“</w:t>
      </w:r>
      <w:r>
        <w:t xml:space="preserve">in trust … and for no other use, intent or purpose whatever,</w:t>
      </w:r>
      <w:r>
        <w:t xml:space="preserve">”</w:t>
      </w:r>
      <w:r>
        <w:t xml:space="preserve"> </w:t>
      </w:r>
      <w:r>
        <w:t xml:space="preserve">repeated and strengthened in act after act for a century. A grant on conditions binds the grantee who accepts it. Every state accepted.</w:t>
      </w:r>
    </w:p>
    <w:p>
      <w:pPr>
        <w:pStyle w:val="BodyText"/>
      </w:pPr>
      <w:r>
        <w:t xml:space="preserve">Second, the state constitutions. Oregon’s 1857 constitution sets the proceeds of the school lands apart as a</w:t>
      </w:r>
      <w:r>
        <w:t xml:space="preserve"> </w:t>
      </w:r>
      <w:r>
        <w:t xml:space="preserve">“</w:t>
      </w:r>
      <w:r>
        <w:t xml:space="preserve">separate, and irreducible fund</w:t>
      </w:r>
      <w:r>
        <w:t xml:space="preserve">”</w:t>
      </w:r>
      <w:r>
        <w:t xml:space="preserve"> </w:t>
      </w:r>
      <w:r>
        <w:t xml:space="preserve">(Article VIII, section 2, as originally enacted, verified against the text quoted in the 1992 Attorney General opinion); other trust-land states carry parallel language, some of it far more muscular. These are not decorations. They are the supreme law of each state, adopted by its own people.</w:t>
      </w:r>
    </w:p>
    <w:p>
      <w:pPr>
        <w:pStyle w:val="BodyText"/>
      </w:pPr>
      <w:r>
        <w:t xml:space="preserve">Third, the common law of trusts — the oldest and richest of the three. For centuries, courts of equity have known exactly what a trustee owes: loyalty to the beneficiaries alone; prudence in managing the assets; impartiality between beneficiaries present and future; full value when anything is sold; and an accounting, so the beneficiaries can see what is theirs. None of this is exotic. It is the ordinary law that governs every bank trust department in the country, every executor of a modest estate, every guardian of an orphan’s inheritance.</w:t>
      </w:r>
      <w:r>
        <w:t xml:space="preserve"> </w:t>
      </w:r>
      <w:r>
        <w:rPr>
          <w:i/>
        </w:rPr>
        <w:t xml:space="preserve">Fiduciary</w:t>
      </w:r>
      <w:r>
        <w:t xml:space="preserve"> </w:t>
      </w:r>
      <w:r>
        <w:t xml:space="preserve">is a grand word with a plain meaning: you hold it; it is not yours.</w:t>
      </w:r>
    </w:p>
    <w:p>
      <w:pPr>
        <w:pStyle w:val="BodyText"/>
      </w:pPr>
      <w:r>
        <w:t xml:space="preserve">The courts that have looked at the school lands have said all this without hedging. The U.S. Supreme Court called the grants</w:t>
      </w:r>
      <w:r>
        <w:t xml:space="preserve"> </w:t>
      </w:r>
      <w:r>
        <w:t xml:space="preserve">“</w:t>
      </w:r>
      <w:r>
        <w:t xml:space="preserve">a sacred obligation</w:t>
      </w:r>
      <w:r>
        <w:t xml:space="preserve">”</w:t>
      </w:r>
      <w:r>
        <w:t xml:space="preserve"> </w:t>
      </w:r>
      <w:r>
        <w:t xml:space="preserve">on state public faith in 1855. Oregon’s own Supreme Court called the Common School Fund</w:t>
      </w:r>
      <w:r>
        <w:t xml:space="preserve"> </w:t>
      </w:r>
      <w:r>
        <w:t xml:space="preserve">“</w:t>
      </w:r>
      <w:r>
        <w:t xml:space="preserve">a trust of the highest nature</w:t>
      </w:r>
      <w:r>
        <w:t xml:space="preserve">”</w:t>
      </w:r>
      <w:r>
        <w:t xml:space="preserve"> </w:t>
      </w:r>
      <w:r>
        <w:t xml:space="preserve">in 1931. The doctrine, as Chapter 1 said, has not moved.</w:t>
      </w:r>
    </w:p>
    <w:p>
      <w:pPr>
        <w:pStyle w:val="BodyText"/>
      </w:pPr>
      <w:r>
        <w:t xml:space="preserve">So the duties exist. Here is what does not exist.</w:t>
      </w:r>
    </w:p>
    <w:p>
      <w:pPr>
        <w:pStyle w:val="Heading2"/>
      </w:pPr>
      <w:bookmarkStart w:id="39" w:name="the-carve-out"/>
      <w:r>
        <w:t xml:space="preserve">The carve-out</w:t>
      </w:r>
      <w:bookmarkEnd w:id="39"/>
    </w:p>
    <w:p>
      <w:pPr>
        <w:pStyle w:val="FirstParagraph"/>
      </w:pPr>
      <w:r>
        <w:t xml:space="preserve">In the early 2000s, states across the country modernized their trust law by adopting versions of the Uniform Trust Code — a comprehensive, carefully drafted statute that spells out, section by section, what trustees owe and what beneficiaries can do about it. Duties of loyalty and prudence, stated in black letter. Mandatory reports to beneficiaries. Remedies for breach, with the procedures attached. It is a good law. If you have a family trust, it protects you right now.</w:t>
      </w:r>
    </w:p>
    <w:p>
      <w:pPr>
        <w:pStyle w:val="BodyText"/>
      </w:pPr>
      <w:r>
        <w:t xml:space="preserve">Then look at the scope section, the part that says what the statute covers. Oregon’s trust code, like most, applies to private, charitable, express trusts — and not to the trusts in which the state itself is trustee [VERIFY: ORS chapter 130 scope provisions and the corresponding exclusion; also the parallel carve-out in Oregon’s institutional-funds statute — confirm citations before printing]. The public trust — the largest trust in the state, with the most beneficiaries and the longest horizon — is carved out of the very statute that defines what trustees owe.</w:t>
      </w:r>
    </w:p>
    <w:p>
      <w:pPr>
        <w:pStyle w:val="BodyText"/>
      </w:pPr>
      <w:r>
        <w:t xml:space="preserve">Sit with the resulting arrangement, because it is almost too strange to believe at first reading. A bank trustee managing fifty thousand dollars for one family is governed by a detailed statutory code: enumerated duties, required statements, defined remedies, deadlines. A state land board managing hundreds of thousands of acres and a permanent fund measured in the hundreds of millions, for every schoolchild alive and every schoolchild to come, is governed by — what, exactly? A condition in an 1859 grant. A clause in a constitution. A body of common-law doctrine scattered across two centuries of court reports. All real. None of it gathered in any one place a legislator, a board member, or a trial judge can open to a page and read.</w:t>
      </w:r>
    </w:p>
    <w:p>
      <w:pPr>
        <w:pStyle w:val="BodyText"/>
      </w:pPr>
      <w:r>
        <w:t xml:space="preserve">The carve-out was not a conspiracy. The drafters of the uniform codes were solving private-law problems and left public bodies out as somebody else’s department. But nobody was the somebody else. And so the rule that emerged, state by state, without anyone ever voting for it as a policy: the bigger the trust and the more voiceless its beneficiaries, the thinner the written law that protects them.</w:t>
      </w:r>
    </w:p>
    <w:p>
      <w:pPr>
        <w:pStyle w:val="Heading2"/>
      </w:pPr>
      <w:bookmarkStart w:id="40" w:name="what-an-unwritten-duty-costs"/>
      <w:r>
        <w:t xml:space="preserve">What an unwritten duty costs</w:t>
      </w:r>
      <w:bookmarkEnd w:id="40"/>
    </w:p>
    <w:p>
      <w:pPr>
        <w:pStyle w:val="FirstParagraph"/>
      </w:pPr>
      <w:r>
        <w:t xml:space="preserve">Why does it matter where a duty is written, if the duty is real either way? Three reasons, and together they explain most of Part I.</w:t>
      </w:r>
    </w:p>
    <w:p>
      <w:pPr>
        <w:pStyle w:val="BodyText"/>
      </w:pPr>
      <w:r>
        <w:t xml:space="preserve">First, every enforcement effort starts from scratch. When duties live only in old grants, constitutional fragments, and case law, the first hundred pages of every brief must prove the duties exist before anyone argues whether they were honored. That is an archaeology project, and it must be repeated in every case, in every generation, at the beneficiaries’ expense. The state, meanwhile, is free to argue — and states have argued — that no judicially enforceable duty exists at all: that the board’s choices are policy, not stewardship, and policy is for elections, not courts. The argument does not have to win to do its work. It has to consume time, and it always does.</w:t>
      </w:r>
    </w:p>
    <w:p>
      <w:pPr>
        <w:pStyle w:val="BodyText"/>
      </w:pPr>
      <w:r>
        <w:t xml:space="preserve">Second, an unwritten duty cannot hold an institution still. This is the answer to the puzzle that opened this chapter. The Oregon attorney general’s office concluded in 1977 (Opinion No. 7450, May 17, 1977) that income-producing school land could not be designated a natural-area preserve where that would adversely affect the fund; in 1992 and 2003 (Opinions OP 8223 and OP 8279) it called the trust obligations binding; in the 2020s it defends the board’s contrary course [VERIFY the litigation characterization against the briefing; the 1977, 1992, and 2003 opinions are verified against the L0 texts; case passages gated on counsel review]. No statute changed in between. That is precisely the problem. When the only authoritative statements of a duty are opinions and precedents, the duty’s practical content shifts with whoever currently holds the pen. A statute can be amended only in public, by a vote, with fingerprints. An interpretation can drift in silence.</w:t>
      </w:r>
    </w:p>
    <w:p>
      <w:pPr>
        <w:pStyle w:val="BodyText"/>
      </w:pPr>
      <w:r>
        <w:t xml:space="preserve">Third — and this is the finding the whole record keeps returning to — a duty that cannot be conveniently enforced is, in practice, discounted. Not denied; discounted. Each official along the chain weighs the binding-but-unwritten obligation against the visible, datable pressures of the budget year, and the unwritten one loses a little every time. Two hundred and forty years of those small losses is what Chapter 1’s governor was measuring in 1907.</w:t>
      </w:r>
    </w:p>
    <w:p>
      <w:pPr>
        <w:pStyle w:val="Heading2"/>
      </w:pPr>
      <w:bookmarkStart w:id="41" w:name="the-state-that-wrote-it-down"/>
      <w:r>
        <w:t xml:space="preserve">The state that wrote it down</w:t>
      </w:r>
      <w:bookmarkEnd w:id="41"/>
    </w:p>
    <w:p>
      <w:pPr>
        <w:pStyle w:val="FirstParagraph"/>
      </w:pPr>
      <w:r>
        <w:t xml:space="preserve">One state ran the controlled experiment. After Utah’s trust hit bottom — a story Chapter 9 tells in full — its legislature did something no one had bothered to do in a century of American school-trust law: it wrote the duties down. The 1994 act that rebuilt Utah’s trust administration states, in statute, that the lands are held in trust, that the trustee owes</w:t>
      </w:r>
      <w:r>
        <w:t xml:space="preserve"> </w:t>
      </w:r>
      <w:r>
        <w:t xml:space="preserve">“</w:t>
      </w:r>
      <w:r>
        <w:t xml:space="preserve">undivided loyalty</w:t>
      </w:r>
      <w:r>
        <w:t xml:space="preserve">”</w:t>
      </w:r>
      <w:r>
        <w:t xml:space="preserve"> </w:t>
      </w:r>
      <w:r>
        <w:t xml:space="preserve">to the beneficiaries, and that the corpus must be administered for their</w:t>
      </w:r>
      <w:r>
        <w:t xml:space="preserve"> </w:t>
      </w:r>
      <w:r>
        <w:t xml:space="preserve">“</w:t>
      </w:r>
      <w:r>
        <w:t xml:space="preserve">exclusive benefit</w:t>
      </w:r>
      <w:r>
        <w:t xml:space="preserve">”</w:t>
      </w:r>
      <w:r>
        <w:t xml:space="preserve"> </w:t>
      </w:r>
      <w:r>
        <w:t xml:space="preserve">[VERIFY: Utah Code § 53C-1-102 — confirm citation and quoted phrases].</w:t>
      </w:r>
    </w:p>
    <w:p>
      <w:pPr>
        <w:pStyle w:val="BodyText"/>
      </w:pPr>
      <w:r>
        <w:t xml:space="preserve">Notice what that statute did not do. It did not create a single new duty. Undivided loyalty and exclusive benefit were Utah’s obligations in 1896 just as surely as in 1994 — the courts had said so all along. What the statute changed was the</w:t>
      </w:r>
      <w:r>
        <w:t xml:space="preserve"> </w:t>
      </w:r>
      <w:r>
        <w:rPr>
          <w:i/>
        </w:rPr>
        <w:t xml:space="preserve">findability</w:t>
      </w:r>
      <w:r>
        <w:t xml:space="preserve"> </w:t>
      </w:r>
      <w:r>
        <w:t xml:space="preserve">of the duty. After 1994, no Utah land manager could claim the standard was unclear, no attorney general could argue it was unenforceable, and no judge had to excavate it from a century of reports. It was on the page. Utah’s trust has been growing, and visibly defended, ever since — not because of those two sentences alone, but never again without them.</w:t>
      </w:r>
    </w:p>
    <w:p>
      <w:pPr>
        <w:pStyle w:val="Heading2"/>
      </w:pPr>
      <w:bookmarkStart w:id="42" w:name="the-repair-that-says-nothing-new"/>
      <w:r>
        <w:t xml:space="preserve">The repair that says nothing new</w:t>
      </w:r>
      <w:bookmarkEnd w:id="42"/>
    </w:p>
    <w:p>
      <w:pPr>
        <w:pStyle w:val="FirstParagraph"/>
      </w:pPr>
      <w:r>
        <w:t xml:space="preserve">The fix for this failure is the quietest one in the book, and the most important to get exactly right.</w:t>
      </w:r>
    </w:p>
    <w:p>
      <w:pPr>
        <w:pStyle w:val="BodyText"/>
      </w:pPr>
      <w:r>
        <w:t xml:space="preserve">Write the duties down — all five: loyalty, prudence, impartiality between generations, full value on disposition, accounting — in a statute that covers every public trust, with one drafting decision carrying the whole weight: the statute must declare that it</w:t>
      </w:r>
      <w:r>
        <w:t xml:space="preserve"> </w:t>
      </w:r>
      <w:r>
        <w:rPr>
          <w:i/>
        </w:rPr>
        <w:t xml:space="preserve">restates</w:t>
      </w:r>
      <w:r>
        <w:t xml:space="preserve"> </w:t>
      </w:r>
      <w:r>
        <w:t xml:space="preserve">existing law rather than creating it. The duties are declared to have existed all along, because they have; nothing in the act may be read as suggesting they began the day it passed, or that anything done before it was lawful.</w:t>
      </w:r>
    </w:p>
    <w:p>
      <w:pPr>
        <w:pStyle w:val="BodyText"/>
      </w:pPr>
      <w:r>
        <w:t xml:space="preserve">That single clause forecloses the trap hiding inside the obvious reform. Codify the duties carelessly and a future defendant will say:</w:t>
      </w:r>
      <w:r>
        <w:t xml:space="preserve"> </w:t>
      </w:r>
      <w:r>
        <w:rPr>
          <w:i/>
        </w:rPr>
        <w:t xml:space="preserve">the legislature created these duties in 2027, so nothing earlier can be judged by them.</w:t>
      </w:r>
      <w:r>
        <w:t xml:space="preserve"> </w:t>
      </w:r>
      <w:r>
        <w:t xml:space="preserve">The repair this book proposes — walked through, article by article, in Part III — is therefore a law that says nothing new and changes everything: the same duties, finally on a page a judge can read, a trustee can be trained on, and a citizen can quote at a hearing without a law degree.</w:t>
      </w:r>
    </w:p>
    <w:p>
      <w:pPr>
        <w:pStyle w:val="BodyText"/>
      </w:pPr>
      <w:r>
        <w:t xml:space="preserve">The framers locked the promise in the strongest form their century offered and trusted the law’s memory to carry it. The law’s memory turned out to live in too many scattered places. The next chapter is about the official who was supposed to be its keeper — the enforcer the design counted on — and what happens when that officer’s other client is the trustee.</w:t>
      </w:r>
    </w:p>
    <w:p>
      <w:r>
        <w:pict>
          <v:rect style="width:0;height:1.5pt" o:hralign="center" o:hrstd="t" o:hr="t"/>
        </w:pict>
      </w:r>
    </w:p>
    <w:p>
      <w:pPr>
        <w:pStyle w:val="FirstParagraph"/>
      </w:pPr>
      <w:r>
        <w:rPr>
          <w:i/>
        </w:rPr>
        <w:t xml:space="preserve">Sources for this chapter: Ohio implementing act of March 3, 1803;</w:t>
      </w:r>
      <w:r>
        <w:t xml:space="preserve"> </w:t>
      </w:r>
      <w:r>
        <w:t xml:space="preserve">Cooper v. Roberts, *59 U.S. (18 How.) 173, 181-82 (1855) ("sacred obligation imposed on its public fait</w:t>
      </w:r>
    </w:p>
    <w:p>
      <w:r>
        <w:br w:type="page"/>
      </w:r>
    </w:p>
    <w:p>
      <w:pPr>
        <w:pStyle w:val="Heading1"/>
      </w:pPr>
      <w:bookmarkStart w:id="43" w:name="chapter-4-the-lawyer-on-both-sides"/>
      <w:r>
        <w:t xml:space="preserve">Chapter 4 — The Lawyer on Both Sides</w:t>
      </w:r>
      <w:bookmarkEnd w:id="43"/>
    </w:p>
    <w:p>
      <w:pPr>
        <w:pStyle w:val="FirstParagraph"/>
      </w:pPr>
      <w:r>
        <w:t xml:space="preserve">[DRAFT v2.0 — AI first pass; awaiting Dave’s voice pass]</w:t>
      </w:r>
    </w:p>
    <w:p>
      <w:pPr>
        <w:pStyle w:val="BodyText"/>
      </w:pPr>
      <w:r>
        <w:rPr>
          <w:i/>
        </w:rPr>
        <w:t xml:space="preserve">[Litigation note: passages touching the live Oregon case are drawn from public filings and published attorney general opinions only, carry verification flags, and are gated on counsel review before external circulation. No outcome is predicted. The concrete episode the rework plan calls for from the litigation record is held as a placeholder pending counsel review — see bracketed marker below.]</w:t>
      </w:r>
    </w:p>
    <w:p>
      <w:r>
        <w:pict>
          <v:rect style="width:0;height:1.5pt" o:hralign="center" o:hrstd="t" o:hr="t"/>
        </w:pict>
      </w:r>
    </w:p>
    <w:p>
      <w:pPr>
        <w:pStyle w:val="FirstParagraph"/>
      </w:pPr>
      <w:r>
        <w:t xml:space="preserve">Here is one law office, across five decades.</w:t>
      </w:r>
    </w:p>
    <w:p>
      <w:pPr>
        <w:pStyle w:val="BodyText"/>
      </w:pPr>
      <w:r>
        <w:t xml:space="preserve">In 1977, Oregon’s Attorney General was asked whether income-producing school trust land could be reclassified as a natural area preserve. The answer was careful and, in its bones, fiduciary: only where the designation would not cut the land’s financial contribution to the school fund — which, for land earning its keep, meant no. The lawyer was protecting the client you would expect a trust’s lawyer to protect: the fund, and the children behind it. (Opinion No. 7450, May 17, 1977, construing ORS 273.562; verified against the L0 text.)</w:t>
      </w:r>
    </w:p>
    <w:p>
      <w:pPr>
        <w:pStyle w:val="BodyText"/>
      </w:pPr>
      <w:r>
        <w:t xml:space="preserve">In 1992, and again in 2003, the same office published opinions declaring that the state’s obligations under the school-lands grant</w:t>
      </w:r>
      <w:r>
        <w:t xml:space="preserve"> </w:t>
      </w:r>
      <w:r>
        <w:t xml:space="preserve">“</w:t>
      </w:r>
      <w:r>
        <w:t xml:space="preserve">are binding. They cannot be disregarded,</w:t>
      </w:r>
      <w:r>
        <w:t xml:space="preserve">”</w:t>
      </w:r>
      <w:r>
        <w:t xml:space="preserve"> </w:t>
      </w:r>
      <w:r>
        <w:t xml:space="preserve">and describing the lands, in the Oregon Supreme Court’s words, as</w:t>
      </w:r>
      <w:r>
        <w:t xml:space="preserve"> </w:t>
      </w:r>
      <w:r>
        <w:t xml:space="preserve">“</w:t>
      </w:r>
      <w:r>
        <w:t xml:space="preserve">a trust for the benefit of public education.</w:t>
      </w:r>
      <w:r>
        <w:t xml:space="preserve">”</w:t>
      </w:r>
      <w:r>
        <w:t xml:space="preserve"> </w:t>
      </w:r>
      <w:r>
        <w:t xml:space="preserve">(Opinions OP 8223 (1992) and OP 8279 (2003); verified against the L0 texts.)</w:t>
      </w:r>
    </w:p>
    <w:p>
      <w:pPr>
        <w:pStyle w:val="BodyText"/>
      </w:pPr>
      <w:r>
        <w:t xml:space="preserve">And in the 2020s, when the trust’s beneficiaries finally reached the courtroom, the same office was there ahead of them — at the other table, defending the trustee whose administration they had come to question. [VERIFY posture against the public docket; episode passages gated on counsel review.]</w:t>
      </w:r>
    </w:p>
    <w:p>
      <w:pPr>
        <w:pStyle w:val="BodyText"/>
      </w:pPr>
      <w:r>
        <w:t xml:space="preserve">No lawyer in that office did anything unethical at any of those three moments. Each was doing the assigned job competently. That is the scandal. The same office holds both assignments — enforcer of the public’s trusts and defense counsel for the public’s trustees — and which job it happens to be doing in a given decade depends on which client called first. The conflict is not a failure of character. It is printed in the org chart.</w:t>
      </w:r>
    </w:p>
    <w:p>
      <w:pPr>
        <w:pStyle w:val="Heading2"/>
      </w:pPr>
      <w:bookmarkStart w:id="44" w:name="the-enforcer-the-design-counted-on"/>
      <w:r>
        <w:t xml:space="preserve">The enforcer the design counted on</w:t>
      </w:r>
      <w:bookmarkEnd w:id="44"/>
    </w:p>
    <w:p>
      <w:pPr>
        <w:pStyle w:val="FirstParagraph"/>
      </w:pPr>
      <w:r>
        <w:t xml:space="preserve">To see how deep this goes, go back to the founders’ bet from Chapter 1. The trust form could hold property for beneficiaries who were children, scattered, or not yet born, precisely because the law supplied a stand-in to enforce it: the attorney general. That assignment was not an American improvisation. It came down with the rest of trust law from English practice — since at least 1601, the Crown’s law officers enforced charitable trusts on behalf of beneficiaries who could not appear. When the framers locked the school promise inside a charitable trust, the attorney general’s enforcement role was a load-bearing wall of the design.</w:t>
      </w:r>
      <w:r>
        <w:t xml:space="preserve"> </w:t>
      </w:r>
      <w:r>
        <w:rPr>
          <w:i/>
        </w:rPr>
        <w:t xml:space="preserve">The schoolchildren cannot sue. The attorney general will sue for them.</w:t>
      </w:r>
    </w:p>
    <w:p>
      <w:pPr>
        <w:pStyle w:val="BodyText"/>
      </w:pPr>
      <w:r>
        <w:t xml:space="preserve">Now ask the question the design never answered: sue</w:t>
      </w:r>
      <w:r>
        <w:t xml:space="preserve"> </w:t>
      </w:r>
      <w:r>
        <w:rPr>
          <w:i/>
        </w:rPr>
        <w:t xml:space="preserve">whom</w:t>
      </w:r>
      <w:r>
        <w:t xml:space="preserve">? The trustee of the school trust is the state — its land board, its constitutional officers, its agencies. And the attorney general is the state’s lawyer. The official charged with enforcing the trust on behalf of the children is, by the same statutes and the same oath, the legal defender of the trustee the children would complain about. When the trust’s interests and the state’s interests diverge — and over a forever horizon they always do, eventually, in some budget year — the design’s enforcement wall turns out to have been built facing the wrong way.</w:t>
      </w:r>
    </w:p>
    <w:p>
      <w:pPr>
        <w:pStyle w:val="BodyText"/>
      </w:pPr>
      <w:r>
        <w:t xml:space="preserve">The result, across two hundred and forty years and the better part of thirty trust-land states — roughly thirty states received school-land grants at statehood; about twenty still hold trust lands today; the others sold or lost theirs, which is itself part of the record [VERIFY counts] — is an enforcement record you could summarize in a sentence: the watchdog the architecture relied on has almost never bitten the hand that signs its filings. Attorneys general have written brave opinions — the Oregon shelf alone proves it. Opinions are what an enforcer produces when it cannot, institutionally, bring the case.</w:t>
      </w:r>
    </w:p>
    <w:p>
      <w:pPr>
        <w:pStyle w:val="Heading2"/>
      </w:pPr>
      <w:bookmarkStart w:id="45" w:name="no-private-trust-would-survive-this"/>
      <w:r>
        <w:t xml:space="preserve">No private trust would survive this</w:t>
      </w:r>
      <w:bookmarkEnd w:id="45"/>
    </w:p>
    <w:p>
      <w:pPr>
        <w:pStyle w:val="FirstParagraph"/>
      </w:pPr>
      <w:r>
        <w:t xml:space="preserve">Strip the public titles off and look at the arrangement as a trust lawyer would.</w:t>
      </w:r>
    </w:p>
    <w:p>
      <w:pPr>
        <w:pStyle w:val="BodyText"/>
      </w:pPr>
      <w:r>
        <w:t xml:space="preserve">A trust company is accused by its beneficiaries of running the trust for its own benefit. The lawyer who appears to defend the company is the same lawyer the law designates to police trust companies on beneficiaries’ behalf. The defense is conducted, and billed, as part of the ordinary operations the beneficiaries’ assets support. [VERIFY before asserting the funding mechanics in the Oregon instance specifically; the general structure — trustee defense costs borne by the trust or the public fisc rather than by the individuals accused — should be stated from the model act’s findings until the case-specific record is cleared by counsel.]</w:t>
      </w:r>
    </w:p>
    <w:p>
      <w:pPr>
        <w:pStyle w:val="BodyText"/>
      </w:pPr>
      <w:r>
        <w:t xml:space="preserve">Present that arrangement to any probate judge in America and it would not survive the morning. The conflict rules that govern private fiduciary litigation exist precisely because loyalty cannot be split: a lawyer cannot owe zeal to both the trustee accused of breach and the beneficiaries accusing him. Cardozo’s famous line — a trustee is held to</w:t>
      </w:r>
      <w:r>
        <w:t xml:space="preserve"> </w:t>
      </w:r>
      <w:r>
        <w:t xml:space="preserve">“</w:t>
      </w:r>
      <w:r>
        <w:t xml:space="preserve">the punctilio of an honor the most sensitive</w:t>
      </w:r>
      <w:r>
        <w:t xml:space="preserve">”</w:t>
      </w:r>
      <w:r>
        <w:t xml:space="preserve"> </w:t>
      </w:r>
      <w:r>
        <w:t xml:space="preserve">— names the standard at the heart of fiduciary law. But a standard is only as real as its enforcement, and an enforcement office that doubles as the defense bar is, in operational terms, no enforcement office at all. The punctilio becomes a plaque on the wall.</w:t>
      </w:r>
    </w:p>
    <w:p>
      <w:pPr>
        <w:pStyle w:val="BodyText"/>
      </w:pPr>
      <w:r>
        <w:t xml:space="preserve">There is a second cost, subtler and worse over time. Because the attorney general’s office is also the trustee’s standing legal adviser, its interpretations</w:t>
      </w:r>
      <w:r>
        <w:t xml:space="preserve"> </w:t>
      </w:r>
      <w:r>
        <w:rPr>
          <w:i/>
        </w:rPr>
        <w:t xml:space="preserve">become</w:t>
      </w:r>
      <w:r>
        <w:t xml:space="preserve"> </w:t>
      </w:r>
      <w:r>
        <w:t xml:space="preserve">the trust’s working law between lawsuits — and Chapter 3 showed what interpretation-drift does to an unwritten duty. The 1977 opinion was not amended; it was bypassed. The 1992 and 2003 opinions were not withdrawn; they were left standing while practice walked away from them. (The existence and content of the 1977, 1992, and 2003 opinions are verified against the L0 texts; the</w:t>
      </w:r>
      <w:r>
        <w:t xml:space="preserve"> </w:t>
      </w:r>
      <w:r>
        <w:t xml:space="preserve">“</w:t>
      </w:r>
      <w:r>
        <w:t xml:space="preserve">bypassed / left standing</w:t>
      </w:r>
      <w:r>
        <w:t xml:space="preserve">”</w:t>
      </w:r>
      <w:r>
        <w:t xml:space="preserve"> </w:t>
      </w:r>
      <w:r>
        <w:t xml:space="preserve">characterization is the author’s reading of the record.) An office that answers to the trustee will, across decades and without any single dishonest act, sand the duty down to fit what the trustee has already decided to do.</w:t>
      </w:r>
    </w:p>
    <w:p>
      <w:pPr>
        <w:pStyle w:val="BodyText"/>
      </w:pPr>
      <w:r>
        <w:rPr>
          <w:i/>
        </w:rPr>
        <w:t xml:space="preserve">[EPISODE PLACEHOLDER — the rework plan calls for one concrete instance from the Oregon litigation record showing the conflict in operation (a filing, a hearing exchange, or a representation decision). To be drafted from the public record and inserted here only after counsel review clears the specific instance for use.]</w:t>
      </w:r>
    </w:p>
    <w:p>
      <w:pPr>
        <w:pStyle w:val="BodyText"/>
      </w:pPr>
      <w:r>
        <w:t xml:space="preserve">One generic scene can stand in until then, because it recurs in every state where beneficiaries have tried. The beneficiaries’ side arrives with borrowed conference rooms, volunteer experts, and a budget raised in living rooms. Across the aisle sits the institutional memory of the state itself: career counsel who know the record because their own office wrote much of it, supported by agency staff whose time is already paid for. The deepest asymmetry is not money, though money is real. It is that one side’s lawyer helped build the very interpretations now under review, and is uniquely positioned — and uniquely motivated — to defend them. The children’s case must be constructed from scratch, against the office that was designed to bring it.</w:t>
      </w:r>
    </w:p>
    <w:p>
      <w:pPr>
        <w:pStyle w:val="Heading2"/>
      </w:pPr>
      <w:bookmarkStart w:id="46" w:name="the-people-who-saw-it-coming"/>
      <w:r>
        <w:t xml:space="preserve">The people who saw it coming</w:t>
      </w:r>
      <w:bookmarkEnd w:id="46"/>
    </w:p>
    <w:p>
      <w:pPr>
        <w:pStyle w:val="FirstParagraph"/>
      </w:pPr>
      <w:r>
        <w:t xml:space="preserve">None of this is a modern discovery. Congress saw the problem more than a century ago, and said so in statute.</w:t>
      </w:r>
    </w:p>
    <w:p>
      <w:pPr>
        <w:pStyle w:val="BodyText"/>
      </w:pPr>
      <w:r>
        <w:t xml:space="preserve">When New Mexico and Arizona were admitted in 1910, their enabling act carried the strongest trust language ever written into the federal template —</w:t>
      </w:r>
      <w:r>
        <w:t xml:space="preserve"> </w:t>
      </w:r>
      <w:r>
        <w:t xml:space="preserve">“</w:t>
      </w:r>
      <w:r>
        <w:t xml:space="preserve">in trust,</w:t>
      </w:r>
      <w:r>
        <w:t xml:space="preserve">”</w:t>
      </w:r>
      <w:r>
        <w:t xml:space="preserve"> </w:t>
      </w:r>
      <w:r>
        <w:t xml:space="preserve">breach-of-trust nullification, public-auction requirements. And then, the tell: the act made it the duty of the</w:t>
      </w:r>
      <w:r>
        <w:t xml:space="preserve"> </w:t>
      </w:r>
      <w:r>
        <w:rPr>
          <w:i/>
        </w:rPr>
        <w:t xml:space="preserve">Attorney General of the United States</w:t>
      </w:r>
      <w:r>
        <w:t xml:space="preserve"> </w:t>
      </w:r>
      <w:r>
        <w:t xml:space="preserve">to prosecute violations. [VERIFY: Act of June 20, 1910, § 10 — confirm citation.] Read that as the drafters’ verdict on sixty years of experience. By 1910, Congress did not trust state enforcement of state trusts enough to leave the children’s remedy in state hands alone. The federal backstop was an admission, in 36 Statutes-at-Large, that the lawyer-on-both-sides problem was real and known.</w:t>
      </w:r>
    </w:p>
    <w:p>
      <w:pPr>
        <w:pStyle w:val="BodyText"/>
      </w:pPr>
      <w:r>
        <w:t xml:space="preserve">Utah, after its own collapse and recovery, built the modern answer. Its Land Trusts Protection and Advocacy Office — statutory since 1994 in earlier form, codified in its current shape in Title 53D — is an office whose entire job description is the beneficiaries: its own director, its own budget, a mandate to advocate for the trust against any state use that conflicts with trust purposes, including against other state agencies. [VERIFY statutory history and citations.] When a proposal threatening the trust surfaces in Utah, someone whose paycheck does not depend on the trustee reads every page of it. Chapter 9 tells what that office caught and what it has been worth. The point here is simpler: the role is buildable. One state built it. It works. It costs less per year than the litigation it prevents. [VERIFY cost claim or cut.]</w:t>
      </w:r>
    </w:p>
    <w:p>
      <w:pPr>
        <w:pStyle w:val="Heading2"/>
      </w:pPr>
      <w:bookmarkStart w:id="47" w:name="Xc301a7bd54bee0da442208bfe3a6314c48f3b70"/>
      <w:r>
        <w:t xml:space="preserve">The repair: when the conflict appears, the conflicted lawyer steps out</w:t>
      </w:r>
      <w:bookmarkEnd w:id="47"/>
    </w:p>
    <w:p>
      <w:pPr>
        <w:pStyle w:val="FirstParagraph"/>
      </w:pPr>
      <w:r>
        <w:t xml:space="preserve">The fix follows the same logic every private court already applies, and Part III states it as statute in plain English.</w:t>
      </w:r>
    </w:p>
    <w:p>
      <w:pPr>
        <w:pStyle w:val="BodyText"/>
      </w:pPr>
      <w:r>
        <w:t xml:space="preserve">First, name the conflict instead of pretending it away. When the administration of a public trust is questioned, the attorney general — whose office advises and defends the trustee — cannot also speak for the beneficiaries, and is disqualified from purporting to.</w:t>
      </w:r>
    </w:p>
    <w:p>
      <w:pPr>
        <w:pStyle w:val="BodyText"/>
      </w:pPr>
      <w:r>
        <w:t xml:space="preserve">Second, give the beneficiaries a lawyer of their own: a standing, independent public trust advocate on the Utah pattern, or, where a state will not fund one, a special counsel appointed by the court for the matter at hand — selected outside the trustee’s chain of command, answerable to the trust alone.</w:t>
      </w:r>
    </w:p>
    <w:p>
      <w:pPr>
        <w:pStyle w:val="BodyText"/>
      </w:pPr>
      <w:r>
        <w:t xml:space="preserve">Third, stop the quiet outrage of the billing. The trustee’s defense, when trustees are credibly accused of breaching the trust, may not be paid out of the trust. Whoever ultimately bears those costs, it cannot be the children on whose behalf the question was raised.</w:t>
      </w:r>
    </w:p>
    <w:p>
      <w:pPr>
        <w:pStyle w:val="BodyText"/>
      </w:pPr>
      <w:r>
        <w:t xml:space="preserve">None of this insults the attorneys general, and the chapter should not be read as an indictment of the people. Most of them, in most decades, have written honest opinions and given sober advice — the Oregon record’s bravest sentences came from that office. The indictment is of an assignment no lawyer could perform: serving two masters whose interests are guaranteed, on a long enough horizon, to collide. The law’s oldest wisdom about fiduciaries is that you do not leave such collisions to character. You design them out.</w:t>
      </w:r>
    </w:p>
    <w:p>
      <w:pPr>
        <w:pStyle w:val="BodyText"/>
      </w:pPr>
      <w:r>
        <w:t xml:space="preserve">A promise to the politically silent needs three things in a courtroom: a door that opens, a duty on the page, and a lawyer on the right side of the room. The last two chapters and this one have shown how all three went missing at once. What follows next is what the silence purchased — a trust that, in most of America, has never once sent its beneficiaries a statement.</w:t>
      </w:r>
    </w:p>
    <w:p>
      <w:r>
        <w:pict>
          <v:rect style="width:0;height:1.5pt" o:hralign="center" o:hrstd="t" o:hr="t"/>
        </w:pict>
      </w:r>
    </w:p>
    <w:p>
      <w:pPr>
        <w:pStyle w:val="FirstParagraph"/>
      </w:pPr>
      <w:r>
        <w:rPr>
          <w:i/>
        </w:rPr>
        <w:t xml:space="preserve">Sources for this chapter: Oregon Attorney General opinions No. 7450 (May 17, 1977, natural-area designation of school lands), OP 8223 (July 24, 1992), and OP 8279 (May 9, 2003) — all verified against the L0 texts; public docket of</w:t>
      </w:r>
      <w:r>
        <w:t xml:space="preserve"> </w:t>
      </w:r>
      <w:r>
        <w:t xml:space="preserve">Siuslaw School District 97J v. State of Oregon,</w:t>
      </w:r>
      <w:r>
        <w:t xml:space="preserve"> </w:t>
      </w:r>
      <w:r>
        <w:rPr>
          <w:i/>
        </w:rPr>
        <w:t xml:space="preserve">No. 24CV38372 (Coos County) [caption verified 2026-06-06 against the filed record; all case passages from public filings only, gated on counsel review]; Statute of Charitable Uses (1601) and the common-law rule of attorney-general enforcement of charitable trusts;</w:t>
      </w:r>
      <w:r>
        <w:t xml:space="preserve"> </w:t>
      </w:r>
      <w:r>
        <w:t xml:space="preserve">Meinhard v. Salmon, *249 N.Y. 45</w:t>
      </w:r>
    </w:p>
    <w:p>
      <w:r>
        <w:br w:type="page"/>
      </w:r>
    </w:p>
    <w:p>
      <w:pPr>
        <w:pStyle w:val="Heading1"/>
      </w:pPr>
      <w:bookmarkStart w:id="48" w:name="X5077c44bb889dcd77f109ddf545387200f7b5be"/>
      <w:r>
        <w:t xml:space="preserve">Chapter 5 — The Trust That Never Sends a Statement</w:t>
      </w:r>
      <w:bookmarkEnd w:id="48"/>
    </w:p>
    <w:p>
      <w:pPr>
        <w:pStyle w:val="FirstParagraph"/>
      </w:pPr>
      <w:r>
        <w:t xml:space="preserve">[DRAFT v2.0 — AI first pass; awaiting Dave’s voice pass]</w:t>
      </w:r>
    </w:p>
    <w:p>
      <w:r>
        <w:pict>
          <v:rect style="width:0;height:1.5pt" o:hralign="center" o:hrstd="t" o:hr="t"/>
        </w:pict>
      </w:r>
    </w:p>
    <w:p>
      <w:pPr>
        <w:pStyle w:val="FirstParagraph"/>
      </w:pPr>
      <w:r>
        <w:t xml:space="preserve">Suppose your grandmother left money in trust for you at a bank, and the bank never sent you a statement.</w:t>
      </w:r>
    </w:p>
    <w:p>
      <w:pPr>
        <w:pStyle w:val="BodyText"/>
      </w:pPr>
      <w:r>
        <w:t xml:space="preserve">Not one. Not the year you turned eighteen, not the year you asked, not ever. When you called, the bank told you the trust was being managed appropriately, that the details were complicated, and that the relevant information appeared somewhere in the bank’s own consolidated annual report, which you were welcome to read. The consolidated annual report was four hundred pages long, it mixed your trust’s numbers in with everything else the bank did, and nowhere in it could you find what your trust held, what it earned, what was spent out of it, or what was supposed to come to you.</w:t>
      </w:r>
    </w:p>
    <w:p>
      <w:pPr>
        <w:pStyle w:val="BodyText"/>
      </w:pPr>
      <w:r>
        <w:t xml:space="preserve">You would not call that an accounting problem. You would call a lawyer. And you would win, because the duty to account is one of the oldest duties in trust law — old enough that it was settled before this country existed. A trustee must keep the beneficiary informed. The beneficiary is entitled to know what the trust holds and what the trustee has done with it. A bank trustee that refused to send statements would not just lose the lawsuit. It would lose its trust powers. Regulators do not treat silence as a paperwork lapse. They treat it as the thing it is: the condition under which everything else goes wrong.</w:t>
      </w:r>
    </w:p>
    <w:p>
      <w:pPr>
        <w:pStyle w:val="BodyText"/>
      </w:pPr>
      <w:r>
        <w:t xml:space="preserve">Now consider the largest set of trusts in American public life — the school trusts, holding millions of acres and tens of billions of dollars for the schoolchildren of the states, present and future — and ask a simple question.</w:t>
      </w:r>
    </w:p>
    <w:p>
      <w:pPr>
        <w:pStyle w:val="BodyText"/>
      </w:pPr>
      <w:r>
        <w:t xml:space="preserve">Who gets the statement?</w:t>
      </w:r>
    </w:p>
    <w:p>
      <w:pPr>
        <w:pStyle w:val="Heading2"/>
      </w:pPr>
      <w:bookmarkStart w:id="49" w:name="the-test"/>
      <w:r>
        <w:t xml:space="preserve">The test</w:t>
      </w:r>
      <w:bookmarkEnd w:id="49"/>
    </w:p>
    <w:p>
      <w:pPr>
        <w:pStyle w:val="FirstParagraph"/>
      </w:pPr>
      <w:r>
        <w:t xml:space="preserve">Here is a fair test, and you can run it yourself this afternoon for your own state. A parent of a schoolchild — an actual beneficiary’s actual guardian — sits down at a computer and tries to answer five questions:</w:t>
      </w:r>
    </w:p>
    <w:p>
      <w:pPr>
        <w:numPr>
          <w:ilvl w:val="0"/>
          <w:numId w:val="1001"/>
        </w:numPr>
        <w:pStyle w:val="Compact"/>
      </w:pPr>
      <w:r>
        <w:t xml:space="preserve">What does the trust hold? How many acres, what kind, worth roughly what; how big is the permanent fund.</w:t>
      </w:r>
    </w:p>
    <w:p>
      <w:pPr>
        <w:numPr>
          <w:ilvl w:val="0"/>
          <w:numId w:val="1001"/>
        </w:numPr>
        <w:pStyle w:val="Compact"/>
      </w:pPr>
      <w:r>
        <w:t xml:space="preserve">What did it earn this year?</w:t>
      </w:r>
    </w:p>
    <w:p>
      <w:pPr>
        <w:numPr>
          <w:ilvl w:val="0"/>
          <w:numId w:val="1001"/>
        </w:numPr>
        <w:pStyle w:val="Compact"/>
      </w:pPr>
      <w:r>
        <w:t xml:space="preserve">What was spent out of it, and on what?</w:t>
      </w:r>
    </w:p>
    <w:p>
      <w:pPr>
        <w:numPr>
          <w:ilvl w:val="0"/>
          <w:numId w:val="1001"/>
        </w:numPr>
        <w:pStyle w:val="Compact"/>
      </w:pPr>
      <w:r>
        <w:t xml:space="preserve">What was transferred out of it — moved to some other fund, some other agency, some other purpose — and under what authority?</w:t>
      </w:r>
    </w:p>
    <w:p>
      <w:pPr>
        <w:numPr>
          <w:ilvl w:val="0"/>
          <w:numId w:val="1001"/>
        </w:numPr>
        <w:pStyle w:val="Compact"/>
      </w:pPr>
      <w:r>
        <w:t xml:space="preserve">What actually arrived at my child’s school?</w:t>
      </w:r>
    </w:p>
    <w:p>
      <w:pPr>
        <w:pStyle w:val="FirstParagraph"/>
      </w:pPr>
      <w:r>
        <w:t xml:space="preserve">In Utah, the parent can answer all five, because Utah sends the statement. Every public school in the state receives its share of the trust’s earnings as a visible, per-pupil distribution, governed at the school by a council with a parent majority, and the trust’s holdings and returns are published where a parent can find them. We will come back to Utah; the whole of Chapter 9 belongs to it.</w:t>
      </w:r>
    </w:p>
    <w:p>
      <w:pPr>
        <w:pStyle w:val="BodyText"/>
      </w:pPr>
      <w:r>
        <w:t xml:space="preserve">In most of the other trust-land states, the parent fails the test. Not because the states publish nothing — most publish something. An agency annual report written for the legislature. A land-office newsletter. An investment summary written for the bond market. Audited statewide financial statements in which the trust appears as a line or two, prepared under accounting standards built to answer a different question for a different reader. The documents exist. The accounting does not. You cannot take the pile and reconstruct the five answers, because the pile was never designed to yield them. Many trust-land states do not publish a single beneficiary-facing annual statement that consolidates the trust’s corpus, land inventory, receipts, expenses, asset dispositions, and distributions to beneficiaries [a reproducible fifty-state accounting is in progress; no count is asserted until it exists].</w:t>
      </w:r>
    </w:p>
    <w:p>
      <w:pPr>
        <w:pStyle w:val="BodyText"/>
      </w:pPr>
      <w:r>
        <w:t xml:space="preserve">Notice what the test is not asking. It is not asking whether the state is honest. It is not asking whether the trust is well managed. It is asking only whether the beneficiary can find out — and in most states the answer is no. The beneficiaries of these trusts cannot ascertain the condition of their own trust. Write that sentence about a private trust and you have described a scandal in progress. Write it about a public trust and you have described the ordinary, settled arrangement of most American states for the last century.</w:t>
      </w:r>
    </w:p>
    <w:p>
      <w:pPr>
        <w:pStyle w:val="Heading2"/>
      </w:pPr>
      <w:bookmarkStart w:id="50" w:name="what-invisibility-does"/>
      <w:r>
        <w:t xml:space="preserve">What invisibility does</w:t>
      </w:r>
      <w:bookmarkEnd w:id="50"/>
    </w:p>
    <w:p>
      <w:pPr>
        <w:pStyle w:val="FirstParagraph"/>
      </w:pPr>
      <w:r>
        <w:t xml:space="preserve">So what? The money is presumably still there. The land is presumably still there. If nobody sends a statement, perhaps nothing is lost but a formality.</w:t>
      </w:r>
    </w:p>
    <w:p>
      <w:pPr>
        <w:pStyle w:val="BodyText"/>
      </w:pPr>
      <w:r>
        <w:t xml:space="preserve">The record says otherwise, and the clearest demonstration is the one time somebody actually did the arithmetic.</w:t>
      </w:r>
    </w:p>
    <w:p>
      <w:pPr>
        <w:pStyle w:val="BodyText"/>
      </w:pPr>
      <w:r>
        <w:t xml:space="preserve">Oregon spent its first half-century selling its school lands as fast as it could —</w:t>
      </w:r>
      <w:r>
        <w:t xml:space="preserve"> </w:t>
      </w:r>
      <w:r>
        <w:t xml:space="preserve">“</w:t>
      </w:r>
      <w:r>
        <w:t xml:space="preserve">every acre as soon as the state had title,</w:t>
      </w:r>
      <w:r>
        <w:t xml:space="preserve">”</w:t>
      </w:r>
      <w:r>
        <w:t xml:space="preserve"> </w:t>
      </w:r>
      <w:r>
        <w:t xml:space="preserve">as the historian F. G. Young wrote in 1910,</w:t>
      </w:r>
      <w:r>
        <w:t xml:space="preserve"> </w:t>
      </w:r>
      <w:r>
        <w:t xml:space="preserve">“</w:t>
      </w:r>
      <w:r>
        <w:t xml:space="preserve">and quite too frequently even when it had only slight basis for expecting to secure it.</w:t>
      </w:r>
      <w:r>
        <w:t xml:space="preserve">”</w:t>
      </w:r>
      <w:r>
        <w:t xml:space="preserve"> </w:t>
      </w:r>
      <w:r>
        <w:t xml:space="preserve">In 1887 the legislature abolished auctions and ordered the school lands sold at a flat $1.25 an acre, a price so far below value that Young called the statute</w:t>
      </w:r>
      <w:r>
        <w:t xml:space="preserve"> </w:t>
      </w:r>
      <w:r>
        <w:t xml:space="preserve">“</w:t>
      </w:r>
      <w:r>
        <w:t xml:space="preserve">The Infamous Act.</w:t>
      </w:r>
      <w:r>
        <w:t xml:space="preserve">”</w:t>
      </w:r>
      <w:r>
        <w:t xml:space="preserve"> </w:t>
      </w:r>
      <w:r>
        <w:t xml:space="preserve">None of this was secret. Every sale was a public record. Every statute was published. The information existed, the way the bank’s four-hundred-page report exists — present, scattered, and aggregated by no one.</w:t>
      </w:r>
    </w:p>
    <w:p>
      <w:pPr>
        <w:pStyle w:val="BodyText"/>
      </w:pPr>
      <w:r>
        <w:t xml:space="preserve">Then, in 1907, Governor George Chamberlain added it up — the calculation Chapter 1 previewed — and told the legislature what the scattered records summed to:</w:t>
      </w:r>
      <w:r>
        <w:t xml:space="preserve"> </w:t>
      </w:r>
      <w:r>
        <w:t xml:space="preserve">“</w:t>
      </w:r>
      <w:r>
        <w:t xml:space="preserve">But for the policies which have been adopted by the Legislature from time to time with respect to its school lands, the irreducible school fund might have been five or six times as large as it is at present.</w:t>
      </w:r>
      <w:r>
        <w:t xml:space="preserve">”</w:t>
      </w:r>
    </w:p>
    <w:p>
      <w:pPr>
        <w:pStyle w:val="BodyText"/>
      </w:pPr>
      <w:r>
        <w:t xml:space="preserve">Five or six times as large. Read that as a statement of account, because that is what it is — the only one Oregon’s beneficiaries got in fifty years. A half-century of small, individually documented, individually defensible-looking transactions had quietly reduced the children’s endowment to a fifth or a sixth of what faithful administration would have produced. No single year’s loss would have alarmed anyone. The sum was a catastrophe. And the sum was visible only because one governor, once, did a month of arithmetic that no law required anyone to do, and that no law has required anyone to do since.</w:t>
      </w:r>
    </w:p>
    <w:p>
      <w:pPr>
        <w:pStyle w:val="BodyText"/>
      </w:pPr>
      <w:r>
        <w:t xml:space="preserve">That is what invisibility does. Drift — the slow, no-villains movement of a trust away from its purpose, which Chapter 8 takes apart — is not stopped by honesty, because most of the people involved are honest. It is stopped by observation. A trust that publishes a real accounting every year gives its beneficiaries a baseline, and a baseline turns drift into a measurable, contestable fact while the loss is still small. A trust that publishes none lets the drift compound silently until somebody’s once-a-generation arithmetic reveals that most of the inheritance is gone — at which point the records are old, the officials are dead, and the money is spent.</w:t>
      </w:r>
    </w:p>
    <w:p>
      <w:pPr>
        <w:pStyle w:val="BodyText"/>
      </w:pPr>
      <w:r>
        <w:t xml:space="preserve">There is a second cost, quieter still. For most of American history, finding out the condition of a school trust — even in a state whose records were complete — took an archivist’s training and an archivist’s month: deed books, legislative journals, land-office ledgers, figures that had to be restated across a century of inflation. The beneficiaries of these trusts are children. Children do not employ archivists. So the practical price of an answer was set higher than anyone acting for the beneficiaries could pay, and the states, by never sending the statement, kept it there. A duty to account that the beneficiary must perform for herself, at her own expense, from the trustee’s scattered papers, is not a duty the trustee is performing. It is a duty the trustee is outsourcing to the people it owes.</w:t>
      </w:r>
    </w:p>
    <w:p>
      <w:pPr>
        <w:pStyle w:val="Heading2"/>
      </w:pPr>
      <w:bookmarkStart w:id="51" w:name="the-category-to-watch"/>
      <w:r>
        <w:t xml:space="preserve">The category to watch</w:t>
      </w:r>
      <w:bookmarkEnd w:id="51"/>
    </w:p>
    <w:p>
      <w:pPr>
        <w:pStyle w:val="FirstParagraph"/>
      </w:pPr>
      <w:r>
        <w:t xml:space="preserve">If a state ever does start sending the statement, here is the line on it worth reading first: transfers out.</w:t>
      </w:r>
    </w:p>
    <w:p>
      <w:pPr>
        <w:pStyle w:val="BodyText"/>
      </w:pPr>
      <w:r>
        <w:t xml:space="preserve">Not expenditures — those at least claim to be costs of running the trust, and they can be tested against the question of whether they were reasonable. Transfers out are different. They are trust money moved to something that is not the trust: swept to another fund, assessed by another agency, redirected to a purpose the legislature liked better that year. Every great loss in the school-trust record either is a transfer out or ends as one. And in the states’ existing reports, this is precisely the category that is hardest to see — folded into netted totals, renamed as administrative charges, or simply absent, because the document was never built to confess it. A real accounting itemizes every transfer out and cites the legal authority for each one — and where there is no authority to cite, says so in print. The discipline is not the itemizing. The discipline is what the itemizing makes impossible.</w:t>
      </w:r>
    </w:p>
    <w:p>
      <w:pPr>
        <w:pStyle w:val="Heading2"/>
      </w:pPr>
      <w:bookmarkStart w:id="52" w:name="equitys-old-answer"/>
      <w:r>
        <w:t xml:space="preserve">Equity’s old answer</w:t>
      </w:r>
      <w:bookmarkEnd w:id="52"/>
    </w:p>
    <w:p>
      <w:pPr>
        <w:pStyle w:val="FirstParagraph"/>
      </w:pPr>
      <w:r>
        <w:t xml:space="preserve">Trust law worked all of this out a long time ago, including what to do about the trustee who keeps no records. The rule is blunt, and it is one of the oldest presumptions in equity: when a trustee fails to account, the doubts are resolved against the trustee. The beneficiary does not bear the burden of reconstructing what the trustee declined to write down. The trustee bears the burden of proving its administration was proper, and where its own silence makes proof impossible, the trustee loses. Equity reasoned that any other rule pays the trustee for the silence — it makes bad records a defense, and no records the best defense of all.</w:t>
      </w:r>
    </w:p>
    <w:p>
      <w:pPr>
        <w:pStyle w:val="BodyText"/>
      </w:pPr>
      <w:r>
        <w:t xml:space="preserve">Measure the states against that rule and the arrangement comes into focus. Most of them have spent a century in the posture that equity treats as the worst case — no statement, ever — while bearing none of the consequences, because no statute applied the rule to them. The duty to account existed the whole time; it came with the trust, as Chapter 3 showed. What never existed was the machinery: a deadline, a required content, a public place of publication, and a consequence for silence.</w:t>
      </w:r>
    </w:p>
    <w:p>
      <w:pPr>
        <w:pStyle w:val="BodyText"/>
      </w:pPr>
      <w:r>
        <w:t xml:space="preserve">That is machinery a legislature can build in a page or two, and the Uniform Public Trust Enforcement Act builds it in Article 3 — a complete annual public accounting for every public trust, published where any parent can read it, in data any citizen’s computer can check, with equity’s old burden-shifting rule waiting for any trustee who does not.</w:t>
      </w:r>
    </w:p>
    <w:p>
      <w:pPr>
        <w:pStyle w:val="BodyText"/>
      </w:pPr>
      <w:r>
        <w:t xml:space="preserve">The statement, in the end, is not paperwork. It is the difference between a promise you can check and a promise you must take on faith — and two hundred and forty years of records say exactly what happens to the promises taken on faith.</w:t>
      </w:r>
    </w:p>
    <w:p>
      <w:pPr>
        <w:pStyle w:val="BodyText"/>
      </w:pPr>
      <w:r>
        <w:t xml:space="preserve">But suppose the beneficiaries do the archivist’s work anyway — reconstruct the account, prove the loss, and win. What they meet next is the strangest failure of the six: a victory with nothing inside it. That is the next chapter.</w:t>
      </w:r>
    </w:p>
    <w:p>
      <w:r>
        <w:pict>
          <v:rect style="width:0;height:1.5pt" o:hralign="center" o:hrstd="t" o:hr="t"/>
        </w:pict>
      </w:r>
    </w:p>
    <w:p>
      <w:pPr>
        <w:pStyle w:val="FirstParagraph"/>
      </w:pPr>
      <w:r>
        <w:rPr>
          <w:b/>
        </w:rPr>
        <w:t xml:space="preserve">Sources for this chapter.</w:t>
      </w:r>
      <w:r>
        <w:t xml:space="preserve"> </w:t>
      </w:r>
      <w:r>
        <w:t xml:space="preserve">The duty to inform and account is foundational common-law trust doctrine; see the Restatement (Third) of Trusts and the Uniform Trust Code’s accounting provisions [VERIFY pin-cites]. The five-question test and the transfers-out analysis follow the legislative findings and Article 3 (Sections 301–304) of the Uniform Public Trust Enforcement Act (draft v1, June 5, 2026). The count of states publishing no complete school-trust accounting is drawn from the America’s School Trust Library fifty-state research and is flagged [VERIFY] pending final reconciliation against the state-by-state encyclopedia. Oregon’s first half-century: F. G. Young,</w:t>
      </w:r>
      <w:r>
        <w:t xml:space="preserve"> </w:t>
      </w:r>
      <w:r>
        <w:rPr>
          <w:i/>
        </w:rPr>
        <w:t xml:space="preserve">Oregon Historical Quarterly</w:t>
      </w:r>
      <w:r>
        <w:t xml:space="preserve"> </w:t>
      </w:r>
      <w:r>
        <w:t xml:space="preserve">(1910) (</w:t>
      </w:r>
      <w:r>
        <w:t xml:space="preserve">“</w:t>
      </w:r>
      <w:r>
        <w:t xml:space="preserve">every acre as soon as the state had title</w:t>
      </w:r>
      <w:r>
        <w:t xml:space="preserve">”</w:t>
      </w:r>
      <w:r>
        <w:t xml:space="preserve">;</w:t>
      </w:r>
      <w:r>
        <w:t xml:space="preserve"> </w:t>
      </w:r>
      <w:r>
        <w:t xml:space="preserve">“</w:t>
      </w:r>
      <w:r>
        <w:t xml:space="preserve">The Infamous Act</w:t>
      </w:r>
      <w:r>
        <w:t xml:space="preserve">”</w:t>
      </w:r>
      <w:r>
        <w:t xml:space="preserve">); the 1887 flat-price statute ($1.25 per acre); Governor George Chamberlain, Message to the Legislature (1907) (</w:t>
      </w:r>
      <w:r>
        <w:t xml:space="preserve">“</w:t>
      </w:r>
      <w:r>
        <w:t xml:space="preserve">five or six times as large</w:t>
      </w:r>
      <w:r>
        <w:t xml:space="preserve">”</w:t>
      </w:r>
      <w:r>
        <w:t xml:space="preserve">) [VERIFY quotations against the original documents before print]. Utah’s per-pupil distribution and parent-majority school councils: Utah School LAND Trust Program (1999), Utah Code [VERIFY citation]. The burden-shifting rule for a non-accounting trustee is long-settled equity practice, restated in UPTEA Section 304(b).</w:t>
      </w:r>
    </w:p>
    <w:p>
      <w:r>
        <w:br w:type="page"/>
      </w:r>
    </w:p>
    <w:p>
      <w:pPr>
        <w:pStyle w:val="Heading1"/>
      </w:pPr>
      <w:bookmarkStart w:id="53" w:name="chapter-6-when-winning-means-nothing"/>
      <w:r>
        <w:t xml:space="preserve">Chapter 6 — When Winning Means Nothing</w:t>
      </w:r>
      <w:bookmarkEnd w:id="53"/>
    </w:p>
    <w:p>
      <w:pPr>
        <w:pStyle w:val="FirstParagraph"/>
      </w:pPr>
      <w:r>
        <w:t xml:space="preserve">[DRAFT v2.0 — AI first pass; awaiting Dave’s voice pass]</w:t>
      </w:r>
    </w:p>
    <w:p>
      <w:r>
        <w:pict>
          <v:rect style="width:0;height:1.5pt" o:hralign="center" o:hrstd="t" o:hr="t"/>
        </w:pict>
      </w:r>
    </w:p>
    <w:p>
      <w:pPr>
        <w:pStyle w:val="FirstParagraph"/>
      </w:pPr>
      <w:r>
        <w:t xml:space="preserve">In the Coast Range of southwestern Oregon there is a forest of about 93,000 acres called the Elliott. For most of the twentieth century it was the workhorse of Oregon’s Common School Fund: Douglas-fir country, managed for sustained-yield timber, sending a reliable stream of revenue to the schools year after year. If you wanted to point to one asset that showed what the 1859 compact was supposed to look like in operation — land held for children, earning for children — the Elliott was the one you pointed to.</w:t>
      </w:r>
    </w:p>
    <w:p>
      <w:pPr>
        <w:pStyle w:val="BodyText"/>
      </w:pPr>
      <w:r>
        <w:t xml:space="preserve">Then, over about five years, the schools lost it. Not to a fire, and not to a thief. To a sequence of official decisions, each one explained, each one voted on in the open, each one defended as the responsible thing to do.</w:t>
      </w:r>
    </w:p>
    <w:p>
      <w:pPr>
        <w:pStyle w:val="BodyText"/>
      </w:pPr>
      <w:r>
        <w:t xml:space="preserve">The sequence ran like this. By the mid-2010s, the State Land Board — the trust’s trustee — had concluded the Elliott was a net drain on the fund: litigation over endangered-species protections had shrunk the harvestable acreage, and the political cost of cutting trees had outrun the school revenue the cutting produced. In 2017 the Board voted to sell the entire forest to a private buyer in a single transaction, then reversed itself under public pressure. The legislature then approved a package to</w:t>
      </w:r>
      <w:r>
        <w:t xml:space="preserve"> </w:t>
      </w:r>
      <w:r>
        <w:t xml:space="preserve">“</w:t>
      </w:r>
      <w:r>
        <w:t xml:space="preserve">decouple</w:t>
      </w:r>
      <w:r>
        <w:t xml:space="preserve">”</w:t>
      </w:r>
      <w:r>
        <w:t xml:space="preserve"> </w:t>
      </w:r>
      <w:r>
        <w:t xml:space="preserve">the forest from the Common School Fund altogether — roughly $221 million in all ($121 million in General Funds and $100 million in bonds), the state’s own legislative report says, to move the asset off the schools’ books. The announced plan was that the Elliott would become a research forest governed by Oregon State University. But the governance hand-off to OSU collapsed in late 2023. The forest stayed decoupled from the fund anyway — the trust’s revenue base stripped away while the justification for stripping it had evaporated. The final statutory severance came in 2025 [VERIFY the precise legislative vehicles and dates against the session laws and the SB 1546 / SB 147 reports before print; the $221 million total and its $121M-General-Fund / $100M-bond components are confirmed to the state’s legislative report and the project figures file].</w:t>
      </w:r>
    </w:p>
    <w:p>
      <w:pPr>
        <w:pStyle w:val="BodyText"/>
      </w:pPr>
      <w:r>
        <w:t xml:space="preserve">The state’s description of all this is straightforward: the schools were bought out. The trust gave up a troublesome asset and received fair compensation. Everyone can move on.</w:t>
      </w:r>
    </w:p>
    <w:p>
      <w:pPr>
        <w:pStyle w:val="BodyText"/>
      </w:pPr>
      <w:r>
        <w:t xml:space="preserve">The trust’s advocates describe it differently, and the difference is the subject of this chapter. The buyer and the seller here were not independent parties. The State of Oregon sat on both sides of the table: as trustee, deciding what the children would accept, and as the acquiring sovereign, deciding what the children would be paid. The beneficiaries did not ask to sell. The price was not set by a market — the one time a market price was nearly discovered, in 2017, the sale was called off. And what the trust received was not a working asset but a promise: the bonds are general-obligation debt of the state, repaid from general revenue. The schools’ claim on 93,000 acres of timber became the schools’ claim on a line item in the state budget — a budget written each session by the same legislature that engineered the exchange. In private trust law there is a name for a trustee who transfers trust property to himself at a price he set himself, and the name is not</w:t>
      </w:r>
      <w:r>
        <w:t xml:space="preserve"> </w:t>
      </w:r>
      <w:r>
        <w:t xml:space="preserve">“</w:t>
      </w:r>
      <w:r>
        <w:t xml:space="preserve">buyout.</w:t>
      </w:r>
      <w:r>
        <w:t xml:space="preserve">”</w:t>
      </w:r>
      <w:r>
        <w:t xml:space="preserve"> </w:t>
      </w:r>
      <w:r>
        <w:t xml:space="preserve">Whether the courts will see it that way is being litigated as this book goes to press, and this chapter does not predict; the litigation posture is described at the end. What can be said now is that the trustee’s own legal advisor had answered the underlying question long before. In 1977, Oregon’s Attorney General was asked whether income-producing school land could be designated a natural preserve, and answered that it could not be done where the designation</w:t>
      </w:r>
      <w:r>
        <w:t xml:space="preserve"> </w:t>
      </w:r>
      <w:r>
        <w:t xml:space="preserve">“</w:t>
      </w:r>
      <w:r>
        <w:t xml:space="preserve">would adversely affect the financial contribution of such land to the Common School Trust Fund.</w:t>
      </w:r>
      <w:r>
        <w:t xml:space="preserve">”</w:t>
      </w:r>
      <w:r>
        <w:t xml:space="preserve"> </w:t>
      </w:r>
      <w:r>
        <w:t xml:space="preserve">The 2022 arrangement did categorically what the 1977 opinion said could not be done incrementally. The opinion was never withdrawn. It was bypassed.</w:t>
      </w:r>
    </w:p>
    <w:p>
      <w:pPr>
        <w:pStyle w:val="BodyText"/>
      </w:pPr>
      <w:r>
        <w:t xml:space="preserve">But set the merits aside, because this chapter is not finally about whether the Elliott transaction was a breach. It is about something stranger and more important: what happens</w:t>
      </w:r>
      <w:r>
        <w:t xml:space="preserve"> </w:t>
      </w:r>
      <w:r>
        <w:rPr>
          <w:i/>
        </w:rPr>
        <w:t xml:space="preserve">if it was</w:t>
      </w:r>
      <w:r>
        <w:t xml:space="preserve">.</w:t>
      </w:r>
    </w:p>
    <w:p>
      <w:pPr>
        <w:pStyle w:val="Heading2"/>
      </w:pPr>
      <w:bookmarkStart w:id="54" w:name="the-remedies-that-exist"/>
      <w:r>
        <w:t xml:space="preserve">The remedies that exist</w:t>
      </w:r>
      <w:bookmarkEnd w:id="54"/>
    </w:p>
    <w:p>
      <w:pPr>
        <w:pStyle w:val="FirstParagraph"/>
      </w:pPr>
      <w:r>
        <w:t xml:space="preserve">Suppose a court someday looks at a transaction like this one — in Oregon or in any of the other states where versions of it have run — and finds a breach of trust. What can the court do about it?</w:t>
      </w:r>
    </w:p>
    <w:p>
      <w:pPr>
        <w:pStyle w:val="BodyText"/>
      </w:pPr>
      <w:r>
        <w:t xml:space="preserve">Trust law’s answer, built over centuries, is generous and precise. Equity developed a toolkit specifically for the problem of a fiduciary who has misused what he holds for others, and the tools have plain meanings:</w:t>
      </w:r>
    </w:p>
    <w:p>
      <w:pPr>
        <w:pStyle w:val="BodyText"/>
      </w:pPr>
      <w:r>
        <w:rPr>
          <w:b/>
        </w:rPr>
        <w:t xml:space="preserve">An accounting</w:t>
      </w:r>
      <w:r>
        <w:t xml:space="preserve"> </w:t>
      </w:r>
      <w:r>
        <w:t xml:space="preserve">— the court orders the trustee to lay out, completely and under oath, what the trust held and what was done with it, for any period in question. The first tool, because nothing else can be measured without it.</w:t>
      </w:r>
    </w:p>
    <w:p>
      <w:pPr>
        <w:pStyle w:val="BodyText"/>
      </w:pPr>
      <w:r>
        <w:rPr>
          <w:b/>
        </w:rPr>
        <w:t xml:space="preserve">Surcharge</w:t>
      </w:r>
      <w:r>
        <w:t xml:space="preserve"> </w:t>
      </w:r>
      <w:r>
        <w:t xml:space="preserve">— the trustee personally makes the trust whole. Not a fine paid to the government; a restoration of the loss, computed against what faithful administration would have produced.</w:t>
      </w:r>
    </w:p>
    <w:p>
      <w:pPr>
        <w:pStyle w:val="BodyText"/>
      </w:pPr>
      <w:r>
        <w:rPr>
          <w:b/>
        </w:rPr>
        <w:t xml:space="preserve">Restoration</w:t>
      </w:r>
      <w:r>
        <w:t xml:space="preserve"> </w:t>
      </w:r>
      <w:r>
        <w:t xml:space="preserve">— what was taken goes back. The asset itself, if it can still be identified; its full value with lost income and lost growth, if it cannot.</w:t>
      </w:r>
    </w:p>
    <w:p>
      <w:pPr>
        <w:pStyle w:val="BodyText"/>
      </w:pPr>
      <w:r>
        <w:rPr>
          <w:b/>
        </w:rPr>
        <w:t xml:space="preserve">Disgorgement</w:t>
      </w:r>
      <w:r>
        <w:t xml:space="preserve"> </w:t>
      </w:r>
      <w:r>
        <w:t xml:space="preserve">— whoever profited from the breach surrenders the profit. A trustee may not keep the gains of his own wrong, no matter how the transaction was papered.</w:t>
      </w:r>
    </w:p>
    <w:p>
      <w:pPr>
        <w:pStyle w:val="BodyText"/>
      </w:pPr>
      <w:r>
        <w:t xml:space="preserve">These are not exotic remedies. They are the ordinary consequences a bank trustee, a family trustee, any private trustee in America faces every working day. They are the reason private trusts are mostly kept: not because trustees are saints, but because everyone in the room knows the money can be ordered back.</w:t>
      </w:r>
    </w:p>
    <w:p>
      <w:pPr>
        <w:pStyle w:val="BodyText"/>
      </w:pPr>
      <w:r>
        <w:t xml:space="preserve">Now watch what happens when the trustee is a state.</w:t>
      </w:r>
    </w:p>
    <w:p>
      <w:pPr>
        <w:pStyle w:val="Heading2"/>
      </w:pPr>
      <w:bookmarkStart w:id="55" w:name="the-wall"/>
      <w:r>
        <w:t xml:space="preserve">The wall</w:t>
      </w:r>
      <w:bookmarkEnd w:id="55"/>
    </w:p>
    <w:p>
      <w:pPr>
        <w:pStyle w:val="FirstParagraph"/>
      </w:pPr>
      <w:r>
        <w:t xml:space="preserve">The beneficiary who proves a breach against a state trustee runs into a wall built of two doctrines, neither of which has anything to do with whether the breach occurred.</w:t>
      </w:r>
    </w:p>
    <w:p>
      <w:pPr>
        <w:pStyle w:val="BodyText"/>
      </w:pPr>
      <w:r>
        <w:t xml:space="preserve">The first is sovereign immunity — the old rule that the state cannot be sued without its own consent. It descends from the English maxim that the king can do no wrong, which is an odd cornerstone for a republic, but there it sits. Where it applies, it does not say the state is innocent. It says the question may not be asked. The state, as trustee, breaches; the state, as sovereign, declines to be sued for it; and both decisions are made by the same government.</w:t>
      </w:r>
    </w:p>
    <w:p>
      <w:pPr>
        <w:pStyle w:val="BodyText"/>
      </w:pPr>
      <w:r>
        <w:t xml:space="preserve">The second is the machinery states built when they did consent to suit: tort claims acts. These statutes were designed for a real and ordinary problem — the citizen whose car is hit by a state snowplow — and they carry the fittings that problem calls for: short notice deadlines, presentment procedures, caps on damages. Then, in trust litigation, states reach for the same machinery and hold it up against claims it was never built for. A demand that the trust corpus be restored is treated as if it were a fender claim: filed too late under a notice rule measured in months, against a breach that accumulated over decades; capped at an amount that bears no relation to what was taken; routed through procedures designed to protect the treasury from accident victims, now protecting it from the schoolchildren whose money the treasury holds. The centuries-old remedies of accounting, surcharge, and restoration — remedies that run to the trust, not damages paid to any individual — get fed into a machine built for car crashes, and the machine does what it was built to do. It says no.</w:t>
      </w:r>
    </w:p>
    <w:p>
      <w:pPr>
        <w:pStyle w:val="BodyText"/>
      </w:pPr>
      <w:r>
        <w:t xml:space="preserve">Put the two doctrines together and you get the result this chapter is named for. The beneficiary can fight through the standing wall of Chapter 2, establish the duties of Chapter 3 over the objection that they were never written down, survive the conflicted lawyering of Chapter 4, reconstruct from scattered records the accounting of Chapter 5 that no one ever sent — win, in other words, every battle the structure forces — and then be told, at the end, that the court has no power to order the money back. The breach is found. The remedy is barred. Winning means nothing.</w:t>
      </w:r>
    </w:p>
    <w:p>
      <w:pPr>
        <w:pStyle w:val="BodyText"/>
      </w:pPr>
      <w:r>
        <w:t xml:space="preserve">No private trust could survive this arrangement, because no private trust is asked to. A private trustee who answered a surcharge claim with</w:t>
      </w:r>
      <w:r>
        <w:t xml:space="preserve"> </w:t>
      </w:r>
      <w:r>
        <w:t xml:space="preserve">“</w:t>
      </w:r>
      <w:r>
        <w:t xml:space="preserve">I am immune from being sued by my beneficiaries</w:t>
      </w:r>
      <w:r>
        <w:t xml:space="preserve">”</w:t>
      </w:r>
      <w:r>
        <w:t xml:space="preserve"> </w:t>
      </w:r>
      <w:r>
        <w:t xml:space="preserve">would be removed before the laughter died down. Only public trustees hold this card, and it changes everything that happens before any case is filed. A trustee who knows the remedies cannot reach him is a trustee whose duties are, in practice, suggestions. The discount works backward through the whole institution: the legislature that knows restoration cannot be ordered prices breach at zero, and budgets accordingly. The wall does not just block the lawsuit at the end. It teaches everyone, all along, that the lawsuit at the end is safe to ignore.</w:t>
      </w:r>
    </w:p>
    <w:p>
      <w:pPr>
        <w:pStyle w:val="BodyText"/>
      </w:pPr>
      <w:r>
        <w:t xml:space="preserve">As for Oregon: the questions this chapter describes are not hypothetical there, and they are not settled. The trust’s advocates are in court now —</w:t>
      </w:r>
      <w:r>
        <w:t xml:space="preserve"> </w:t>
      </w:r>
      <w:r>
        <w:rPr>
          <w:i/>
        </w:rPr>
        <w:t xml:space="preserve">Siuslaw School District 97J v. State of Oregon</w:t>
      </w:r>
      <w:r>
        <w:t xml:space="preserve">, No. 24CV38372 (Coos County Circuit Court) [caption verified 2026-06-06 against the filed record;</w:t>
      </w:r>
      <w:r>
        <w:t xml:space="preserve"> </w:t>
      </w:r>
      <w:r>
        <w:rPr>
          <w:i/>
        </w:rPr>
        <w:t xml:space="preserve">Advocates for School Trust Lands v. State</w:t>
      </w:r>
      <w:r>
        <w:t xml:space="preserve">, 346 Or App 668 (2026), is the appeal of the earlier case, No. 23CV39056], with trial set for August 18–28, 2026 — and the State’s defenses and the available remedies are among the matters being litigated. This book describes the public record and predicts nothing. [COUNSEL REVIEW — all characterizations of 24CV38372 and the Elliott transaction in this chapter are gated on sign-off by lead counsel before any external use.]</w:t>
      </w:r>
    </w:p>
    <w:p>
      <w:pPr>
        <w:pStyle w:val="BodyText"/>
      </w:pPr>
      <w:r>
        <w:t xml:space="preserve">The repair, when it comes, is not complicated, because the remedies already exist; what is needed is consent. Article 7 of the Uniform Public Trust Enforcement Act supplies it — a limited waiver of sovereign immunity for the trust remedies themselves, a declaration that trust claims are not tort claims, and a guarantee that beneficiaries who sue in good faith are never made to pay for asking.</w:t>
      </w:r>
    </w:p>
    <w:p>
      <w:pPr>
        <w:pStyle w:val="BodyText"/>
      </w:pPr>
      <w:r>
        <w:t xml:space="preserve">A promise you cannot enforce is a hope. The framers did not set aside a square mile in every township for a hope.</w:t>
      </w:r>
    </w:p>
    <w:p>
      <w:pPr>
        <w:pStyle w:val="BodyText"/>
      </w:pPr>
      <w:r>
        <w:t xml:space="preserve">Five failures down, one to go. The last is the quietest of the six, because it needs no doctrine, no immunity statute, and no villain. It only needs nobody, ever, to tell the trustees what they are.</w:t>
      </w:r>
    </w:p>
    <w:p>
      <w:r>
        <w:pict>
          <v:rect style="width:0;height:1.5pt" o:hralign="center" o:hrstd="t" o:hr="t"/>
        </w:pict>
      </w:r>
    </w:p>
    <w:p>
      <w:pPr>
        <w:pStyle w:val="FirstParagraph"/>
      </w:pPr>
      <w:r>
        <w:rPr>
          <w:b/>
        </w:rPr>
        <w:t xml:space="preserve">Sources for this chapter.</w:t>
      </w:r>
      <w:r>
        <w:t xml:space="preserve"> </w:t>
      </w:r>
      <w:r>
        <w:t xml:space="preserve">The Elliott State Forest narrative — sustained-yield history, the mid-2010s net-drain determination, the 2017 sale vote and reversal, the 2019 $100 million bond issuance, the decoupling of the forest from the Common School Fund ($221 million total: $121M General Fund + $100M bonds), the collapsed OSU governance hand-off (late 2023), and the 2025 statutory severance — is carried from the project’s Oregon record and the State Land Board’s public proceedings [VERIFY each step, date, and figure against the Land Board minutes, session laws, and bond documents before print; the ~$221 million total compensation figure in particular must be reconciled to primary sources]. The 1977 Oregon Attorney General opinion on natural-area designation of Common School Grant Land (No. 7450, May 17, 1977, construing ORS 273.562) is quoted from the project’s L0 record; verified against the opinion (first question: the Admissions Act bars designating income-producing scho</w:t>
      </w:r>
    </w:p>
    <w:p>
      <w:r>
        <w:br w:type="page"/>
      </w:r>
    </w:p>
    <w:p>
      <w:pPr>
        <w:pStyle w:val="Heading1"/>
      </w:pPr>
      <w:bookmarkStart w:id="56" w:name="chapter-7-trustees-who-were-never-taught"/>
      <w:r>
        <w:t xml:space="preserve">Chapter 7 — Trustees Who Were Never Taught</w:t>
      </w:r>
      <w:bookmarkEnd w:id="56"/>
    </w:p>
    <w:p>
      <w:pPr>
        <w:pStyle w:val="FirstParagraph"/>
      </w:pPr>
      <w:r>
        <w:t xml:space="preserve">[DRAFT v2.0 — AI first pass; awaiting Dave’s voice pass]</w:t>
      </w:r>
    </w:p>
    <w:p>
      <w:r>
        <w:pict>
          <v:rect style="width:0;height:1.5pt" o:hralign="center" o:hrstd="t" o:hr="t"/>
        </w:pict>
      </w:r>
    </w:p>
    <w:p>
      <w:pPr>
        <w:pStyle w:val="FirstParagraph"/>
      </w:pPr>
      <w:r>
        <w:t xml:space="preserve">At noon on an inauguration day in Salem, Oregon, a newly elected state treasurer raises a right hand and takes an oath. In that moment the new treasurer acquires a long list of jobs, and somewhere down the list — below managing the state’s debt, below the unclaimed-property program — is this one: trustee of a perpetual trust for the schoolchildren of Oregon, the living ones and all the ones to come.</w:t>
      </w:r>
    </w:p>
    <w:p>
      <w:pPr>
        <w:pStyle w:val="BodyText"/>
      </w:pPr>
      <w:r>
        <w:t xml:space="preserve">It is not a ceremonial title. Oregon’s framers wrote it into the constitution in 1857: the governor, the secretary of state, and the treasurer constitute the State Land Board, and the Land Board administers the school trust. The treasurer now personally owes the most demanding duties American law knows how to impose — undivided loyalty, prudence, impartiality between the children in school today and the children of 2126 — duties a court once described as stricter than the morals of the marketplace,</w:t>
      </w:r>
      <w:r>
        <w:t xml:space="preserve"> </w:t>
      </w:r>
      <w:r>
        <w:t xml:space="preserve">“</w:t>
      </w:r>
      <w:r>
        <w:t xml:space="preserve">the punctilio of an honor the most sensitive.</w:t>
      </w:r>
      <w:r>
        <w:t xml:space="preserve">”</w:t>
      </w:r>
    </w:p>
    <w:p>
      <w:pPr>
        <w:pStyle w:val="BodyText"/>
      </w:pPr>
      <w:r>
        <w:t xml:space="preserve">Here is what happens next, in Oregon and in nearly every state like it: nothing.</w:t>
      </w:r>
    </w:p>
    <w:p>
      <w:pPr>
        <w:pStyle w:val="BodyText"/>
      </w:pPr>
      <w:r>
        <w:t xml:space="preserve">No one hands the new trustee a copy of the trust’s founding documents. No statute requires an hour of instruction in what a fiduciary is. There is no orientation in the duty of loyalty, no briefing on the difference between trust assets and state assets, no walk through the cases in which the state’s own courts have called this fund a trust of the highest nature. The treasurer will be surrounded, instead, by an agency with its own customs, its own budget anxieties, and its own settled sense of how things are done — and will learn the job, as every predecessor learned it, from the people who did it last.</w:t>
      </w:r>
    </w:p>
    <w:p>
      <w:pPr>
        <w:pStyle w:val="BodyText"/>
      </w:pPr>
      <w:r>
        <w:t xml:space="preserve">Compare the licensing requirements stacked up around far smaller responsibilities. The lawyer who argues before the Land Board must complete continuing education every year to keep her license. So, in most states, must the barber, the real-estate agent, the insurance adjuster, and the applicator of lawn pesticides. The trustee of a multi-billion-dollar children’s trust must complete, in most trust-land states, nothing at all [VERIFY the cross-state survey of training requirements before print]. We have decided, as a country, that cutting hair without instruction is a public danger, and that administering a perpetual trust without instruction is fine.</w:t>
      </w:r>
    </w:p>
    <w:p>
      <w:pPr>
        <w:pStyle w:val="Heading2"/>
      </w:pPr>
      <w:bookmarkStart w:id="57" w:name="what-the-gap-did-the-first-time"/>
      <w:r>
        <w:t xml:space="preserve">What the gap did, the first time</w:t>
      </w:r>
      <w:bookmarkEnd w:id="57"/>
    </w:p>
    <w:p>
      <w:pPr>
        <w:pStyle w:val="FirstParagraph"/>
      </w:pPr>
      <w:r>
        <w:t xml:space="preserve">If you want to know what untaught trustees do, Oregon’s first half-century is the most thoroughly documented answer in the national record, and Chapter 5 already introduced its bottom line: Governor Chamberlain’s 1907 calculation that the school fund might have been</w:t>
      </w:r>
      <w:r>
        <w:t xml:space="preserve"> </w:t>
      </w:r>
      <w:r>
        <w:t xml:space="preserve">“</w:t>
      </w:r>
      <w:r>
        <w:t xml:space="preserve">five or six times as large</w:t>
      </w:r>
      <w:r>
        <w:t xml:space="preserve">”</w:t>
      </w:r>
      <w:r>
        <w:t xml:space="preserve"> </w:t>
      </w:r>
      <w:r>
        <w:t xml:space="preserve">but for the legislature’s own policies. F. G. Young, the historian Chapter 5 quoted, described in 1910 the operating disposition that produced the loss — Oregon’s</w:t>
      </w:r>
      <w:r>
        <w:t xml:space="preserve"> </w:t>
      </w:r>
      <w:r>
        <w:t xml:space="preserve">“</w:t>
      </w:r>
      <w:r>
        <w:t xml:space="preserve">unwavering aim to get its state lands as rapidly as possible into private hands,</w:t>
      </w:r>
      <w:r>
        <w:t xml:space="preserve">”</w:t>
      </w:r>
      <w:r>
        <w:t xml:space="preserve"> </w:t>
      </w:r>
      <w:r>
        <w:t xml:space="preserve">every acre on the market the moment the state had title, and frequently before. In 1887 — the flat-price act from Chapter 5 — the legislature dropped even the pretense of seeking value. The era ended in the federal land-fraud trials of 1904–1910, which produced twenty-one convictions of state and federal officials.</w:t>
      </w:r>
    </w:p>
    <w:p>
      <w:pPr>
        <w:pStyle w:val="BodyText"/>
      </w:pPr>
      <w:r>
        <w:t xml:space="preserve">The convictions are the memorable part, but they are the smaller part. A few men in that story were crooks. The much larger cast was something else: clerks, board members, and constitutional officers who processed the sales, decade after decade, without ever once being told — by a statute, a curriculum, or anyone — that they were fiduciaries, that the lands were not the state’s to liquidate at pleasure, that</w:t>
      </w:r>
      <w:r>
        <w:t xml:space="preserve"> </w:t>
      </w:r>
      <w:r>
        <w:t xml:space="preserve">“</w:t>
      </w:r>
      <w:r>
        <w:t xml:space="preserve">as fast as possible into private hands</w:t>
      </w:r>
      <w:r>
        <w:t xml:space="preserve">”</w:t>
      </w:r>
      <w:r>
        <w:t xml:space="preserve"> </w:t>
      </w:r>
      <w:r>
        <w:t xml:space="preserve">was not a land policy choice but a breach. The constitutional officers were nominally the trustees; the clerks did the work; the speculators harvested the gap between them. Nobody in the chain had been taught what the trust required, and so the trust’s requirements never entered anyone’s daily arithmetic. The doctrinal floor was there the whole time — Oregon’s Supreme Court would later call the fund</w:t>
      </w:r>
      <w:r>
        <w:t xml:space="preserve"> </w:t>
      </w:r>
      <w:r>
        <w:t xml:space="preserve">“</w:t>
      </w:r>
      <w:r>
        <w:t xml:space="preserve">a trust of the highest nature</w:t>
      </w:r>
      <w:r>
        <w:t xml:space="preserve">”</w:t>
      </w:r>
      <w:r>
        <w:t xml:space="preserve"> </w:t>
      </w:r>
      <w:r>
        <w:t xml:space="preserve">— but doctrine no one has been taught is doctrine no one applies.</w:t>
      </w:r>
    </w:p>
    <w:p>
      <w:pPr>
        <w:pStyle w:val="Heading2"/>
      </w:pPr>
      <w:bookmarkStart w:id="58" w:name="what-the-gap-does-now"/>
      <w:r>
        <w:t xml:space="preserve">What the gap does now</w:t>
      </w:r>
      <w:bookmarkEnd w:id="58"/>
    </w:p>
    <w:p>
      <w:pPr>
        <w:pStyle w:val="FirstParagraph"/>
      </w:pPr>
      <w:r>
        <w:t xml:space="preserve">The nineteenth-century version of this failure looks like fraud trials. The modern version looks like nothing at all, which is what makes it the quietest failure in the book.</w:t>
      </w:r>
    </w:p>
    <w:p>
      <w:pPr>
        <w:pStyle w:val="BodyText"/>
      </w:pPr>
      <w:r>
        <w:t xml:space="preserve">Run the arithmetic on turnover. A Land Board seat turns over every few years with the election cycle. Across forty years, a three-member board might be occupied by two dozen different officials, each arriving untaught, each absorbing the agency’s current assumptions as if they were the trust’s original terms, each departing before the consequences of any drift mature. No individual ever sees the whole arc. The institution’s memory is the staff, and the staff’s memory is the way things have been done lately. Under those conditions, each generation’s small departure from purpose becomes the next generation’s baseline — and the departures only ever accumulate in one direction, because the pressures (Chapter 8 will name them) only ever push one way.</w:t>
      </w:r>
    </w:p>
    <w:p>
      <w:pPr>
        <w:pStyle w:val="BodyText"/>
      </w:pPr>
      <w:r>
        <w:t xml:space="preserve">Oregon’s own legal record captures the mechanism with unusual precision. In 1992, and again in 2003, Oregon’s Attorney General examined the school lands and concluded they</w:t>
      </w:r>
      <w:r>
        <w:t xml:space="preserve"> </w:t>
      </w:r>
      <w:r>
        <w:t xml:space="preserve">“</w:t>
      </w:r>
      <w:r>
        <w:t xml:space="preserve">are a trust for the benefit of public education,</w:t>
      </w:r>
      <w:r>
        <w:t xml:space="preserve">”</w:t>
      </w:r>
      <w:r>
        <w:t xml:space="preserve"> </w:t>
      </w:r>
      <w:r>
        <w:t xml:space="preserve">whose obligations</w:t>
      </w:r>
      <w:r>
        <w:t xml:space="preserve"> </w:t>
      </w:r>
      <w:r>
        <w:t xml:space="preserve">“</w:t>
      </w:r>
      <w:r>
        <w:t xml:space="preserve">are binding. They cannot be disregarded.</w:t>
      </w:r>
      <w:r>
        <w:t xml:space="preserve">”</w:t>
      </w:r>
      <w:r>
        <w:t xml:space="preserve"> </w:t>
      </w:r>
      <w:r>
        <w:t xml:space="preserve">Two decades later, the same office stood in court defending the proposition that the Land Board’s treatment of trust assets was legally permissible. The constitution had not changed. The granting acts had not changed. What changed was personnel — and where no statute requires each incoming generation to be taught what the last generation knew, an institution can unlearn its own duties in twenty years and never notice the unlearning. Departures from purpose accumulate without examination or correction.</w:t>
      </w:r>
    </w:p>
    <w:p>
      <w:pPr>
        <w:pStyle w:val="BodyText"/>
      </w:pPr>
      <w:r>
        <w:t xml:space="preserve">And there is the other half of the gap:</w:t>
      </w:r>
      <w:r>
        <w:t xml:space="preserve"> </w:t>
      </w:r>
      <w:r>
        <w:rPr>
          <w:i/>
        </w:rPr>
        <w:t xml:space="preserve">without examination</w:t>
      </w:r>
      <w:r>
        <w:t xml:space="preserve">. Suppose the trustees drift, untaught. Who catches it? States audit their agencies, but a financial audit asks whether the books are accurate — whether the money went where the ledger says it went. It does not ask whether where it went was where a trust’s money is allowed to go. No trust-land state, with exceptions you can count on one hand [VERIFY], requires any independent body, ever, to review the trust’s performance against its purpose: whether the assets earned what they should, whether the expenditures were proper charges, whether the administration has bent away from the beneficiaries. A private trust of any size gets that scrutiny as a matter of course. The school trusts can go — have gone — sixty, eighty, a hundred years without one disinterested examination of whether the trust is doing what it was created to do. Drift unobserved is drift uncorrected. We met that principle in Chapter 5 as the missing statement. Here it is again as the missing review: nobody checks the trustees’ homework, and most of the trustees were never given the textbook.</w:t>
      </w:r>
    </w:p>
    <w:p>
      <w:pPr>
        <w:pStyle w:val="Heading2"/>
      </w:pPr>
      <w:bookmarkStart w:id="59" w:name="what-a-taught-trustee-sounds-like"/>
      <w:r>
        <w:t xml:space="preserve">What a taught trustee sounds like</w:t>
      </w:r>
      <w:bookmarkEnd w:id="59"/>
    </w:p>
    <w:p>
      <w:pPr>
        <w:pStyle w:val="FirstParagraph"/>
      </w:pPr>
      <w:r>
        <w:t xml:space="preserve">That none of this is inevitable is demonstrated by the one state that decided to teach.</w:t>
      </w:r>
    </w:p>
    <w:p>
      <w:pPr>
        <w:pStyle w:val="BodyText"/>
      </w:pPr>
      <w:r>
        <w:t xml:space="preserve">In 2017, a Utah governor’s office was weighing a proposal that would have touched the school trust’s assets. In the room was Tim Dawson, the official responsible for the trust’s permanent fund. His response, as the trust’s longtime advocates tell the story, was one sentence:</w:t>
      </w:r>
      <w:r>
        <w:t xml:space="preserve"> </w:t>
      </w:r>
      <w:r>
        <w:t xml:space="preserve">“</w:t>
      </w:r>
      <w:r>
        <w:t xml:space="preserve">My job is to defend the trust.</w:t>
      </w:r>
      <w:r>
        <w:t xml:space="preserve">”</w:t>
      </w:r>
    </w:p>
    <w:p>
      <w:pPr>
        <w:pStyle w:val="BodyText"/>
      </w:pPr>
      <w:r>
        <w:t xml:space="preserve">Stop on that sentence, because every word of it is the product of instruction.</w:t>
      </w:r>
      <w:r>
        <w:t xml:space="preserve"> </w:t>
      </w:r>
      <w:r>
        <w:rPr>
          <w:i/>
        </w:rPr>
        <w:t xml:space="preserve">My job</w:t>
      </w:r>
      <w:r>
        <w:t xml:space="preserve"> </w:t>
      </w:r>
      <w:r>
        <w:t xml:space="preserve">— he knew the duty was personally his, not the room’s.</w:t>
      </w:r>
      <w:r>
        <w:t xml:space="preserve"> </w:t>
      </w:r>
      <w:r>
        <w:rPr>
          <w:i/>
        </w:rPr>
        <w:t xml:space="preserve">Defend</w:t>
      </w:r>
      <w:r>
        <w:t xml:space="preserve"> </w:t>
      </w:r>
      <w:r>
        <w:t xml:space="preserve">— he knew the posture a fiduciary takes when anyone, including his own government, reaches for the corpus.</w:t>
      </w:r>
      <w:r>
        <w:t xml:space="preserve"> </w:t>
      </w:r>
      <w:r>
        <w:rPr>
          <w:i/>
        </w:rPr>
        <w:t xml:space="preserve">The trust</w:t>
      </w:r>
      <w:r>
        <w:t xml:space="preserve"> </w:t>
      </w:r>
      <w:r>
        <w:t xml:space="preserve">— he knew what the thing was. None of that knowledge is innate. Utah built it: a statute that spells out the trustees’ duties in words no one can pretend not to understand, an administration staffed and trained around those duties, an advocacy office whose business is reminding everyone else, and a generation of officials who came up inside that culture. Chapter 9 tells the whole Utah story. The point here is narrower. Utah’s officials are not better people than Oregon’s. They are taught people. The sentence Dawson said in that room is the sentence the system had been saying to him, in statute and training and institutional habit, for twenty years. When the moment came, he repeated it. That is what trustee education is for: it decides, years in advance, what gets said in the room.</w:t>
      </w:r>
    </w:p>
    <w:p>
      <w:pPr>
        <w:pStyle w:val="Heading2"/>
      </w:pPr>
      <w:bookmarkStart w:id="60" w:name="the-quietest-failure"/>
      <w:r>
        <w:t xml:space="preserve">The quietest failure</w:t>
      </w:r>
      <w:bookmarkEnd w:id="60"/>
    </w:p>
    <w:p>
      <w:pPr>
        <w:pStyle w:val="FirstParagraph"/>
      </w:pPr>
      <w:r>
        <w:t xml:space="preserve">Of the six failures in this book, this one alone has no villain even in principle. The locked courthouse door was built by someone’s argument; the missing statement serves someone’s convenience; the conflicted lawyer is somebody’s structural advantage. But nobody benefits from untaught trustees — not even the trustees, who inherit personal duties they are never warned about and liabilities they discover, if ever, from a complaint. The gap persists for the dullest of reasons: instruction is nobody’s line item, review is nobody’s deadline, and forty years of well-meaning turnover can therefore do what no raid ever could — move the whole institution, one untaught generation at a time, until the trust is something else and no one can say when it changed.</w:t>
      </w:r>
    </w:p>
    <w:p>
      <w:pPr>
        <w:pStyle w:val="BodyText"/>
      </w:pPr>
      <w:r>
        <w:t xml:space="preserve">Which is why the repair has to be the dull kind: Articles 8 and 9 of the Uniform Public Trust Enforcement Act simply make the teaching mandatory — instruction for every trustee within months of taking office and at intervals after, from a curriculum the trustee’s own agency does not control — and puts an independent review of every public trust’s performance on the calendar at least once a decade, so that no generation of trustees ever again serves out its whole term unexamined.</w:t>
      </w:r>
    </w:p>
    <w:p>
      <w:pPr>
        <w:pStyle w:val="BodyText"/>
      </w:pPr>
      <w:r>
        <w:t xml:space="preserve">A republic that requires sixty hours of instruction to drive a school bus can require six to hold the children’s inheritance. The wonder is not that the requirement is needed. The wonder is that two hundred and forty years went by before anyone wrote it down.</w:t>
      </w:r>
    </w:p>
    <w:p>
      <w:pPr>
        <w:pStyle w:val="BodyText"/>
      </w:pPr>
      <w:r>
        <w:t xml:space="preserve">That completes the catalog. Part II turns from the six failures to the machine that produced them — why the same failures appeared in every state and every era, and what it took, exactly once, to throw the machine into reverse.</w:t>
      </w:r>
    </w:p>
    <w:p>
      <w:r>
        <w:pict>
          <v:rect style="width:0;height:1.5pt" o:hralign="center" o:hrstd="t" o:hr="t"/>
        </w:pict>
      </w:r>
    </w:p>
    <w:p>
      <w:pPr>
        <w:pStyle w:val="FirstParagraph"/>
      </w:pPr>
      <w:r>
        <w:rPr>
          <w:b/>
        </w:rPr>
        <w:t xml:space="preserve">Sources for this chapter.</w:t>
      </w:r>
      <w:r>
        <w:t xml:space="preserve"> </w:t>
      </w:r>
      <w:r>
        <w:t xml:space="preserve">Oregon’s Land Board composition: Or. Const. art. VIII, § 5 (1857). The</w:t>
      </w:r>
      <w:r>
        <w:t xml:space="preserve"> </w:t>
      </w:r>
      <w:r>
        <w:t xml:space="preserve">“</w:t>
      </w:r>
      <w:r>
        <w:t xml:space="preserve">punctilio of an honor the most sensitive</w:t>
      </w:r>
      <w:r>
        <w:t xml:space="preserve">”</w:t>
      </w:r>
      <w:r>
        <w:t xml:space="preserve"> </w:t>
      </w:r>
      <w:r>
        <w:t xml:space="preserve">standard: Cardozo, J., in</w:t>
      </w:r>
      <w:r>
        <w:t xml:space="preserve"> </w:t>
      </w:r>
      <w:r>
        <w:rPr>
          <w:i/>
        </w:rPr>
        <w:t xml:space="preserve">Meinhard v. Salmon</w:t>
      </w:r>
      <w:r>
        <w:t xml:space="preserve">, 249 N.Y. 458 (1928) [VERIFY pin-cite]. Oregon’s first half-century: F. G. Young,</w:t>
      </w:r>
      <w:r>
        <w:t xml:space="preserve"> </w:t>
      </w:r>
      <w:r>
        <w:rPr>
          <w:i/>
        </w:rPr>
        <w:t xml:space="preserve">Oregon Historical Quarterly</w:t>
      </w:r>
      <w:r>
        <w:t xml:space="preserve"> </w:t>
      </w:r>
      <w:r>
        <w:t xml:space="preserve">(1910); the 1887 flat-price act ($1.25 per acre); Governor Chamberlain’s 1907 message; the 1904–1910 federal land-fraud trials and twenty-one convictions of state and federal officials [VERIFY each against the primary record before print].</w:t>
      </w:r>
      <w:r>
        <w:t xml:space="preserve"> </w:t>
      </w:r>
      <w:r>
        <w:t xml:space="preserve">“</w:t>
      </w:r>
      <w:r>
        <w:t xml:space="preserve">Trust of the highest nature</w:t>
      </w:r>
      <w:r>
        <w:t xml:space="preserve">”</w:t>
      </w:r>
      <w:r>
        <w:t xml:space="preserve">:</w:t>
      </w:r>
      <w:r>
        <w:t xml:space="preserve"> </w:t>
      </w:r>
      <w:r>
        <w:rPr>
          <w:i/>
        </w:rPr>
        <w:t xml:space="preserve">Eagle Point Irrigation District v. Cowden</w:t>
      </w:r>
      <w:r>
        <w:t xml:space="preserve"> </w:t>
      </w:r>
      <w:r>
        <w:t xml:space="preserve">(Or. 1931) [VERIFY citation]. The 1992 Oregon Attorney General opinion (OP 8223, July 24, 1992) and the 2003 opinion (OP 8279, May 9, 2003) are verified against the L0 opinion texts: the opinion states the Admission Act obligations</w:t>
      </w:r>
      <w:r>
        <w:t xml:space="preserve"> </w:t>
      </w:r>
      <w:r>
        <w:t xml:space="preserve">“</w:t>
      </w:r>
      <w:r>
        <w:t xml:space="preserve">are binding. They cannot be disregarded</w:t>
      </w:r>
      <w:r>
        <w:t xml:space="preserve">”</w:t>
      </w:r>
      <w:r>
        <w:t xml:space="preserve"> </w:t>
      </w:r>
      <w:r>
        <w:t xml:space="preserve">(the opinion’s own words), and it adopts the phrase</w:t>
      </w:r>
      <w:r>
        <w:t xml:space="preserve"> </w:t>
      </w:r>
      <w:r>
        <w:t xml:space="preserve">“</w:t>
      </w:r>
      <w:r>
        <w:t xml:space="preserve">a trust for the benefit of public education</w:t>
      </w:r>
      <w:r>
        <w:t xml:space="preserve">”</w:t>
      </w:r>
      <w:r>
        <w:t xml:space="preserve"> </w:t>
      </w:r>
      <w:r>
        <w:t xml:space="preserve">by quoting Grand Prize Hydraulic Mines v. Boswell, 83 Or 1, 6 (1917). Cross-state claims about training and review requirements carry [VERIFY] flags pending the fifty-state survey. The Tim Dawson episode (2017) is preserved in Margaret Bird’s first-hand account, cited here as the recollection of a partici</w:t>
      </w:r>
    </w:p>
    <w:p>
      <w:r>
        <w:br w:type="page"/>
      </w:r>
    </w:p>
    <w:p>
      <w:pPr>
        <w:pStyle w:val="Heading1"/>
      </w:pPr>
      <w:bookmarkStart w:id="61" w:name="chapter-8-the-drift-machine"/>
      <w:r>
        <w:t xml:space="preserve">Chapter 8 — The Drift Machine</w:t>
      </w:r>
      <w:bookmarkEnd w:id="61"/>
    </w:p>
    <w:p>
      <w:pPr>
        <w:pStyle w:val="FirstParagraph"/>
      </w:pPr>
      <w:r>
        <w:t xml:space="preserve">[DRAFT v2.0 — AI first pass; awaiting Dave’s voice pass]</w:t>
      </w:r>
    </w:p>
    <w:p>
      <w:r>
        <w:pict>
          <v:rect style="width:0;height:1.5pt" o:hralign="center" o:hrstd="t" o:hr="t"/>
        </w:pict>
      </w:r>
    </w:p>
    <w:p>
      <w:pPr>
        <w:pStyle w:val="FirstParagraph"/>
      </w:pPr>
      <w:r>
        <w:t xml:space="preserve">On June 20, 1910, Congress passed a single enabling act admitting two states, New Mexico and Arizona, and it gave them the strongest school-trust language ever written into federal law. The lands were granted expressly</w:t>
      </w:r>
      <w:r>
        <w:t xml:space="preserve"> </w:t>
      </w:r>
      <w:r>
        <w:t xml:space="preserve">“</w:t>
      </w:r>
      <w:r>
        <w:t xml:space="preserve">in trust.</w:t>
      </w:r>
      <w:r>
        <w:t xml:space="preserve">”</w:t>
      </w:r>
      <w:r>
        <w:t xml:space="preserve"> </w:t>
      </w:r>
      <w:r>
        <w:t xml:space="preserve">Any disposition contrary to the act was declared</w:t>
      </w:r>
      <w:r>
        <w:t xml:space="preserve"> </w:t>
      </w:r>
      <w:r>
        <w:t xml:space="preserve">“</w:t>
      </w:r>
      <w:r>
        <w:t xml:space="preserve">null and void.</w:t>
      </w:r>
      <w:r>
        <w:t xml:space="preserve">”</w:t>
      </w:r>
      <w:r>
        <w:t xml:space="preserve"> </w:t>
      </w:r>
      <w:r>
        <w:t xml:space="preserve">Misuse was named, in so many words,</w:t>
      </w:r>
      <w:r>
        <w:t xml:space="preserve"> </w:t>
      </w:r>
      <w:r>
        <w:t xml:space="preserve">“</w:t>
      </w:r>
      <w:r>
        <w:t xml:space="preserve">a breach of trust,</w:t>
      </w:r>
      <w:r>
        <w:t xml:space="preserve">”</w:t>
      </w:r>
      <w:r>
        <w:t xml:space="preserve"> </w:t>
      </w:r>
      <w:r>
        <w:t xml:space="preserve">and the Attorney General of the United States was charged with prosecuting violations. Same act, same day, same words, two states side by side on the same high desert.</w:t>
      </w:r>
    </w:p>
    <w:p>
      <w:pPr>
        <w:pStyle w:val="BodyText"/>
      </w:pPr>
      <w:r>
        <w:t xml:space="preserve">A century later, New Mexico’s permanent land fund holds roughly $32 billion. Arizona’s holds roughly $9 billion. (New Mexico Land Grant Permanent Fund, about $32.6 billion as of October 2024; Arizona Permanent Land Endowment Trust Fund, about $8.8 billion as of June 2024, per the project figures file.) The same words produced outcomes that differ by a factor of nearly four.</w:t>
      </w:r>
    </w:p>
    <w:p>
      <w:pPr>
        <w:pStyle w:val="BodyText"/>
      </w:pPr>
      <w:r>
        <w:t xml:space="preserve">Now add Texas, which makes the puzzle worse. Texas was annexed, not carved from the federal domain; it kept its own public lands and received no federal school grant and no trust language at all. Its Permanent School Fund is today the largest school endowment in the country — about $60.6 billion as of August 2025, larger than New Mexico’s and Arizona’s combined (per the project figures file). And Connecticut, with no federal grant either, sold its western land claim in 1795 and capitalized a school fund eight years before Ohio — the first state to receive the federal sections — even existed.</w:t>
      </w:r>
    </w:p>
    <w:p>
      <w:pPr>
        <w:pStyle w:val="BodyText"/>
      </w:pPr>
      <w:r>
        <w:t xml:space="preserve">If the words decided the outcome, none of this could be true. The states with the strongest text should hold the strongest trusts, and the states with no text should hold nothing. Instead the record shows the founding language operating as an initial condition — the hand each state was dealt at admission — while something else entirely determined how the hand was played. Part I of this book told six stories of the promise failing. This chapter is about the something else: the machine that made the failures so uniform, in so many different states, across so many different eras, that you can use the six failures as a checklist.</w:t>
      </w:r>
    </w:p>
    <w:p>
      <w:pPr>
        <w:pStyle w:val="BodyText"/>
      </w:pPr>
      <w:r>
        <w:t xml:space="preserve">Because that uniformity is the fact demanding explanation. Oregon Democrats and Arizona Republicans, timber states and mineral states, 1887 and 1987 — the trusts drifted the same way everywhere the machinery ran unopposed. When the same failure occurs across every variation of politics, geography, and era, the cause is not the politics, the geography, or the era. The cause is structural. Three forces, present in every long-horizon institution humans have ever built, compound against a forever promise from the day it is made. None of them is exotic, and none of them requires a single dishonest actor.</w:t>
      </w:r>
    </w:p>
    <w:p>
      <w:pPr>
        <w:pStyle w:val="Heading2"/>
      </w:pPr>
      <w:bookmarkStart w:id="62" w:name="the-first-force-the-pull-of-the-present"/>
      <w:r>
        <w:t xml:space="preserve">The first force: the pull of the present</w:t>
      </w:r>
      <w:bookmarkEnd w:id="62"/>
    </w:p>
    <w:p>
      <w:pPr>
        <w:pStyle w:val="FirstParagraph"/>
      </w:pPr>
      <w:r>
        <w:t xml:space="preserve">Human beings discount the future, and not gently. A dollar today outweighs a dollar next year in everyone’s gut arithmetic, and a dollar promised to a child who will not be born for fifty years barely registers at all. Psychologists have measured the curve and it is steep. This is not a moral defect; it is how biological minds are built, presumably because the ancestors who heavily weighted next winter outlived the ones who heavily weighted the next century.</w:t>
      </w:r>
    </w:p>
    <w:p>
      <w:pPr>
        <w:pStyle w:val="BodyText"/>
      </w:pPr>
      <w:r>
        <w:t xml:space="preserve">Now look at what a perpetual trust asks of its trustee. The budget gap on the trustee’s desk is due in months and has a constituency that calls. The beneficiary of 2126 is an abstraction who never calls. The trustee is asked to weigh them equally — that is what impartiality between generations means — which is to say, the trustee is asked to override his own cognition every working day, forever. Some trustees manage it for a while. No institution staffed by human beings manages it indefinitely on willpower alone. The framers of the school compact understood this in their bones; it is why they reached for the most rigid legal form available rather than trusting posterity’s good intentions. What they could not supply was the daily enforcement the rigidity assumed.</w:t>
      </w:r>
    </w:p>
    <w:p>
      <w:pPr>
        <w:pStyle w:val="Heading2"/>
      </w:pPr>
      <w:bookmarkStart w:id="63" w:name="the-second-force-the-institutions-drift"/>
      <w:r>
        <w:t xml:space="preserve">The second force: the institution’s drift</w:t>
      </w:r>
      <w:bookmarkEnd w:id="63"/>
    </w:p>
    <w:p>
      <w:pPr>
        <w:pStyle w:val="FirstParagraph"/>
      </w:pPr>
      <w:r>
        <w:t xml:space="preserve">The second force lives not in any person but in the agency. Every long-running bureaucracy comes, over time, to treat its own continuity as a primary value — not corruptly, just gradually, the way any organism favors its own survival. Decisions that ease the agency’s budget, smooth its relations with the legislature, or placate the loudest industry in its hearing room get made one at a time, each with a defensible explanation. No single decision is a betrayal. But the explanations all bend the same direction, because the agency’s interests all point the same direction, and the aggregate — visible only across decades — is an institution that has quietly begun treating the trust corpus as the asset on which the institution runs, rather than as someone else’s property in its temporary care.</w:t>
      </w:r>
    </w:p>
    <w:p>
      <w:pPr>
        <w:pStyle w:val="BodyText"/>
      </w:pPr>
      <w:r>
        <w:t xml:space="preserve">Oregon’s Elliott story in Chapter 6 is this force in motion. Every actor in that chain had a defensible reason: the litigation costs were real, the political pain was real, the net-drain arithmetic was real inside the frame the agency drew around it. What no one in the room represented was the frame itself — the question of whether the trustee’s job was to relieve the trustee’s discomfort or to hold the beneficiaries’ asset. This is the signature of the second force, and it is worth stating as a rule: drift does not happen in any individual decision. Drift happens at the level of the room — in who is sitting at the table, and who is not.</w:t>
      </w:r>
    </w:p>
    <w:p>
      <w:pPr>
        <w:pStyle w:val="Heading2"/>
      </w:pPr>
      <w:bookmarkStart w:id="64" w:name="the-third-force-the-silent-current"/>
      <w:r>
        <w:t xml:space="preserve">The third force: the silent current</w:t>
      </w:r>
      <w:bookmarkEnd w:id="64"/>
    </w:p>
    <w:p>
      <w:pPr>
        <w:pStyle w:val="FirstParagraph"/>
      </w:pPr>
      <w:r>
        <w:t xml:space="preserve">Which brings up the deepest of the three, the one the whole compact was an attempt to engineer around. Every other interest that touches the trust can push back. The agency has lobbyists in its hallways. The industries have lobbyists at the capitol. The general fund has the appropriations committee. The beneficiaries — children now alive, and the longer line of children not yet born — have nothing. They cannot vote, cannot lobby, cannot give to a campaign, cannot sue without an adult fighting years for the right to speak for them, as Chapter 2 showed. In the constant negotiation that is government, the trust’s side of the table is structurally empty.</w:t>
      </w:r>
    </w:p>
    <w:p>
      <w:pPr>
        <w:pStyle w:val="BodyText"/>
      </w:pPr>
      <w:r>
        <w:t xml:space="preserve">Politics, like water, finds the unguarded channel. A legislature in a hard budget year does not take from the interest that will punish it; it takes from the interest that cannot. The school trusts have been the unguarded channel of American state finance for two centuries — not because legislators hate children, but because of every claim on the treasury, the children’s claim alone never pushes back. The framers chose the trust form precisely because it could hold property for the voiceless. But a trust is only as strong as its supervision, and supervision assumed someone would show up, generation after generation, to do the supervising. The silence is the default. Everything else in this book is about what fills it, or fails to.</w:t>
      </w:r>
    </w:p>
    <w:p>
      <w:pPr>
        <w:pStyle w:val="Heading2"/>
      </w:pPr>
      <w:bookmarkStart w:id="65" w:name="two-failure-modes-not-one"/>
      <w:r>
        <w:t xml:space="preserve">Two failure modes, not one</w:t>
      </w:r>
      <w:bookmarkEnd w:id="65"/>
    </w:p>
    <w:p>
      <w:pPr>
        <w:pStyle w:val="FirstParagraph"/>
      </w:pPr>
      <w:r>
        <w:t xml:space="preserve">Three compounding forces, then — but they produce disaster along two very different paths, and the difference matters as much as the forces themselves, because the defenses are different. The distinction comes from Margaret Bird, who has watched these fights longer than anyone:</w:t>
      </w:r>
      <w:r>
        <w:t xml:space="preserve"> </w:t>
      </w:r>
      <w:r>
        <w:rPr>
          <w:i/>
        </w:rPr>
        <w:t xml:space="preserve">drift</w:t>
      </w:r>
      <w:r>
        <w:t xml:space="preserve"> </w:t>
      </w:r>
      <w:r>
        <w:t xml:space="preserve">and</w:t>
      </w:r>
      <w:r>
        <w:t xml:space="preserve"> </w:t>
      </w:r>
      <w:r>
        <w:rPr>
          <w:i/>
        </w:rPr>
        <w:t xml:space="preserve">directed seizure</w:t>
      </w:r>
      <w:r>
        <w:t xml:space="preserve">.</w:t>
      </w:r>
    </w:p>
    <w:p>
      <w:pPr>
        <w:pStyle w:val="BodyText"/>
      </w:pPr>
      <w:r>
        <w:t xml:space="preserve">Drift is the slow path: the gradual, unintentional, no-villains movement of the trust away from its purpose. Oregon’s first half-century — every acre on the market, $1.25 flat — was drift. Forty years of untaught trustees is drift. Drift is what the three forces produce when nobody is paying attention, and its remedy is attention: accounting, review, the standing scrutiny that makes small departures visible while they are still small.</w:t>
      </w:r>
    </w:p>
    <w:p>
      <w:pPr>
        <w:pStyle w:val="BodyText"/>
      </w:pPr>
      <w:r>
        <w:t xml:space="preserve">Directed seizure is the fast path: a particular legislature or executive, in a particular season, deciding on purpose to convert what the trust holds. It is rarer, it is public or concealed but always deliberate, and attention alone does not stop it. Its remedy is contestation — litigation, mobilization, a political price made high enough in advance that reaching for the corpus stops being worth it.</w:t>
      </w:r>
    </w:p>
    <w:p>
      <w:pPr>
        <w:pStyle w:val="BodyText"/>
      </w:pPr>
      <w:r>
        <w:t xml:space="preserve">The cleanest demonstration that these are different problems came out of Nebraska while this book was being written, and it came as a controlled experiment, because the same governor reached for two trusts in the same season.</w:t>
      </w:r>
    </w:p>
    <w:p>
      <w:pPr>
        <w:pStyle w:val="BodyText"/>
      </w:pPr>
      <w:r>
        <w:t xml:space="preserve">In early 2026, Nebraska’s legislature took up LB 1072, which swept roughly $40 million in school-trust balances from the Board of Educational Lands and Funds — trustee of about $3 billion in school-trust assets — into a discretionary education spending fund. The maneuver was lawful in form, public in process, and precisely the kind of act a</w:t>
      </w:r>
      <w:r>
        <w:t xml:space="preserve"> </w:t>
      </w:r>
      <w:r>
        <w:t xml:space="preserve">“</w:t>
      </w:r>
      <w:r>
        <w:t xml:space="preserve">forever inviolate</w:t>
      </w:r>
      <w:r>
        <w:t xml:space="preserve">”</w:t>
      </w:r>
      <w:r>
        <w:t xml:space="preserve"> </w:t>
      </w:r>
      <w:r>
        <w:t xml:space="preserve">constitutional clause exists to deter. A state senator, Jane Raybould of Lincoln, moved on the floor to strike the transfer. Her amendment failed, nine votes to thirty. The bill was signed on April 7, 2026. No suit was filed. The beneficiaries’ side of the table was empty, and the sweep went through like water through the unguarded channel [VERIFY the LB 1072 particulars — amounts, dates, vote — against the legislative record before print].</w:t>
      </w:r>
    </w:p>
    <w:p>
      <w:pPr>
        <w:pStyle w:val="BodyText"/>
      </w:pPr>
      <w:r>
        <w:t xml:space="preserve">In the same session, the same governor proposed sweeping $40.7 million from a different perpetual fund — the Nebraska Environmental Trust, a lottery-funded conservation endowment. That trust, it turns out, has a constituency. The proposal met public outcry, op-eds, and a credible threat of constitutional litigation, and the sweep shrank from $40.7 million to $11.1 million before it passed [VERIFY figures].</w:t>
      </w:r>
    </w:p>
    <w:p>
      <w:pPr>
        <w:pStyle w:val="BodyText"/>
      </w:pPr>
      <w:r>
        <w:t xml:space="preserve">Same state. Same session. Same maneuver. Comparable legal architecture on both sides. The trust with watchers kept three-quarters of what was reached for; the trust without watchers lost everything on a 9–30 vote. You will not find a cleaner measurement anywhere in the record of what, exactly, the words on paper are worth without people behind them.</w:t>
      </w:r>
    </w:p>
    <w:p>
      <w:pPr>
        <w:pStyle w:val="Heading2"/>
      </w:pPr>
      <w:bookmarkStart w:id="66" w:name="what-the-machine-teaches"/>
      <w:r>
        <w:t xml:space="preserve">What the machine teaches</w:t>
      </w:r>
      <w:bookmarkEnd w:id="66"/>
    </w:p>
    <w:p>
      <w:pPr>
        <w:pStyle w:val="FirstParagraph"/>
      </w:pPr>
      <w:r>
        <w:t xml:space="preserve">Put the New Mexico–Arizona puzzle and the Nebraska experiment side by side and the record’s central finding comes into focus. Strong founding text without a constituency drifts — Oregon’s constitution called its school fund</w:t>
      </w:r>
      <w:r>
        <w:t xml:space="preserve"> </w:t>
      </w:r>
      <w:r>
        <w:t xml:space="preserve">“</w:t>
      </w:r>
      <w:r>
        <w:t xml:space="preserve">irreducible</w:t>
      </w:r>
      <w:r>
        <w:t xml:space="preserve">”</w:t>
      </w:r>
      <w:r>
        <w:t xml:space="preserve"> </w:t>
      </w:r>
      <w:r>
        <w:t xml:space="preserve">in 1857 and the fund was reduced for a century. A constituency without enforceable text has nothing to pull — it can rage at a floor vote it has no standing to challenge. Both layers are necessary. But of the two, the constituency is the active ingredient, because the record contains states where the text never changed and the outcome reversed completely the moment a constituency arrived. The next chapter is about the best of those states. Architecture, the record says, is what makes accountability</w:t>
      </w:r>
      <w:r>
        <w:t xml:space="preserve"> </w:t>
      </w:r>
      <w:r>
        <w:rPr>
          <w:i/>
        </w:rPr>
        <w:t xml:space="preserve">legible</w:t>
      </w:r>
      <w:r>
        <w:t xml:space="preserve">. People are what make it</w:t>
      </w:r>
      <w:r>
        <w:t xml:space="preserve"> </w:t>
      </w:r>
      <w:r>
        <w:rPr>
          <w:i/>
        </w:rPr>
        <w:t xml:space="preserve">operate</w:t>
      </w:r>
      <w:r>
        <w:t xml:space="preserve">.</w:t>
      </w:r>
    </w:p>
    <w:p>
      <w:pPr>
        <w:pStyle w:val="BodyText"/>
      </w:pPr>
      <w:r>
        <w:t xml:space="preserve">One rule of design falls straight out of the machine’s blueprint, and it should be carved over the door of every forever-institution: rigid as to beneficiary and purpose, adaptive as to means. The trusts that survived translated their assets as the world changed — land into funds, timber into portfolios — while holding the beneficiary and the purpose absolutely fixed. The trusts that failed did the reverse: they froze the means until the asset became a political orphan, then let the purpose float free until the corpus was anyone’s to claim. A trust that cannot adapt its instruments starves; a trust that can adapt its purpose is not a trust, just a temporary appropriation wearing ceremonial language.</w:t>
      </w:r>
    </w:p>
    <w:p>
      <w:pPr>
        <w:pStyle w:val="BodyText"/>
      </w:pPr>
      <w:r>
        <w:t xml:space="preserve">And one warning falls out with it. The three forces never operated on the school trusts alone — they operate on every institution asked to keep a promise longer than the people who made it, including the perpetual funds and AI-era endowments being chartered right now, whose architects Chapter 11 addresses. The machine is general. The school trusts are simply where it ran long enough, in enough variations, to leave a complete record of how it works — and of the one place where it was thrown into reverse.</w:t>
      </w:r>
    </w:p>
    <w:p>
      <w:pPr>
        <w:pStyle w:val="BodyText"/>
      </w:pPr>
      <w:r>
        <w:t xml:space="preserve">That place is Utah, and it is the next chapter.</w:t>
      </w:r>
    </w:p>
    <w:p>
      <w:r>
        <w:pict>
          <v:rect style="width:0;height:1.5pt" o:hralign="center" o:hrstd="t" o:hr="t"/>
        </w:pict>
      </w:r>
    </w:p>
    <w:p>
      <w:pPr>
        <w:pStyle w:val="FirstParagraph"/>
      </w:pPr>
      <w:r>
        <w:rPr>
          <w:b/>
        </w:rPr>
        <w:t xml:space="preserve">Sources for this chapter.</w:t>
      </w:r>
      <w:r>
        <w:t xml:space="preserve"> </w:t>
      </w:r>
      <w:r>
        <w:t xml:space="preserve">The New Mexico–Arizona Enabling Act of June 20, 1910, ch. 310, 36 Stat. 557 (express trust,</w:t>
      </w:r>
      <w:r>
        <w:t xml:space="preserve"> </w:t>
      </w:r>
      <w:r>
        <w:t xml:space="preserve">“</w:t>
      </w:r>
      <w:r>
        <w:t xml:space="preserve">null and void,</w:t>
      </w:r>
      <w:r>
        <w:t xml:space="preserve">”</w:t>
      </w:r>
      <w:r>
        <w:t xml:space="preserve"> </w:t>
      </w:r>
      <w:r>
        <w:t xml:space="preserve">“</w:t>
      </w:r>
      <w:r>
        <w:t xml:space="preserve">breach of trust,</w:t>
      </w:r>
      <w:r>
        <w:t xml:space="preserve">”</w:t>
      </w:r>
      <w:r>
        <w:t xml:space="preserve"> </w:t>
      </w:r>
      <w:r>
        <w:t xml:space="preserve">federal Attorney General enforcement); current fund balances (New Mexico ~$32.6B, Oct. 2024; Arizona ~$8.8B, June 2024) are taken from the project figures file and remain [VERIFY] to the two funds’ annual reports. Texas’s Permanent School Fund figure (~$60.6B, Aug. 2025, per the figures file) and the Connecticut Western Reserve sale (1795) carry [VERIFY] to primary sources. The three-forces model (present-bias, bureaucratic self-interest, beneficiary voicelessness) and the drift / directed-seizure distinction — the latter framed by Margaret Bird — are developed from the comparative fifty-state record assembled in the companion volume,</w:t>
      </w:r>
      <w:r>
        <w:t xml:space="preserve"> </w:t>
      </w:r>
      <w:r>
        <w:rPr>
          <w:i/>
        </w:rPr>
        <w:t xml:space="preserve">The Forgotten Forever Gift to Public Schools</w:t>
      </w:r>
      <w:r>
        <w:t xml:space="preserve"> </w:t>
      </w:r>
      <w:r>
        <w:t xml:space="preserve">(Volume 1 of this work) [VERIFY title at print], and the America’s School Trust Library. Oregon: Or. Const. art. VIII, § 2 (1857) (</w:t>
      </w:r>
      <w:r>
        <w:t xml:space="preserve">“</w:t>
      </w:r>
      <w:r>
        <w:t xml:space="preserve">separate and irreducible</w:t>
      </w:r>
      <w:r>
        <w:t xml:space="preserve">”</w:t>
      </w:r>
      <w:r>
        <w:t xml:space="preserve">); the 1887 flat-price act; Chamberlain (1907) — all [VERIFY] as in Chapters 5 and 7. Nebraska: LB 1072 (signed April 7, 2026); the Raybould floor amendment (failed 9–30, March 19, 2026); BELF trust assets ≈ $3.0 billion ($3,047,262,853 as of June 30, 2025, per the BELF FY2025 annual report); th</w:t>
      </w:r>
    </w:p>
    <w:p>
      <w:r>
        <w:br w:type="page"/>
      </w:r>
    </w:p>
    <w:p>
      <w:pPr>
        <w:pStyle w:val="Heading1"/>
      </w:pPr>
      <w:bookmarkStart w:id="67" w:name="chapter-9-utah-the-existence-proof"/>
      <w:r>
        <w:t xml:space="preserve">Chapter 9 — Utah: The Existence Proof</w:t>
      </w:r>
      <w:bookmarkEnd w:id="67"/>
    </w:p>
    <w:p>
      <w:pPr>
        <w:pStyle w:val="FirstParagraph"/>
      </w:pPr>
      <w:r>
        <w:t xml:space="preserve">[DRAFT v2.0 — AI first pass; awaiting Dave’s voice pass]</w:t>
      </w:r>
    </w:p>
    <w:p>
      <w:r>
        <w:pict>
          <v:rect style="width:0;height:1.5pt" o:hralign="center" o:hrstd="t" o:hr="t"/>
        </w:pict>
      </w:r>
    </w:p>
    <w:p>
      <w:pPr>
        <w:pStyle w:val="FirstParagraph"/>
      </w:pPr>
      <w:r>
        <w:t xml:space="preserve">In 1983, with the state in a budget crisis, the Utah legislature reached into the permanent school fund and took two-thirds of it.</w:t>
      </w:r>
    </w:p>
    <w:p>
      <w:pPr>
        <w:pStyle w:val="BodyText"/>
      </w:pPr>
      <w:r>
        <w:t xml:space="preserve">The numbers deserve to be stated exactly, because the whole chapter rests on them. At the end of 1982, Utah’s State School Fund held $53,500,836. A year later it held $18,583,248. The difference — $34.9 million, the accumulation of nearly a century — had been withdrawn by ordinary statute to cover the year’s education appropriations. Utah’s constitution said, then as now, that the public school funds were</w:t>
      </w:r>
      <w:r>
        <w:t xml:space="preserve"> </w:t>
      </w:r>
      <w:r>
        <w:t xml:space="preserve">“</w:t>
      </w:r>
      <w:r>
        <w:t xml:space="preserve">guaranteed by the State against loss or diversion.</w:t>
      </w:r>
      <w:r>
        <w:t xml:space="preserve">”</w:t>
      </w:r>
      <w:r>
        <w:t xml:space="preserve"> </w:t>
      </w:r>
      <w:r>
        <w:t xml:space="preserve">On paper, the withdrawal could not happen. It happened in one budget cycle.</w:t>
      </w:r>
    </w:p>
    <w:p>
      <w:pPr>
        <w:pStyle w:val="BodyText"/>
      </w:pPr>
      <w:r>
        <w:t xml:space="preserve">If the book ended at the bottom of that ledger, Utah would just be one more story for Part I — a directed seizure by floor vote, conducted in the open, against a beneficiary class that could not vote and did not push back. Every force named in the last chapter, operating exactly as designed.</w:t>
      </w:r>
    </w:p>
    <w:p>
      <w:pPr>
        <w:pStyle w:val="BodyText"/>
      </w:pPr>
      <w:r>
        <w:t xml:space="preserve">But the book does not end there, because Utah does not. Over the following forty years, the people of Utah built back the fund — and built, piece by piece, nearly every defense whose absence the first half of this book catalogued. The roughly $50 million fund of the early 1990s stands at about $3.7 billion as of 2025 (the Permanent State School Fund alone), a recovery of more than seventyfold, and every school in the state receives its share of the earnings in plain view, every year. Utah is the existence proof. One state, with the same kind of constitution, the same kind of enabling act, and the same human nature as the other nineteen trust-land states, chose to install the full architecture — and the trust came back from the edge and stays defended. After Utah, no one can claim the six failures are fate. They are choices, and Utah is the state that chose differently.</w:t>
      </w:r>
    </w:p>
    <w:p>
      <w:pPr>
        <w:pStyle w:val="BodyText"/>
      </w:pPr>
      <w:r>
        <w:t xml:space="preserve">It is worth walking through exactly what Utah did, in order, because the order itself is instructive: first the people showed up, then the laws got written.</w:t>
      </w:r>
    </w:p>
    <w:p>
      <w:pPr>
        <w:pStyle w:val="Heading2"/>
      </w:pPr>
      <w:bookmarkStart w:id="68" w:name="first-someone-read-page-124"/>
      <w:r>
        <w:t xml:space="preserve">First, someone read page 124</w:t>
      </w:r>
      <w:bookmarkEnd w:id="68"/>
    </w:p>
    <w:p>
      <w:pPr>
        <w:pStyle w:val="FirstParagraph"/>
      </w:pPr>
      <w:r>
        <w:t xml:space="preserve">The awakening began even before the raid, with a near miss that taught Utah’s school community what was at stake.</w:t>
      </w:r>
    </w:p>
    <w:p>
      <w:pPr>
        <w:pStyle w:val="BodyText"/>
      </w:pPr>
      <w:r>
        <w:t xml:space="preserve">Between roughly 1982 and 1984, Governor Scott Matheson — a Stanford-trained lawyer who, unusually for a governor, had actually practiced trust law — promoted an initiative called Project Bold. Its public rationale was sensible asset management: Utah’s three million acres of school-trust land lay scattered in the checkerboard pattern the 1894 Enabling Act had produced, and Project Bold proposed consolidating the scattered sections, through exchanges with the federal government, into contiguous blocks that could actually be managed for revenue. The State School Board was asked to support it on exactly that ground.</w:t>
      </w:r>
    </w:p>
    <w:p>
      <w:pPr>
        <w:pStyle w:val="BodyText"/>
      </w:pPr>
      <w:r>
        <w:t xml:space="preserve">According to Margaret Bird — who was on staff at the Utah State Office of Education in those years, later ran the school-trust-lands program there, and is the closest thing the school-trust movement has to an institutional memory — the proposal carried something its public rationale never mentioned. On page 124, by her account, sat language asking Congress to amend the Utah Enabling Act so that the federal grant would run</w:t>
      </w:r>
      <w:r>
        <w:t xml:space="preserve"> </w:t>
      </w:r>
      <w:r>
        <w:t xml:space="preserve">“</w:t>
      </w:r>
      <w:r>
        <w:t xml:space="preserve">to the state</w:t>
      </w:r>
      <w:r>
        <w:t xml:space="preserve">”</w:t>
      </w:r>
      <w:r>
        <w:t xml:space="preserve"> </w:t>
      </w:r>
      <w:r>
        <w:t xml:space="preserve">rather than</w:t>
      </w:r>
      <w:r>
        <w:t xml:space="preserve"> </w:t>
      </w:r>
      <w:r>
        <w:t xml:space="preserve">“</w:t>
      </w:r>
      <w:r>
        <w:t xml:space="preserve">for public schools.</w:t>
      </w:r>
      <w:r>
        <w:t xml:space="preserve">”</w:t>
      </w:r>
      <w:r>
        <w:t xml:space="preserve"> </w:t>
      </w:r>
      <w:r>
        <w:t xml:space="preserve">Three words against four. If the amendment had passed, the lands would have stayed in state hands — and stopped being a trust. The duties of loyalty, the bar on self-dealing, the children’s claim itself: all of it hung on the four words page 124 proposed to replace [the page-124 account rests on Margaret Bird’s contemporaneous recollection; it is presented here as her account, and flagged for her review].</w:t>
      </w:r>
    </w:p>
    <w:p>
      <w:pPr>
        <w:pStyle w:val="BodyText"/>
      </w:pPr>
      <w:r>
        <w:t xml:space="preserve">Project Bold failed in Congress, and the consolidation idea later succeeded honorably — the 1998 exchanges blocked up the lands while preserving their trust character. But the lesson Utah’s school community took from the episode outlasted both outcomes: nobody reads page 124 for you. Not the governor’s office, which wrote it; not the legislature, which receives a hundred such documents a session; not the attorney general, who works for the governor. If the beneficiaries of a trust want a sentinel, they must build one.</w:t>
      </w:r>
    </w:p>
    <w:p>
      <w:pPr>
        <w:pStyle w:val="BodyText"/>
      </w:pPr>
      <w:r>
        <w:t xml:space="preserve">Then came 1983, and the two-thirds withdrawal, and the lesson stopped being theoretical.</w:t>
      </w:r>
    </w:p>
    <w:p>
      <w:pPr>
        <w:pStyle w:val="Heading2"/>
      </w:pPr>
      <w:bookmarkStart w:id="69" w:name="then-the-constituency-assembled"/>
      <w:r>
        <w:t xml:space="preserve">Then the constituency assembled</w:t>
      </w:r>
      <w:bookmarkEnd w:id="69"/>
    </w:p>
    <w:p>
      <w:pPr>
        <w:pStyle w:val="FirstParagraph"/>
      </w:pPr>
      <w:r>
        <w:t xml:space="preserve">What happened next is the hinge of this book, and it is worth noticing what it was not. It was not a court ruling. It was not a new federal law. It was not a charismatic leader, though there were able people. It was a coalition — the Utah PTA, the Utah Education Association, the State Board of Education, the school boards association, the principals’ associations — that spent the years after the raid doing the unglamorous thing: educating itself about what the trust was, what the trustee owed, and what other states had done. By 1991 the coalition had pushed the legislature into creating a task force. By 1992 the task force had produced a slate of bills. And in 1994 the legislature enacted the School and Institutional Trust Lands Management Act, the most complete restatement of public-trust architecture any state had written.</w:t>
      </w:r>
    </w:p>
    <w:p>
      <w:pPr>
        <w:pStyle w:val="BodyText"/>
      </w:pPr>
      <w:r>
        <w:t xml:space="preserve">Look at what the 1994 act and its successors installed, against the checklist of Part I:</w:t>
      </w:r>
    </w:p>
    <w:p>
      <w:pPr>
        <w:pStyle w:val="BodyText"/>
      </w:pPr>
      <w:r>
        <w:rPr>
          <w:b/>
        </w:rPr>
        <w:t xml:space="preserve">The duties got written down.</w:t>
      </w:r>
      <w:r>
        <w:t xml:space="preserve"> </w:t>
      </w:r>
      <w:r>
        <w:t xml:space="preserve">Utah Code § 53C-1-102 codified the trustee’s</w:t>
      </w:r>
      <w:r>
        <w:t xml:space="preserve"> </w:t>
      </w:r>
      <w:r>
        <w:t xml:space="preserve">“</w:t>
      </w:r>
      <w:r>
        <w:t xml:space="preserve">undivided loyalty</w:t>
      </w:r>
      <w:r>
        <w:t xml:space="preserve">”</w:t>
      </w:r>
      <w:r>
        <w:t xml:space="preserve"> </w:t>
      </w:r>
      <w:r>
        <w:t xml:space="preserve">to the beneficiaries and the strict requirement to administer the corpus</w:t>
      </w:r>
      <w:r>
        <w:t xml:space="preserve"> </w:t>
      </w:r>
      <w:r>
        <w:t xml:space="preserve">“</w:t>
      </w:r>
      <w:r>
        <w:t xml:space="preserve">for their exclusive benefit</w:t>
      </w:r>
      <w:r>
        <w:t xml:space="preserve">”</w:t>
      </w:r>
      <w:r>
        <w:t xml:space="preserve"> </w:t>
      </w:r>
      <w:r>
        <w:t xml:space="preserve">— Chapter 3’s missing statute, supplied. No Utah official can now stand in a courtroom and argue the duties are unwritten, because they are written where a judge can read them.</w:t>
      </w:r>
    </w:p>
    <w:p>
      <w:pPr>
        <w:pStyle w:val="BodyText"/>
      </w:pPr>
      <w:r>
        <w:rPr>
          <w:b/>
        </w:rPr>
        <w:t xml:space="preserve">Management got professionalized and the trust got its own institution.</w:t>
      </w:r>
      <w:r>
        <w:t xml:space="preserve"> </w:t>
      </w:r>
      <w:r>
        <w:t xml:space="preserve">The lands moved from a conventional state agency to a dedicated trust-lands administration with a fiduciary mandate — an institution whose only client is the trust.</w:t>
      </w:r>
    </w:p>
    <w:p>
      <w:pPr>
        <w:pStyle w:val="BodyText"/>
      </w:pPr>
      <w:r>
        <w:rPr>
          <w:b/>
        </w:rPr>
        <w:t xml:space="preserve">The beneficiaries got a sentinel.</w:t>
      </w:r>
      <w:r>
        <w:t xml:space="preserve"> </w:t>
      </w:r>
      <w:r>
        <w:t xml:space="preserve">Utah created an independent Land Trusts Protection and Advocacy Office — separate from the management agency, with its own director, its own budget, and a statutory mandate to advocate for the beneficiaries even against other arms of the state [VERIFY the office’s statutory history and dates — Utah Code Title 53D — before print]. This is the office that reads page 124. Chapter 4’s conflicted lawyer has, in Utah, a structural answer: someone whose only job is the children’s side of the table.</w:t>
      </w:r>
    </w:p>
    <w:p>
      <w:pPr>
        <w:pStyle w:val="BodyText"/>
      </w:pPr>
      <w:r>
        <w:rPr>
          <w:b/>
        </w:rPr>
        <w:t xml:space="preserve">The statement gets sent.</w:t>
      </w:r>
      <w:r>
        <w:t xml:space="preserve"> </w:t>
      </w:r>
      <w:r>
        <w:t xml:space="preserve">Since 1999, under the School LAND Trust Program, a share of the trust’s earnings flows every year to every public school in Utah, per pupil, in plain view — and at each school a council with a parent majority, by statute, decides how the money serves that school’s plan. Chapter 5’s invisible trust became the most visible trust in America. Margaret Bird’s design insight here may be the single shrewdest piece of institutional engineering in the whole record: the children cannot defend their trust, but their parents can, and direct distribution recruits them. Every one of Utah’s school communities now has an annual, building-level reason to know the trust exists and to notice when anyone reaches for it. The distribution is not just the benefit. The distribution is the defense.</w:t>
      </w:r>
    </w:p>
    <w:p>
      <w:pPr>
        <w:pStyle w:val="BodyText"/>
      </w:pPr>
      <w:r>
        <w:rPr>
          <w:b/>
        </w:rPr>
        <w:t xml:space="preserve">And restoration actually happened.</w:t>
      </w:r>
      <w:r>
        <w:t xml:space="preserve"> </w:t>
      </w:r>
      <w:r>
        <w:t xml:space="preserve">When the 1996 designation of the Grand Staircase–Escalante National Monument swept up school sections, Utah did not absorb the loss in silence; the 1998 Schools and Lands Exchange Act compensated the trust with assets and money [VERIFY terms], converting a political loss into a legal recovery — Chapter 6’s missing remedy, run in real life.</w:t>
      </w:r>
    </w:p>
    <w:p>
      <w:pPr>
        <w:pStyle w:val="BodyText"/>
      </w:pPr>
      <w:r>
        <w:t xml:space="preserve">The results followed the architecture. The fund grew roughly seventyfold. The distributions to schools grew from nothing visible to a line every principal and parent council in the state can quote. And the political economy inverted: in most states, raiding the school trust is free; in Utah, it now means answering to an advocacy office with statutory standing, a trust administration with a fiduciary mandate, and a thousand school communities who can each name the number being taken from them. The watchful crew the framers could not engineer — Utah engineered it.</w:t>
      </w:r>
    </w:p>
    <w:p>
      <w:pPr>
        <w:pStyle w:val="BodyText"/>
      </w:pPr>
      <w:r>
        <w:t xml:space="preserve">In 2017, when a proposal touching the trust’s assets reached the governor’s office, the officer responsible for the permanent fund answered with the sentence Chapter 7 already quoted:</w:t>
      </w:r>
      <w:r>
        <w:t xml:space="preserve"> </w:t>
      </w:r>
      <w:r>
        <w:t xml:space="preserve">“</w:t>
      </w:r>
      <w:r>
        <w:t xml:space="preserve">My job is to defend the trust.</w:t>
      </w:r>
      <w:r>
        <w:t xml:space="preserve">”</w:t>
      </w:r>
      <w:r>
        <w:t xml:space="preserve"> </w:t>
      </w:r>
      <w:r>
        <w:t xml:space="preserve">In 1983, nobody in the room would have said that sentence. The architecture put it there.</w:t>
      </w:r>
    </w:p>
    <w:p>
      <w:pPr>
        <w:pStyle w:val="Heading2"/>
      </w:pPr>
      <w:bookmarkStart w:id="70" w:name="what-utah-proves-and-what-it-doesnt"/>
      <w:r>
        <w:t xml:space="preserve">What Utah proves — and what it doesn’t</w:t>
      </w:r>
      <w:bookmarkEnd w:id="70"/>
    </w:p>
    <w:p>
      <w:pPr>
        <w:pStyle w:val="FirstParagraph"/>
      </w:pPr>
      <w:r>
        <w:t xml:space="preserve">Be precise about the proof, because the proof is the point of the chapter.</w:t>
      </w:r>
    </w:p>
    <w:p>
      <w:pPr>
        <w:pStyle w:val="BodyText"/>
      </w:pPr>
      <w:r>
        <w:t xml:space="preserve">Utah does not prove that strong constitutions protect trusts; Utah’s constitution failed in 1983. It does not prove that good people protect trusts; Utah’s people were no worse in 1983 than in 1994. What Utah proves is the conjunction from the end of the last chapter: written, enforceable duties</w:t>
      </w:r>
      <w:r>
        <w:t xml:space="preserve"> </w:t>
      </w:r>
      <w:r>
        <w:rPr>
          <w:i/>
        </w:rPr>
        <w:t xml:space="preserve">plus</w:t>
      </w:r>
      <w:r>
        <w:t xml:space="preserve"> </w:t>
      </w:r>
      <w:r>
        <w:t xml:space="preserve">an organized constituency, installed together, can stop the drift machine and run it backward — same state, same charter, same human nature, before and after. The variable that changed is the variable that decides. Every state that says</w:t>
      </w:r>
      <w:r>
        <w:t xml:space="preserve"> </w:t>
      </w:r>
      <w:r>
        <w:t xml:space="preserve">“</w:t>
      </w:r>
      <w:r>
        <w:t xml:space="preserve">our trust has dwindled and nothing can be done</w:t>
      </w:r>
      <w:r>
        <w:t xml:space="preserve">”</w:t>
      </w:r>
      <w:r>
        <w:t xml:space="preserve"> </w:t>
      </w:r>
      <w:r>
        <w:t xml:space="preserve">is contradicted by a working counterexample one time zone away. That is what an existence proof is.</w:t>
      </w:r>
    </w:p>
    <w:p>
      <w:pPr>
        <w:pStyle w:val="BodyText"/>
      </w:pPr>
      <w:r>
        <w:t xml:space="preserve">But Utah also proves a second thing, sterner than the first: the machine never turns off. As this book was being written, Utah itself supplied the reminder. In 2024 the legislature passed H.B. 262, opening a path for trust lands to be sold directly to a state agency — the kind of state-to-itself transaction this book examined in Chapter 6 — and in 2026, under that authority, a roadless block of 50,608 acres of school-trust land in the Book Cliffs, in Grand County, was moved toward sale to the state’s Department of Natural Resources, with advocates for the trust watching whether the process honored the trustee’s duty to obtain full value in an arm’s-length way. The dispute is live and this book does not judge it. The point is simpler: it is happening in</w:t>
      </w:r>
      <w:r>
        <w:t xml:space="preserve"> </w:t>
      </w:r>
      <w:r>
        <w:rPr>
          <w:i/>
        </w:rPr>
        <w:t xml:space="preserve">Utah</w:t>
      </w:r>
      <w:r>
        <w:t xml:space="preserve"> </w:t>
      </w:r>
      <w:r>
        <w:t xml:space="preserve">— the best-defended trust in America — one generation after the reforms. The three forces of Chapter 8 did not retire when Title 53C passed. They never do. The pull of the present outlives every reform generation, which is why the watch can never stand down, and why the architecture itself must include the institutions that keep watching after the founders are gone.</w:t>
      </w:r>
    </w:p>
    <w:p>
      <w:pPr>
        <w:pStyle w:val="BodyText"/>
      </w:pPr>
      <w:r>
        <w:t xml:space="preserve">Utah built its architecture the hard way — a near miss, a raid, and a decade of coalition work, then thirty years of statutes refined one session at a time. The question this book exists to answer is whether the other states must each pay that tuition separately, or whether Utah’s forty-year curriculum can be written down once, as a single enforceable statute, and handed to any legislature willing to keep its promise. It can; the Uniform Public Trust Enforcement Act is that statute, and Part III walks through it.</w:t>
      </w:r>
    </w:p>
    <w:p>
      <w:pPr>
        <w:pStyle w:val="BodyText"/>
      </w:pPr>
      <w:r>
        <w:t xml:space="preserve">The promise held where the duties were written and the people kept watching. One state did both. The experiment worked. Now it needs replication.</w:t>
      </w:r>
    </w:p>
    <w:p>
      <w:pPr>
        <w:pStyle w:val="BodyText"/>
      </w:pPr>
      <w:r>
        <w:t xml:space="preserve">And replication starts where Utah started — not with a statute, but with people who decided to watch. They are the next chapter.</w:t>
      </w:r>
    </w:p>
    <w:p>
      <w:r>
        <w:pict>
          <v:rect style="width:0;height:1.5pt" o:hralign="center" o:hrstd="t" o:hr="t"/>
        </w:pict>
      </w:r>
    </w:p>
    <w:p>
      <w:pPr>
        <w:pStyle w:val="FirstParagraph"/>
      </w:pPr>
      <w:r>
        <w:rPr>
          <w:b/>
        </w:rPr>
        <w:t xml:space="preserve">Sources for this chapter.</w:t>
      </w:r>
      <w:r>
        <w:t xml:space="preserve"> </w:t>
      </w:r>
      <w:r>
        <w:t xml:space="preserve">The 1983 withdrawal: Utah State School Fund balances of $53,500,836 (1982) and $18,583,248 (1983), a withdrawal of about $34.9 million by ordinary statute; Utah Const. art. X (</w:t>
      </w:r>
      <w:r>
        <w:t xml:space="preserve">“</w:t>
      </w:r>
      <w:r>
        <w:t xml:space="preserve">guaranteed by the State against loss or diversion</w:t>
      </w:r>
      <w:r>
        <w:t xml:space="preserve">”</w:t>
      </w:r>
      <w:r>
        <w:t xml:space="preserve">) [VERIFY current article/section numbering]. Project Bold (1982–1984), Governor Scott Matheson, and the page-124 account: per Margaret Bird’s first-hand recollection (she served at the Utah State Office of Education in the period and later led its school-trust-lands program); presented as her account and flagged for her review. The recovery: coalition organizing 1989–1992 (Utah PTA, UEA, State Board of Education, school boards, principals’ associations); task force 1991–1992; School and Institutional Trust Lands Management Act (1994), Utah Code Title 53C, including § 53C-1-102 (</w:t>
      </w:r>
      <w:r>
        <w:t xml:space="preserve">“</w:t>
      </w:r>
      <w:r>
        <w:t xml:space="preserve">undivided loyalty</w:t>
      </w:r>
      <w:r>
        <w:t xml:space="preserve">”</w:t>
      </w:r>
      <w:r>
        <w:t xml:space="preserve">;</w:t>
      </w:r>
      <w:r>
        <w:t xml:space="preserve"> </w:t>
      </w:r>
      <w:r>
        <w:t xml:space="preserve">“</w:t>
      </w:r>
      <w:r>
        <w:t xml:space="preserve">exclusive benefit</w:t>
      </w:r>
      <w:r>
        <w:t xml:space="preserve">”</w:t>
      </w:r>
      <w:r>
        <w:t xml:space="preserve">); School LAND Trust Program (1999) with parent-majority school councils; Land Trusts Protection and Advocacy Office, Utah Code Title 53D [VERIFY statutory dates]; Schools and Lands Exchange Act (1998) following the Grand Staircase–Escalante designation [VERIFY terms]. Fund growth from ≈$50 million (early 1990s) to about $3.7 billion (Permanent State School Fund, 2025), per Utah State Treasurer / Utah Trust Lands reporting. The Tim Dawson remark (2017) is preserved in Margaret Bird’s first-hand account. The 2024–2026 direct-sale episode (Book Cliffs) is drawn from the Utah Land Trusts Protection &amp; Advocacy Office notice (April 27, 2026): H.B. 262 (2024 session); Utah Code 53C-4-104 (sale to state entities); a 50,608-acre roadless block in Grand County moved toward sale to the Utah Department of Natural Resources, with the Trust Lands Administration board acting in May 2026. The Uniform Public Trust Enforcement Act (draft v1, June 5, 2026) is the subject of Part III.</w:t>
      </w:r>
    </w:p>
    <w:p>
      <w:r>
        <w:br w:type="page"/>
      </w:r>
    </w:p>
    <w:p>
      <w:pPr>
        <w:pStyle w:val="Heading1"/>
      </w:pPr>
      <w:bookmarkStart w:id="71" w:name="chapter-10-the-watchful-crew"/>
      <w:r>
        <w:t xml:space="preserve">Chapter 10 — The Watchful Crew</w:t>
      </w:r>
      <w:bookmarkEnd w:id="71"/>
    </w:p>
    <w:p>
      <w:pPr>
        <w:pStyle w:val="FirstParagraph"/>
      </w:pPr>
      <w:r>
        <w:t xml:space="preserve">[DRAFT v2.0 — AI first pass; awaiting Dave’s voice pass]</w:t>
      </w:r>
    </w:p>
    <w:p>
      <w:r>
        <w:pict>
          <v:rect style="width:0;height:1.5pt" o:hralign="center" o:hrstd="t" o:hr="t"/>
        </w:pict>
      </w:r>
    </w:p>
    <w:p>
      <w:pPr>
        <w:pStyle w:val="FirstParagraph"/>
      </w:pPr>
      <w:r>
        <w:t xml:space="preserve">Anchors do not set themselves.</w:t>
      </w:r>
    </w:p>
    <w:p>
      <w:pPr>
        <w:pStyle w:val="BodyText"/>
      </w:pPr>
      <w:r>
        <w:t xml:space="preserve">That is the whole of this chapter, and it is worth sitting with, because it is the part of the problem no statute can reach. You can write every duty from the last nine chapters into law. You can codify loyalty, require the accounting, open the courthouse, restore the remedies. And you will have built a beautiful set of anchors. An anchor that no one inspects, that no crew drops when the storm comes up, is at the next storm indistinguishable from no anchor at all.</w:t>
      </w:r>
    </w:p>
    <w:p>
      <w:pPr>
        <w:pStyle w:val="BodyText"/>
      </w:pPr>
      <w:r>
        <w:t xml:space="preserve">Margaret Bird — whom you met in Chapters 8 and 9 — puts the matter in one sentence: if nobody says</w:t>
      </w:r>
      <w:r>
        <w:t xml:space="preserve"> </w:t>
      </w:r>
      <w:r>
        <w:rPr>
          <w:i/>
        </w:rPr>
        <w:t xml:space="preserve">you can’t do that</w:t>
      </w:r>
      <w:r>
        <w:t xml:space="preserve">, then they just get to do it. [Quote in spirit, attributed to Margaret Bird, May 5, 2026; flagged for her review.]</w:t>
      </w:r>
    </w:p>
    <w:p>
      <w:pPr>
        <w:pStyle w:val="BodyText"/>
      </w:pPr>
      <w:r>
        <w:t xml:space="preserve">That sentence is the diagnosis of two centuries of drift, and it is a job description. This chapter is about the people who fill it.</w:t>
      </w:r>
    </w:p>
    <w:p>
      <w:pPr>
        <w:pStyle w:val="Heading2"/>
      </w:pPr>
      <w:bookmarkStart w:id="72" w:name="the-experiment-ran-both-ways"/>
      <w:r>
        <w:t xml:space="preserve">The experiment ran both ways</w:t>
      </w:r>
      <w:bookmarkEnd w:id="72"/>
    </w:p>
    <w:p>
      <w:pPr>
        <w:pStyle w:val="FirstParagraph"/>
      </w:pPr>
      <w:r>
        <w:t xml:space="preserve">The record makes the case better than any argument could, because it ran the experiment in both directions.</w:t>
      </w:r>
    </w:p>
    <w:p>
      <w:pPr>
        <w:pStyle w:val="BodyText"/>
      </w:pPr>
      <w:r>
        <w:t xml:space="preserve">Oregon, before 1990, had one of the stronger trust architectures in the country. The protections were on paper. The structure was sound for its century. And the trust drifted anyway — not because the law failed, but because the people who had kept the law honest in practice thinned out. The mission-minded state foresters who treated sustained yield as a duty. The school administrators who spoke for the beneficiary at every hearing. A legislative culture in which the trust’s status as a trust simply went unquestioned. That cohort dissipated faster than the paper architecture could compensate. The defenses held in the statute book and dissolved in the room where the decisions were made. Nobody, in enough numbers and for enough years, was there to say</w:t>
      </w:r>
      <w:r>
        <w:t xml:space="preserve"> </w:t>
      </w:r>
      <w:r>
        <w:rPr>
          <w:i/>
        </w:rPr>
        <w:t xml:space="preserve">you can’t do that</w:t>
      </w:r>
      <w:r>
        <w:t xml:space="preserve">. So, in the end, they did.</w:t>
      </w:r>
    </w:p>
    <w:p>
      <w:pPr>
        <w:pStyle w:val="BodyText"/>
      </w:pPr>
      <w:r>
        <w:t xml:space="preserve">Utah ran it the other way, and the last chapter told that story in full. What bears repeating here is the part that was never in the statute. Utah’s recovery is the joint product of architecture</w:t>
      </w:r>
      <w:r>
        <w:t xml:space="preserve"> </w:t>
      </w:r>
      <w:r>
        <w:rPr>
          <w:i/>
        </w:rPr>
        <w:t xml:space="preserve">and</w:t>
      </w:r>
      <w:r>
        <w:t xml:space="preserve"> </w:t>
      </w:r>
      <w:r>
        <w:t xml:space="preserve">a community that treated the architecture as binding: the parents on the school councils, the teachers, the advocacy office, the journalists who covered the fund as if it mattered, the legislators who learned that reaching for the trust meant answering to every school in the state. When the officer responsible for Utah’s permanent fund said, as Chapter 7 told, that his job was to defend the trust, he was not being brave in a vacuum. He was saying a line that a watching public expected him to say — and would have noticed if he hadn’t. [VERIFY: Tim Dawson account, Utah, 2017; per Margaret Bird’s first-hand recollection.]</w:t>
      </w:r>
    </w:p>
    <w:p>
      <w:pPr>
        <w:pStyle w:val="BodyText"/>
      </w:pPr>
      <w:r>
        <w:t xml:space="preserve">The difference between the two states was never a difference in their laws. It was a difference in their crews.</w:t>
      </w:r>
    </w:p>
    <w:p>
      <w:pPr>
        <w:pStyle w:val="BodyText"/>
      </w:pPr>
      <w:r>
        <w:t xml:space="preserve">There is one more thread in the record worth pulling, because it tells the crew something specific about its own shape. In the modern enforcement cases — the lawsuits that actually recovered ground for school trusts — there is a feature the successful ones share: an organized nonprofit at the center of the plaintiff team. [VERIFY: nonprofit-plaintiff finding across the modern enforcement cases.] Not a lone aggrieved citizen, and not the state suing itself. The reason is not mysterious. A child cannot sue. A school, in most states, hesitates to sue the hand that feeds it. Somebody has to be organized enough, and durable enough, to be the plaintiff — and to still be there for the appeal three years later. The crew is not decoration on the litigation. Case after case, it is the thing that made the litigation possible at all.</w:t>
      </w:r>
    </w:p>
    <w:p>
      <w:pPr>
        <w:pStyle w:val="Heading2"/>
      </w:pPr>
      <w:bookmarkStart w:id="73" w:name="a-craft-that-almost-died-and-didnt"/>
      <w:r>
        <w:t xml:space="preserve">A craft that almost died, and didn’t</w:t>
      </w:r>
      <w:bookmarkEnd w:id="73"/>
    </w:p>
    <w:p>
      <w:pPr>
        <w:pStyle w:val="FirstParagraph"/>
      </w:pPr>
      <w:r>
        <w:t xml:space="preserve">Watchfulness over a public trust is a civic craft, and civic crafts can be lost. They can also be deliberately revived. That is not a hope; it has been done in this country, within living memory, in a humbler trade.</w:t>
      </w:r>
    </w:p>
    <w:p>
      <w:pPr>
        <w:pStyle w:val="BodyText"/>
      </w:pPr>
      <w:r>
        <w:t xml:space="preserve">By the 1970s, the old craft of timber framing — the heavy joinery that holds up every eighteenth-century barn in New England — had very nearly disappeared from working memory. A handful of people refused to let it go. Jack Sobon walked the surviving barns and took their joinery apart in measured drawings, recovering the technique piece by piece. Tedd Benson built a company that trained the next generation of framers. In 1985 they and a few others founded the Timber Framers Guild — conferences, a journal, an apprenticeship culture — and the craft came back, carried now by far more hands than the few who rescued it. [VERIFY: Sobon; Benson; Timber Framers Guild founding, 1985.]</w:t>
      </w:r>
    </w:p>
    <w:p>
      <w:pPr>
        <w:pStyle w:val="BodyText"/>
      </w:pPr>
      <w:r>
        <w:t xml:space="preserve">The pattern was four steps. Recover the technique. Write it down in plain language so others can replicate it. Build the institution that holds it. Then run the workshops and the community that let the technique compound faster than any one practitioner could manage alone.</w:t>
      </w:r>
    </w:p>
    <w:p>
      <w:pPr>
        <w:pStyle w:val="BodyText"/>
      </w:pPr>
      <w:r>
        <w:t xml:space="preserve">That is the pattern the school-trust community is following now, on purpose. The technique — how a trust drifts, how a diversion is spotted, what a breach looks like in a board minute, which questions to ask at which hearing — was recovered the hard way, by the people whose work fills Part I of this book. It is being written down: in the litigation record, in the scholarship, in this book and its companion volume,</w:t>
      </w:r>
      <w:r>
        <w:t xml:space="preserve"> </w:t>
      </w:r>
      <w:r>
        <w:rPr>
          <w:i/>
        </w:rPr>
        <w:t xml:space="preserve">The Forgotten Forever Gift to Public Schools</w:t>
      </w:r>
      <w:r>
        <w:t xml:space="preserve"> </w:t>
      </w:r>
      <w:r>
        <w:t xml:space="preserve">(Volume 1 of this work), and in a public library of the evidence where anyone can check a claim against the source it came from. The institutions that hold it exist and are growing. What remains is the part no founder can do alone: the handoff, generation to generation, before the current hands tire.</w:t>
      </w:r>
    </w:p>
    <w:p>
      <w:pPr>
        <w:pStyle w:val="BodyText"/>
      </w:pPr>
      <w:r>
        <w:t xml:space="preserve">That last step is where the craft died the first time. The founders of 1785 assumed the next generation would absorb by osmosis what their own generation knew in its bones — why section sixteen was set aside, what the promise meant, who it belonged to. The country forgot. A crew that wants to outlast its founders has to refuse that assumption and build the handoff in.</w:t>
      </w:r>
    </w:p>
    <w:p>
      <w:pPr>
        <w:pStyle w:val="Heading2"/>
      </w:pPr>
      <w:bookmarkStart w:id="74" w:name="the-cost-that-fell"/>
      <w:r>
        <w:t xml:space="preserve">The cost that fell</w:t>
      </w:r>
      <w:bookmarkEnd w:id="74"/>
    </w:p>
    <w:p>
      <w:pPr>
        <w:pStyle w:val="FirstParagraph"/>
      </w:pPr>
      <w:r>
        <w:t xml:space="preserve">For most of the trust’s history, the crew stayed small for a reason that had nothing to do with caring. The knowledge needed to defend a school trust was simply too expensive to acquire.</w:t>
      </w:r>
    </w:p>
    <w:p>
      <w:pPr>
        <w:pStyle w:val="BodyText"/>
      </w:pPr>
      <w:r>
        <w:t xml:space="preserve">To stand up at a hearing and be useful, you needed the trust’s current and historical acreage, the revenue per acre, the comparable figures from neighboring states, the fiduciary doctrine, the legislative history of every diversion across decades, the old dollars restated in today’s money. Assembling that, a generation ago, took an archivist’s training and an archivist’s month. The children, who were the beneficiaries, had no archivists. So the knowledge sat with the agencies — including the ones doing the diverting — and the watchful crew stayed small enough that a single patient bureaucracy could outlast it.</w:t>
      </w:r>
    </w:p>
    <w:p>
      <w:pPr>
        <w:pStyle w:val="BodyText"/>
      </w:pPr>
      <w:r>
        <w:t xml:space="preserve">In the last few years that cost fell, hard — by something close to an order of magnitude. A retired tree farmer can now sit down for an afternoon and ask, and get usefully answered, the questions that used to take the month: what the trust holds, what it earns, what it should earn, what the doctrine says, where the money went. A new state chapter can hold its own trust up against the failures named in Part I and see, immediately, where the gaps are. An accounting that once required a specialist to assemble can be read by a citizen before supper.</w:t>
      </w:r>
    </w:p>
    <w:p>
      <w:pPr>
        <w:pStyle w:val="BodyText"/>
      </w:pPr>
      <w:r>
        <w:t xml:space="preserve">I want to describe the new tools honestly, because this is exactly the claim a book can ruin by overstating. The tools do not supply judgment. They do not know what is fair, what is worth fighting for, or which of a hundred true facts is the one that matters at a given hearing. A citizen still decides all of that, and the deciding is the hard part and the human part and it is not going anywhere. What the tools do is narrower and enormous: they remove the cost of entry. The crew was never short of motivated people. It was short of people who could afford the price of admission. The price just collapsed.</w:t>
      </w:r>
    </w:p>
    <w:p>
      <w:pPr>
        <w:pStyle w:val="BodyText"/>
      </w:pPr>
      <w:r>
        <w:t xml:space="preserve">And the work the crew does has a place to accumulate. The record — the primary sources, the state dossiers, the week-by-week watch on fifty legislatures — now lives in a shared, public, inspectable library rather than in any particular keeper’s head or any agency’s file cabinet. That matters because of how the first watch was lost. The Oregon drift was, at bottom, a forgetting: an institution that across forty years and a dozen turnovers lost track of why the corpus was protected, and a public that never had the record in front of it to object. Memory held in heads dies with the heads. Memory held in a public institution can outlive its keepers — and the keepers can hand it, intact, to the next set of hands.</w:t>
      </w:r>
    </w:p>
    <w:p>
      <w:pPr>
        <w:pStyle w:val="Heading2"/>
      </w:pPr>
      <w:bookmarkStart w:id="75" w:name="what-the-watch-actually-does"/>
      <w:r>
        <w:t xml:space="preserve">What the watch actually does</w:t>
      </w:r>
      <w:bookmarkEnd w:id="75"/>
    </w:p>
    <w:p>
      <w:pPr>
        <w:pStyle w:val="FirstParagraph"/>
      </w:pPr>
      <w:r>
        <w:t xml:space="preserve">It is worth being concrete about the work, because none of it requires heroism, and saying so is the best recruiting pitch there is.</w:t>
      </w:r>
    </w:p>
    <w:p>
      <w:pPr>
        <w:pStyle w:val="BodyText"/>
      </w:pPr>
      <w:r>
        <w:t xml:space="preserve">The watch reads the minutes no one else reads. It shows up at the hearings. It files the records requests. It notices the lease that runs ninety-nine years, the appraisal commissioned by the buyer, the transfer with no statutory authority cited. It writes the legislator. It runs the story. It keeps the dossier current so the next person doesn’t start from zero. And when it has to, it is the organized plaintiff with the staying power to see an appeal through — because somebody must be, and the beneficiaries cannot be.</w:t>
      </w:r>
    </w:p>
    <w:p>
      <w:pPr>
        <w:pStyle w:val="BodyText"/>
      </w:pPr>
      <w:r>
        <w:t xml:space="preserve">Most of the time, the watch never files anything. That is the part Margaret Bird insists on, and the record bears her out: a trustee who knows the decisions will be read, compared, and remembered behaves differently from one who assumes no one is keeping the record. The watch is not only the plaintiff of last resort. It is the reason the breach gets reconsidered before it happens. [Framing attributed to Margaret Bird; flagged for her review.]</w:t>
      </w:r>
    </w:p>
    <w:p>
      <w:pPr>
        <w:pStyle w:val="Heading2"/>
      </w:pPr>
      <w:bookmarkStart w:id="76" w:name="the-watch-and-the-law"/>
      <w:r>
        <w:t xml:space="preserve">The watch and the law</w:t>
      </w:r>
      <w:bookmarkEnd w:id="76"/>
    </w:p>
    <w:p>
      <w:pPr>
        <w:pStyle w:val="FirstParagraph"/>
      </w:pPr>
      <w:r>
        <w:t xml:space="preserve">Here is where this chapter joins the rest of the book.</w:t>
      </w:r>
    </w:p>
    <w:p>
      <w:pPr>
        <w:pStyle w:val="BodyText"/>
      </w:pPr>
      <w:r>
        <w:t xml:space="preserve">Part I showed six ways the promise fails, and every one of them is, at bottom, a watching failure that hardened into structure: no one allowed in the courthouse, no duties written where a judge could read them, no one across the table from the state’s lawyer, no statement sent, no remedy when the watch finally won, no one ever teaching the trustees what they were. Part III is about a law that repairs each of those — and the law was drafted by people who learned everything in this chapter first.</w:t>
      </w:r>
    </w:p>
    <w:p>
      <w:pPr>
        <w:pStyle w:val="BodyText"/>
      </w:pPr>
      <w:r>
        <w:t xml:space="preserve">So the relationship runs both ways, and the book needs both directions said plainly. Law without watchers fails: that is Oregon before 1990, strong text and an emptying room. Watchers without law lose: that is every citizen who ever spotted a diversion and discovered there was no standing to object, no accounting to point at, and no remedy at the end. The crew makes the law operate. The law makes the crew effective. Neither substitutes for the other.</w:t>
      </w:r>
    </w:p>
    <w:p>
      <w:pPr>
        <w:pStyle w:val="BodyText"/>
      </w:pPr>
      <w:r>
        <w:t xml:space="preserve">The drafters of the repair understood this well enough to write the watch itself into the statute — a mandatory education that tells every new trustee what the watch already knows, and a scheduled outside review so that drift gets examined in public even in the decades when the volunteer benches run thin. That provision is the subject of Chapter 15, and it exists because of the lesson this chapter carries: the most consequential defense of a forever promise is the one that does not appear in any state code, and the second-most consequential is the law that assumes the first will sometimes fail.</w:t>
      </w:r>
    </w:p>
    <w:p>
      <w:pPr>
        <w:pStyle w:val="BodyText"/>
      </w:pPr>
      <w:r>
        <w:t xml:space="preserve">The structures this book proposes are necessary. The watchful crew is what makes them mean something across the kind of time a forever promise is supposed to last. Utah proved the failures are choices. The crew is who keeps choosing.</w:t>
      </w:r>
    </w:p>
    <w:p>
      <w:pPr>
        <w:pStyle w:val="BodyText"/>
      </w:pPr>
      <w:r>
        <w:t xml:space="preserve">One more audience needs this record before the law itself — the architects of the forever promises now being chartered, who still have time to build the watch in from the start. They are the next chapter.</w:t>
      </w:r>
    </w:p>
    <w:p>
      <w:r>
        <w:pict>
          <v:rect style="width:0;height:1.5pt" o:hralign="center" o:hrstd="t" o:hr="t"/>
        </w:pict>
      </w:r>
    </w:p>
    <w:p>
      <w:pPr>
        <w:pStyle w:val="FirstParagraph"/>
      </w:pPr>
      <w:r>
        <w:rPr>
          <w:b/>
        </w:rPr>
        <w:t xml:space="preserve">Sources for this chapter.</w:t>
      </w:r>
      <w:r>
        <w:t xml:space="preserve"> </w:t>
      </w:r>
      <w:r>
        <w:t xml:space="preserve">Margaret Bird’s</w:t>
      </w:r>
      <w:r>
        <w:t xml:space="preserve"> </w:t>
      </w:r>
      <w:r>
        <w:t xml:space="preserve">“</w:t>
      </w:r>
      <w:r>
        <w:t xml:space="preserve">if nobody says you can’t do that</w:t>
      </w:r>
      <w:r>
        <w:t xml:space="preserve">”</w:t>
      </w:r>
      <w:r>
        <w:t xml:space="preserve"> </w:t>
      </w:r>
      <w:r>
        <w:t xml:space="preserve">framing and her account of the watch’s deterrent effect are attributed to her from working conversations (May 2026) and are flagged for her review; she is not presented as an endorser of this volume. The Oregon pre-1990 dissipation and Utah constituency contrast is carried from the project’s comparative state record and the companion volume,</w:t>
      </w:r>
      <w:r>
        <w:t xml:space="preserve"> </w:t>
      </w:r>
      <w:r>
        <w:rPr>
          <w:i/>
        </w:rPr>
        <w:t xml:space="preserve">The Forgotten Forever Gift to Public Schools</w:t>
      </w:r>
      <w:r>
        <w:t xml:space="preserve">; the Tim Dawson account (Utah, 2017) is per Margaret Bird’s first-hand recollection [VERIFY]. The nonprofit-plaintiff finding across modern enforcement cases carries [VERIFY] pending case-by-case pinning. Timber-framing revival: Jack Sobon (measured-drawing recovery of New England joinery), Tedd Benson (Bensonwood;</w:t>
      </w:r>
      <w:r>
        <w:t xml:space="preserve"> </w:t>
      </w:r>
      <w:r>
        <w:rPr>
          <w:i/>
        </w:rPr>
        <w:t xml:space="preserve">Building the Timber Frame House</w:t>
      </w:r>
      <w:r>
        <w:t xml:space="preserve">, Scribner, 1980), Sobon,</w:t>
      </w:r>
      <w:r>
        <w:t xml:space="preserve"> </w:t>
      </w:r>
      <w:r>
        <w:rPr>
          <w:i/>
        </w:rPr>
        <w:t xml:space="preserve">Build a Classic Timber-Framed House</w:t>
      </w:r>
      <w:r>
        <w:t xml:space="preserve"> </w:t>
      </w:r>
      <w:r>
        <w:t xml:space="preserve">(Storey, 1994), and the Timber Framers Guild (founded 1985) [VERIFY each before print]. The cost-collapse argument and the library-as-institutional-memory framing are carried from the May 2026 drafts; descriptions of the public library of the evidence reflect its state as of mid-2026 and should be re-verified at press time.</w:t>
      </w:r>
    </w:p>
    <w:p>
      <w:r>
        <w:br w:type="page"/>
      </w:r>
    </w:p>
    <w:p>
      <w:pPr>
        <w:pStyle w:val="Heading1"/>
      </w:pPr>
      <w:bookmarkStart w:id="77" w:name="chapter-11-the-trusts-now-arriving"/>
      <w:r>
        <w:t xml:space="preserve">Chapter 11 — The Trusts Now Arriving</w:t>
      </w:r>
      <w:bookmarkEnd w:id="77"/>
    </w:p>
    <w:p>
      <w:pPr>
        <w:pStyle w:val="FirstParagraph"/>
      </w:pPr>
      <w:r>
        <w:t xml:space="preserve">[DRAFT v2.0 — AI first pass; awaiting Dave’s voice pass]</w:t>
      </w:r>
    </w:p>
    <w:p>
      <w:r>
        <w:pict>
          <v:rect style="width:0;height:1.5pt" o:hralign="center" o:hrstd="t" o:hr="t"/>
        </w:pict>
      </w:r>
    </w:p>
    <w:p>
      <w:pPr>
        <w:pStyle w:val="FirstParagraph"/>
      </w:pPr>
      <w:r>
        <w:t xml:space="preserve">Somewhere right now, a lawyer is drafting a charter for an institution that is supposed to last forever.</w:t>
      </w:r>
    </w:p>
    <w:p>
      <w:pPr>
        <w:pStyle w:val="BodyText"/>
      </w:pPr>
      <w:r>
        <w:t xml:space="preserve">Maybe it is a sovereign wealth fund chartered for citizens not yet born. Maybe it is a perpetual climate trust, meant to bind tomorrow’s legislatures to today’s commitments. Maybe it is one of the new AI-era endowments — a body holding compute, capital, and data for the benefit of future people, on time horizons measured in centuries. Proposals of every one of these kinds are moving from white paper to charter in this decade. [VERIFY: characterizations of specific proposals and institutions before naming any in print.]</w:t>
      </w:r>
    </w:p>
    <w:p>
      <w:pPr>
        <w:pStyle w:val="BodyText"/>
      </w:pPr>
      <w:r>
        <w:t xml:space="preserve">The lawyer drafting that charter is working on the same problem a Congress without a constitution worked on in 1785: how do you bind the future to a promise the present can see but the future cannot yet defend?</w:t>
      </w:r>
    </w:p>
    <w:p>
      <w:pPr>
        <w:pStyle w:val="BodyText"/>
      </w:pPr>
      <w:r>
        <w:t xml:space="preserve">And here is the fact this whole book has been building toward. There is exactly one body of evidence on how that problem plays out over centuries — the 240-year record of America’s school trusts, fifty states, every kind of economy and politics a republic can produce, all administering the same forever promise. The experiment ran long enough to return results. The results fill Part I of this book.</w:t>
      </w:r>
    </w:p>
    <w:p>
      <w:pPr>
        <w:pStyle w:val="BodyText"/>
      </w:pPr>
      <w:r>
        <w:t xml:space="preserve">The lawyer drafting that charter has almost certainly never heard of it.</w:t>
      </w:r>
    </w:p>
    <w:p>
      <w:pPr>
        <w:pStyle w:val="Heading2"/>
      </w:pPr>
      <w:bookmarkStart w:id="78" w:name="the-same-beneficiary-the-same-disability"/>
      <w:r>
        <w:t xml:space="preserve">The same beneficiary, the same disability</w:t>
      </w:r>
      <w:bookmarkEnd w:id="78"/>
    </w:p>
    <w:p>
      <w:pPr>
        <w:pStyle w:val="FirstParagraph"/>
      </w:pPr>
      <w:r>
        <w:t xml:space="preserve">What makes the school-trust record transferable is not the land. It is the beneficiary.</w:t>
      </w:r>
    </w:p>
    <w:p>
      <w:pPr>
        <w:pStyle w:val="BodyText"/>
      </w:pPr>
      <w:r>
        <w:t xml:space="preserve">The schoolchildren of 1850 — and of 1950, and of 2050 — could not vote, could not lobby, could not sue, and the not-yet-born among them had no one at all. Every failure in Part I traces back to that one disability: an institution holding wealth for people who cannot complain when it is taken.</w:t>
      </w:r>
    </w:p>
    <w:p>
      <w:pPr>
        <w:pStyle w:val="BodyText"/>
      </w:pPr>
      <w:r>
        <w:t xml:space="preserve">Now look at who the new institutions serve. The future citizens of a sovereign fund cannot vote today. The beneficiaries of a climate trust are mostly not yet born. The future people in whose name an AI-era endowment holds its compute cannot sue, testify, or write a letter to the editor. Every one of them is what the schoolchildren were: politically silent, easy to discount, the perfect host for an institution that would like to spend their share on something nearer to hand.</w:t>
      </w:r>
    </w:p>
    <w:p>
      <w:pPr>
        <w:pStyle w:val="BodyText"/>
      </w:pPr>
      <w:r>
        <w:t xml:space="preserve">Chapter 8 named the three forces that make drift the default wherever that beneficiary appears: people discount the future steeply; the bureaucracy guarding the fund acquires a survival interest of its own; and the silent beneficiary generates no feedback to correct the drift. None of those forces is about land, or about 1785. They are about how any long-horizon institution behaves under pressure. The new trusts will face all three, on the same timeline and for the same reasons — unless their architects build against them on purpose, at the founding, while the founding generation is still in the room and still believes the founding matters.</w:t>
      </w:r>
    </w:p>
    <w:p>
      <w:pPr>
        <w:pStyle w:val="Heading2"/>
      </w:pPr>
      <w:bookmarkStart w:id="79" w:name="six-failures-available-for-rent"/>
      <w:r>
        <w:t xml:space="preserve">Six failures, available for rent</w:t>
      </w:r>
      <w:bookmarkEnd w:id="79"/>
    </w:p>
    <w:p>
      <w:pPr>
        <w:pStyle w:val="FirstParagraph"/>
      </w:pPr>
      <w:r>
        <w:t xml:space="preserve">Run the six failures of Part I past the charters now being drafted, and the exercise gets uncomfortable fast. Each failure is a question an architect can ask of any forever-institution, including one that holds no acre of land.</w:t>
      </w:r>
    </w:p>
    <w:p>
      <w:pPr>
        <w:pStyle w:val="BodyText"/>
      </w:pPr>
      <w:r>
        <w:rPr>
          <w:i/>
        </w:rPr>
        <w:t xml:space="preserve">Who can sue?</w:t>
      </w:r>
      <w:r>
        <w:t xml:space="preserve"> </w:t>
      </w:r>
      <w:r>
        <w:t xml:space="preserve">If the charter does not say, then the answer will be litigated for years while the merits wait — that is the locked courthouse door of Chapter 2, rebuilt in fresh concrete. Oregon’s advocates spent years establishing that anyone at all could be heard. A new fund whose charter is silent on standing has scheduled the same fight for its own beneficiaries, two or three decades out.</w:t>
      </w:r>
    </w:p>
    <w:p>
      <w:pPr>
        <w:pStyle w:val="BodyText"/>
      </w:pPr>
      <w:r>
        <w:rPr>
          <w:i/>
        </w:rPr>
        <w:t xml:space="preserve">Are the duties written where a judge can read them?</w:t>
      </w:r>
      <w:r>
        <w:t xml:space="preserve"> </w:t>
      </w:r>
      <w:r>
        <w:t xml:space="preserve">A charter full of mission language and empty of enforceable duty is Chapter 3 again: obligations everyone assumes and no one wrote down, leaving the institution free to argue, when it matters, that no enforceable duty exists at all.</w:t>
      </w:r>
    </w:p>
    <w:p>
      <w:pPr>
        <w:pStyle w:val="BodyText"/>
      </w:pPr>
      <w:r>
        <w:rPr>
          <w:i/>
        </w:rPr>
        <w:t xml:space="preserve">Who is the institution’s lawyer, and whose side is he on?</w:t>
      </w:r>
      <w:r>
        <w:t xml:space="preserve"> </w:t>
      </w:r>
      <w:r>
        <w:t xml:space="preserve">If the same counsel advises the fund and defends it against its beneficiaries — billing the defense to the fund — that is Chapter 4, and no one drafting today has any excuse for rebuilding it.</w:t>
      </w:r>
    </w:p>
    <w:p>
      <w:pPr>
        <w:pStyle w:val="BodyText"/>
      </w:pPr>
      <w:r>
        <w:rPr>
          <w:i/>
        </w:rPr>
        <w:t xml:space="preserve">Does anyone send a statement?</w:t>
      </w:r>
      <w:r>
        <w:t xml:space="preserve"> </w:t>
      </w:r>
      <w:r>
        <w:t xml:space="preserve">A fund that reports its own performance in summary metrics of its own choosing — so much disbursed, so many programs — is the trust that never sends a statement, Chapter 5’s failure with better graphic design. Invisibility is where drift lives. It will do for a compute endowment exactly what it did for the school sections.</w:t>
      </w:r>
    </w:p>
    <w:p>
      <w:pPr>
        <w:pStyle w:val="BodyText"/>
      </w:pPr>
      <w:r>
        <w:rPr>
          <w:i/>
        </w:rPr>
        <w:t xml:space="preserve">If the beneficiaries win, can they recover anything?</w:t>
      </w:r>
      <w:r>
        <w:t xml:space="preserve"> </w:t>
      </w:r>
      <w:r>
        <w:t xml:space="preserve">A charter without restoration machinery makes every future victory ceremonial — Chapter 6, where winning means nothing.</w:t>
      </w:r>
    </w:p>
    <w:p>
      <w:pPr>
        <w:pStyle w:val="BodyText"/>
      </w:pPr>
      <w:r>
        <w:rPr>
          <w:i/>
        </w:rPr>
        <w:t xml:space="preserve">Will anyone ever teach the trustees what they are?</w:t>
      </w:r>
      <w:r>
        <w:t xml:space="preserve"> </w:t>
      </w:r>
      <w:r>
        <w:t xml:space="preserve">Boards turn over. The founders’ conviction does not transfer by osmosis; the school-trust record proves it never does. A charter with no education requirement and no scheduled outside review is running Chapter 7’s experiment again, with the result already on file.</w:t>
      </w:r>
    </w:p>
    <w:p>
      <w:pPr>
        <w:pStyle w:val="BodyText"/>
      </w:pPr>
      <w:r>
        <w:t xml:space="preserve">Wherever a new charter leaves enforcement to good intentions, it is writing these six failures in — not by malice, but by the same path of least resistance that wrote them into fifty state governments. The school-trust record’s most useful gift to the new architects is that the checklist now exists, with two centuries of receipts behind every item.</w:t>
      </w:r>
    </w:p>
    <w:p>
      <w:pPr>
        <w:pStyle w:val="Heading2"/>
      </w:pPr>
      <w:bookmarkStart w:id="80" w:name="what-the-framers-lacked-and-you-have"/>
      <w:r>
        <w:t xml:space="preserve">What the framers lacked, and you have</w:t>
      </w:r>
      <w:bookmarkEnd w:id="80"/>
    </w:p>
    <w:p>
      <w:pPr>
        <w:pStyle w:val="FirstParagraph"/>
      </w:pPr>
      <w:r>
        <w:t xml:space="preserve">It would be easy to read Part I as a story about failure, and wrong. The honest reading is about tools.</w:t>
      </w:r>
    </w:p>
    <w:p>
      <w:pPr>
        <w:pStyle w:val="BodyText"/>
      </w:pPr>
      <w:r>
        <w:t xml:space="preserve">The framers of 1785 were working with quill, paper, the printed statute, mail moving by horse, and human memory in heads scattered across a continent. They could not engineer institutional memory, because every kind of memory their century possessed was fragile and expensive to move across generations. So they reached for the only substitute available: legal rigidity. Perpetual trusts. Irreducible funds. Compacts declared</w:t>
      </w:r>
      <w:r>
        <w:t xml:space="preserve"> </w:t>
      </w:r>
      <w:r>
        <w:t xml:space="preserve">“</w:t>
      </w:r>
      <w:r>
        <w:t xml:space="preserve">forever</w:t>
      </w:r>
      <w:r>
        <w:t xml:space="preserve">”</w:t>
      </w:r>
      <w:r>
        <w:t xml:space="preserve"> </w:t>
      </w:r>
      <w:r>
        <w:t xml:space="preserve">in their own terms. It was the best architecture the cognitive technology of the eighteenth century could support, and the parts of it that held — the grid, the section reservation, the compact form, the trust character of the grant itself — are remarkable for any institution at any scale.</w:t>
      </w:r>
    </w:p>
    <w:p>
      <w:pPr>
        <w:pStyle w:val="BodyText"/>
      </w:pPr>
      <w:r>
        <w:t xml:space="preserve">What they could not build was the watch. Sustained civic attention to a complex long-horizon asset cost more than any but a few citizens could pay, in 1785 or 1885 or 1985. The framers wrote language strong enough that a future generation could find its way back to the promise if it chose to. What they could not engineer was the choosing.</w:t>
      </w:r>
    </w:p>
    <w:p>
      <w:pPr>
        <w:pStyle w:val="BodyText"/>
      </w:pPr>
      <w:r>
        <w:t xml:space="preserve">The architects working today have everything the framers had, plus what the framers lacked: institutional memory that can actually be built, archives searchable at planet scale, monitoring cheap enough to sustain across generations, and — as the last chapter described — a collapse in the cost of citizen watchfulness itself. The new architects can put the standing constituency into the founding design as a structural feature rather than a hoped-for inheritance. They can build at the founding what the school trusts are retrofitting after two hundred and forty years.</w:t>
      </w:r>
    </w:p>
    <w:p>
      <w:pPr>
        <w:pStyle w:val="BodyText"/>
      </w:pPr>
      <w:r>
        <w:t xml:space="preserve">So the case this book makes to them is not</w:t>
      </w:r>
      <w:r>
        <w:t xml:space="preserve"> </w:t>
      </w:r>
      <w:r>
        <w:t xml:space="preserve">“</w:t>
      </w:r>
      <w:r>
        <w:t xml:space="preserve">learn from us; we failed.</w:t>
      </w:r>
      <w:r>
        <w:t xml:space="preserve">”</w:t>
      </w:r>
      <w:r>
        <w:t xml:space="preserve"> </w:t>
      </w:r>
      <w:r>
        <w:t xml:space="preserve">It is:</w:t>
      </w:r>
      <w:r>
        <w:t xml:space="preserve"> </w:t>
      </w:r>
      <w:r>
        <w:rPr>
          <w:i/>
        </w:rPr>
        <w:t xml:space="preserve">we did the best work our tools supported; you have better tools; here is what they let you build that we could not.</w:t>
      </w:r>
      <w:r>
        <w:t xml:space="preserve"> </w:t>
      </w:r>
      <w:r>
        <w:t xml:space="preserve">The lights have been on for two hundred and forty years. There is no longer any need to design in the dark.</w:t>
      </w:r>
    </w:p>
    <w:p>
      <w:pPr>
        <w:pStyle w:val="Heading2"/>
      </w:pPr>
      <w:bookmarkStart w:id="81" w:name="X9e93a8d893e6e159cf9e83dc2aae2f493767fa7"/>
      <w:r>
        <w:t xml:space="preserve">The one lesson, if there is only time for one</w:t>
      </w:r>
      <w:bookmarkEnd w:id="81"/>
    </w:p>
    <w:p>
      <w:pPr>
        <w:pStyle w:val="FirstParagraph"/>
      </w:pPr>
      <w:r>
        <w:t xml:space="preserve">If a charter architect takes a single sentence from the school-trust record, it should be this: write the enforcement teeth into the charter, because you cannot count on anyone to read them in later.</w:t>
      </w:r>
    </w:p>
    <w:p>
      <w:pPr>
        <w:pStyle w:val="BodyText"/>
      </w:pPr>
      <w:r>
        <w:t xml:space="preserve">The whole tragedy of the school trusts is the gap between a duty that existed and a duty that could be enforced. The duties were real the entire time — courts have said so for a century and a half. What was missing, almost everywhere, was machinery: standing stated in text, accounting required by text, an enforcer independent of the trustee, remedies that survive the state’s own immunity. Where the founding text supplied the machinery, beneficiaries could force performance. Where it was general and trusting, beneficiaries spent generations litigating for the right to be heard while the corpus drained. [VERIFY: comparative enabling-act enforcement record before citing specific states and provisions; the doctrinal detail lives in</w:t>
      </w:r>
      <w:r>
        <w:t xml:space="preserve"> </w:t>
      </w:r>
      <w:r>
        <w:rPr>
          <w:i/>
        </w:rPr>
        <w:t xml:space="preserve">The Forgotten Forever Gift to Public Schools</w:t>
      </w:r>
      <w:r>
        <w:t xml:space="preserve"> </w:t>
      </w:r>
      <w:r>
        <w:t xml:space="preserve">(Volume 1 of this work).]</w:t>
      </w:r>
    </w:p>
    <w:p>
      <w:pPr>
        <w:pStyle w:val="BodyText"/>
      </w:pPr>
      <w:r>
        <w:t xml:space="preserve">A duty without an enforcer is a wish. Every chapter of Part I is the biography of such a wish. The repair this book carries in Part III — a model law, drafted and ready — is the school-trust community turning its own evidence into machinery for its own trust first. But the design is portable on purpose. Standing for the silent beneficiary. A representative for the unborn. A public accounting anyone can read. An advocate who answers to no one but the trust. Remedies that restore what was taken. Education that re-teaches the duty faster than turnover erodes it. Every one of those provisions answers a failure the new institutions have not suffered yet, and need never suffer.</w:t>
      </w:r>
    </w:p>
    <w:p>
      <w:pPr>
        <w:pStyle w:val="BodyText"/>
      </w:pPr>
      <w:r>
        <w:t xml:space="preserve">There is also a quieter lesson, and the last chapter carried it: build the memory institution and the rails for the constituency</w:t>
      </w:r>
      <w:r>
        <w:t xml:space="preserve"> </w:t>
      </w:r>
      <w:r>
        <w:rPr>
          <w:i/>
        </w:rPr>
        <w:t xml:space="preserve">before</w:t>
      </w:r>
      <w:r>
        <w:t xml:space="preserve"> </w:t>
      </w:r>
      <w:r>
        <w:t xml:space="preserve">you need them. The school trusts drifted for two centuries before their watchful crew assembled. The new funds do not have two centuries. They have a charter window of a few years before they harden into the form they will keep — and the record is brutal about how much harder it is to assemble a watch in arrears, after the drift has begun and the diversions have grown their own defenders.</w:t>
      </w:r>
    </w:p>
    <w:p>
      <w:pPr>
        <w:pStyle w:val="Heading2"/>
      </w:pPr>
      <w:bookmarkStart w:id="82" w:name="offered-as-evidence"/>
      <w:r>
        <w:t xml:space="preserve">Offered as evidence</w:t>
      </w:r>
      <w:bookmarkEnd w:id="82"/>
    </w:p>
    <w:p>
      <w:pPr>
        <w:pStyle w:val="FirstParagraph"/>
      </w:pPr>
      <w:r>
        <w:t xml:space="preserve">I want to be plain about the spirit of this chapter, because the spirit is the difference between a gift and a lecture.</w:t>
      </w:r>
    </w:p>
    <w:p>
      <w:pPr>
        <w:pStyle w:val="BodyText"/>
      </w:pPr>
      <w:r>
        <w:t xml:space="preserve">The school-trust community is not the consultant to the AI age. We have our hands full at home: the corpus is not restored, most states still lack most of the machinery, the cases are still in court. We are not done with our own house, and we have no standing to instruct anyone from a position of success.</w:t>
      </w:r>
    </w:p>
    <w:p>
      <w:pPr>
        <w:pStyle w:val="BodyText"/>
      </w:pPr>
      <w:r>
        <w:t xml:space="preserve">What we have is a record — the only one of its kind, the failures and the recoveries documented and laid out where anyone can read them — and now a law distilled from it. Both are public. Both are free. If the architects of the next century’s forever promises want to spend an afternoon learning what two hundred and forty years of the oldest such promise can teach, the door is open, and the cost of entry has collapsed for them the same way it collapsed for the rest of the watch.</w:t>
      </w:r>
    </w:p>
    <w:p>
      <w:pPr>
        <w:pStyle w:val="BodyText"/>
      </w:pPr>
      <w:r>
        <w:t xml:space="preserve">There is a symmetry in that the framers would have recognized. They made a forever gift to children they would never meet. The community defending that gift can make a smaller one to architects it will never meet: the hard-won knowledge of how a forever promise holds, and how it fails, and what the repair looks like written down as law.</w:t>
      </w:r>
    </w:p>
    <w:p>
      <w:pPr>
        <w:pStyle w:val="BodyText"/>
      </w:pPr>
      <w:r>
        <w:t xml:space="preserve">The next four chapters are that law, in plain English.</w:t>
      </w:r>
    </w:p>
    <w:p>
      <w:r>
        <w:pict>
          <v:rect style="width:0;height:1.5pt" o:hralign="center" o:hrstd="t" o:hr="t"/>
        </w:pict>
      </w:r>
    </w:p>
    <w:p>
      <w:pPr>
        <w:pStyle w:val="FirstParagraph"/>
      </w:pPr>
      <w:r>
        <w:rPr>
          <w:b/>
        </w:rPr>
        <w:t xml:space="preserve">Sources for this chapter.</w:t>
      </w:r>
      <w:r>
        <w:t xml:space="preserve"> </w:t>
      </w:r>
      <w:r>
        <w:t xml:space="preserve">The inventory of arriving institutions (sovereign wealth funds for future citizens, perpetual climate trusts, AI-era endowments and related proposals) is carried from the May 2026 working drafts and carries [VERIFY] for each characterization before any institution or proposal is named in print. The three-forces drift model is Chapter 8’s, from the project’s pattern findings. The cognitive-technology framing (legal rigidity as the eighteenth century’s only memory technology) is carried from the earlier full draft of May 10, 2026. The comparative claim that enforcement-bearing founding text outperformed general text rests on the enabling-act record developed at length in</w:t>
      </w:r>
      <w:r>
        <w:t xml:space="preserve"> </w:t>
      </w:r>
      <w:r>
        <w:rPr>
          <w:i/>
        </w:rPr>
        <w:t xml:space="preserve">The Forgotten Forever Gift to Public Schools</w:t>
      </w:r>
      <w:r>
        <w:t xml:space="preserve"> </w:t>
      </w:r>
      <w:r>
        <w:t xml:space="preserve">(Volume 1 of this work) and carries [VERIFY] here for any specific state, statute, or case before print. The model act referenced in closing is the Uniform Public Trust Enforcement Act (working draft, June 2026), which does not circulate externally until counsel review is complete.</w:t>
      </w:r>
    </w:p>
    <w:p>
      <w:r>
        <w:br w:type="page"/>
      </w:r>
    </w:p>
    <w:p>
      <w:pPr>
        <w:pStyle w:val="Heading1"/>
      </w:pPr>
      <w:bookmarkStart w:id="83" w:name="chapter-12-a-law-that-says-nothing-new"/>
      <w:r>
        <w:t xml:space="preserve">Chapter 12 — A Law That Says Nothing New</w:t>
      </w:r>
      <w:bookmarkEnd w:id="83"/>
    </w:p>
    <w:p>
      <w:pPr>
        <w:pStyle w:val="FirstParagraph"/>
      </w:pPr>
      <w:r>
        <w:t xml:space="preserve">[DRAFT v2.0 — AI first pass; awaiting Dave’s voice pass]</w:t>
      </w:r>
    </w:p>
    <w:p>
      <w:r>
        <w:pict>
          <v:rect style="width:0;height:1.5pt" o:hralign="center" o:hrstd="t" o:hr="t"/>
        </w:pict>
      </w:r>
    </w:p>
    <w:p>
      <w:pPr>
        <w:pStyle w:val="FirstParagraph"/>
      </w:pPr>
      <w:r>
        <w:t xml:space="preserve">Imagine a legislature, persuaded by everything in Part I, that sits down to fix it. The obvious move is to pass a law:</w:t>
      </w:r>
      <w:r>
        <w:t xml:space="preserve"> </w:t>
      </w:r>
      <w:r>
        <w:rPr>
          <w:i/>
        </w:rPr>
        <w:t xml:space="preserve">trustees of the school trust shall owe a duty of loyalty to the beneficiaries.</w:t>
      </w:r>
      <w:r>
        <w:t xml:space="preserve"> </w:t>
      </w:r>
      <w:r>
        <w:t xml:space="preserve">Done.</w:t>
      </w:r>
    </w:p>
    <w:p>
      <w:pPr>
        <w:pStyle w:val="BodyText"/>
      </w:pPr>
      <w:r>
        <w:t xml:space="preserve">Now watch what happens in the courtroom. The state’s lawyer stands up and says: thank you. The legislature created that duty on the day it passed the bill. Everything we did before that day — the cut-rate sales, the diverted revenue, the self-dealing transfers — happened when no such duty existed. You have just forgiven us a century and a half.</w:t>
      </w:r>
    </w:p>
    <w:p>
      <w:pPr>
        <w:pStyle w:val="BodyText"/>
      </w:pPr>
      <w:r>
        <w:t xml:space="preserve">That trap is real, and it is the first thing to understand about the repair this book proposes, because the repair is built to refuse it. The Uniform Public Trust Enforcement Act — a model law, drafted in 2026 and ready for any state legislature to take up — has one design choice at its center, and everything else in it hangs from that choice:</w:t>
      </w:r>
      <w:r>
        <w:t xml:space="preserve"> </w:t>
      </w:r>
      <w:r>
        <w:rPr>
          <w:b/>
        </w:rPr>
        <w:t xml:space="preserve">every duty in the act is declared to be existing law, restated. Not one of them is new.</w:t>
      </w:r>
    </w:p>
    <w:p>
      <w:pPr>
        <w:pStyle w:val="BodyText"/>
      </w:pPr>
      <w:r>
        <w:t xml:space="preserve">The act says so three times, in three different ways. Its findings say the duties have existed continuously since the trusts were created — they arise from the granting instruments, from the state constitution, and from the common law of trusts, which is the centuries-old body of judge-made law governing anyone who holds property for someone else. Its purpose section says the duties</w:t>
      </w:r>
      <w:r>
        <w:t xml:space="preserve"> </w:t>
      </w:r>
      <w:r>
        <w:t xml:space="preserve">“</w:t>
      </w:r>
      <w:r>
        <w:t xml:space="preserve">are declaratory of existing law</w:t>
      </w:r>
      <w:r>
        <w:t xml:space="preserve">”</w:t>
      </w:r>
      <w:r>
        <w:t xml:space="preserve"> </w:t>
      </w:r>
      <w:r>
        <w:t xml:space="preserve">and are enforceable with or without the act. And then it slams the door: nothing about the act, and nothing in its legislative history, may be read as evidence that any duty did not exist before, or that anything done earlier was lawful.</w:t>
      </w:r>
    </w:p>
    <w:p>
      <w:pPr>
        <w:pStyle w:val="BodyText"/>
      </w:pPr>
      <w:r>
        <w:t xml:space="preserve">This is not a lawyer’s trick. It is the truth, written down defensively. The duties genuinely are old. Courts have treated the school land grants as binding obligations for more than a century and a half. What has been missing — the act’s findings put it exactly — are</w:t>
      </w:r>
      <w:r>
        <w:t xml:space="preserve"> </w:t>
      </w:r>
      <w:r>
        <w:rPr>
          <w:i/>
        </w:rPr>
        <w:t xml:space="preserve">procedures, transparency, and remedy</w:t>
      </w:r>
      <w:r>
        <w:t xml:space="preserve">. The duties exist; the machinery to enforce them does not. Enforcement, the findings observe,</w:t>
      </w:r>
      <w:r>
        <w:t xml:space="preserve"> </w:t>
      </w:r>
      <w:r>
        <w:t xml:space="preserve">“</w:t>
      </w:r>
      <w:r>
        <w:t xml:space="preserve">has been impaired by recurring structural failures</w:t>
      </w:r>
      <w:r>
        <w:t xml:space="preserve">”</w:t>
      </w:r>
      <w:r>
        <w:t xml:space="preserve"> </w:t>
      </w:r>
      <w:r>
        <w:t xml:space="preserve">— uncertainty over who may sue, missing accountings, conflicted lawyers, immunity raised against the very remedies that make a trust a trust.</w:t>
      </w:r>
    </w:p>
    <w:p>
      <w:pPr>
        <w:pStyle w:val="BodyText"/>
      </w:pPr>
      <w:r>
        <w:t xml:space="preserve">So the act creates no duties. It creates enforcement. That is why a law that says nothing new changes everything.</w:t>
      </w:r>
    </w:p>
    <w:p>
      <w:pPr>
        <w:pStyle w:val="Heading2"/>
      </w:pPr>
      <w:bookmarkStart w:id="84" w:name="the-two-shelves-the-act-stands-on"/>
      <w:r>
        <w:t xml:space="preserve">The two shelves the act stands on</w:t>
      </w:r>
      <w:bookmarkEnd w:id="84"/>
    </w:p>
    <w:p>
      <w:pPr>
        <w:pStyle w:val="FirstParagraph"/>
      </w:pPr>
      <w:r>
        <w:t xml:space="preserve">A claim that confident —</w:t>
      </w:r>
      <w:r>
        <w:t xml:space="preserve"> </w:t>
      </w:r>
      <w:r>
        <w:rPr>
          <w:i/>
        </w:rPr>
        <w:t xml:space="preserve">every duty in this act is existing law, restated</w:t>
      </w:r>
      <w:r>
        <w:t xml:space="preserve"> </w:t>
      </w:r>
      <w:r>
        <w:t xml:space="preserve">— does not get to rest on say-so. It stands on two bodies of work, two shelves of the same library, and it is worth pausing to look at what is on them, because the act’s honesty depends on both.</w:t>
      </w:r>
    </w:p>
    <w:p>
      <w:pPr>
        <w:pStyle w:val="BodyText"/>
      </w:pPr>
      <w:r>
        <w:t xml:space="preserve">The first shelf holds the law. A hornbook of school-trust law now exists in complete first draft — nineteen chapters and a state-by-state appendix covering all twenty trust-land states — organizing two hundred and forty years of granting acts, state constitutions, and case law into a single working reference. Its first ten chapters establish, citation by citation, the point this chapter has been asserting: the duties — loyalty, prudence, impartiality between the generations, full value on disposition, the duty to account — are not aspirations or a reformer’s wish list. They are existing, enforceable law, found in the granting instruments, in the constitutions, and in the common law of trusts, and courts have said so whenever anyone managed to ask them. The hornbook’s later chapters document the other half of the story: who may sue, the attorney-general problem, what remedies actually run against a sovereign — the places where the enforcement machinery thins out and fails. The same shelf that proves the duties exist maps, chapter by chapter, exactly where their enforcement does not.</w:t>
      </w:r>
    </w:p>
    <w:p>
      <w:pPr>
        <w:pStyle w:val="BodyText"/>
      </w:pPr>
      <w:r>
        <w:t xml:space="preserve">The second shelf holds the record.</w:t>
      </w:r>
      <w:r>
        <w:t xml:space="preserve"> </w:t>
      </w:r>
      <w:r>
        <w:rPr>
          <w:i/>
        </w:rPr>
        <w:t xml:space="preserve">The Forgotten Forever Gift to Public Schools</w:t>
      </w:r>
      <w:r>
        <w:t xml:space="preserve"> </w:t>
      </w:r>
      <w:r>
        <w:t xml:space="preserve">[VERIFY title at print] — Volume 1 of this work — assembles the two-hundred-and-forty-year record of those same duties failing in practice, state after state. And the record is remarkably consistent about</w:t>
      </w:r>
      <w:r>
        <w:t xml:space="preserve"> </w:t>
      </w:r>
      <w:r>
        <w:rPr>
          <w:i/>
        </w:rPr>
        <w:t xml:space="preserve">why</w:t>
      </w:r>
      <w:r>
        <w:t xml:space="preserve"> </w:t>
      </w:r>
      <w:r>
        <w:t xml:space="preserve">they failed. Not because the law was unclear; the first shelf shows it was not. They failed because no one could get into court, because no one could see the books, and because the state’s own lawyer stood on both sides of every dispute. The duties were on the shelf the whole time. The beneficiaries could not reach them.</w:t>
      </w:r>
    </w:p>
    <w:p>
      <w:pPr>
        <w:pStyle w:val="BodyText"/>
      </w:pPr>
      <w:r>
        <w:t xml:space="preserve">Put the two shelves together and they force a conclusion that neither one forces alone. The first shelf, standing by itself, might suggest that nothing needs doing — the law is already there, so why legislate? The second, standing by itself, might suggest that everything needs doing — the duties failed, so write new and stronger ones. Read together, they say something more precise than either: the duties are sufficient and always were; the machinery is missing and always was. So the act adds no duties. It adds the machinery the duties always needed — the standing, the statement, the independent enforcer, the remedies that survive a sovereign defendant. That is why it can honestly call itself declaratory. The word is not a modesty pose, and it is not a litigation tactic dressed up as principle. It is what two hundred and forty years of law and two hundred and forty years of record, laid side by side, actually show.</w:t>
      </w:r>
    </w:p>
    <w:p>
      <w:pPr>
        <w:pStyle w:val="Heading2"/>
      </w:pPr>
      <w:bookmarkStart w:id="85" w:name="why-a-uniform-act"/>
      <w:r>
        <w:t xml:space="preserve">Why a uniform act</w:t>
      </w:r>
      <w:bookmarkEnd w:id="85"/>
    </w:p>
    <w:p>
      <w:pPr>
        <w:pStyle w:val="FirstParagraph"/>
      </w:pPr>
      <w:r>
        <w:t xml:space="preserve">One more design choice before the walkthrough: the act is written as a</w:t>
      </w:r>
      <w:r>
        <w:t xml:space="preserve"> </w:t>
      </w:r>
      <w:r>
        <w:rPr>
          <w:i/>
        </w:rPr>
        <w:t xml:space="preserve">uniform</w:t>
      </w:r>
      <w:r>
        <w:t xml:space="preserve"> </w:t>
      </w:r>
      <w:r>
        <w:t xml:space="preserve">law — a model text any state can enact, with blanks for each state’s particulars — rather than as a single state’s bill.</w:t>
      </w:r>
    </w:p>
    <w:p>
      <w:pPr>
        <w:pStyle w:val="BodyText"/>
      </w:pPr>
      <w:r>
        <w:t xml:space="preserve">The reason is in the arithmetic of Part I. Roughly twenty states hold school trust lands, and far more hold other perpetual public trusts; the six failures repeat across all of them with minor local variation, because the failures are structural, not local. A problem that is national in shape wants a repair that is national in shape: a shared text, so that a court construing the act in one state builds precedent the next state can use, and a legislator in any capital can begin from a draft instead of a blank page. How a model act travels — the long road through test cases, legislatures, and the institutions that bless uniform laws — is Chapter 16’s story. This chapter and the next three are about what the act actually says.</w:t>
      </w:r>
    </w:p>
    <w:p>
      <w:pPr>
        <w:pStyle w:val="BodyText"/>
      </w:pPr>
      <w:r>
        <w:t xml:space="preserve">The act runs ten articles. This chapter walks the first two: who the act covers, and what the duties are. The next chapter opens the books, the courthouse, and the enforcer’s office (Articles 3 through 5). Chapter 14 is the teeth (Articles 6 and 7). Chapter 15 is the act’s answer to its own future (Articles 8 and 9 — Article 10 is the standard closing machinery of rules, transition, and severability).</w:t>
      </w:r>
    </w:p>
    <w:p>
      <w:pPr>
        <w:pStyle w:val="Heading2"/>
      </w:pPr>
      <w:bookmarkStart w:id="86" w:name="article-1-naming-the-thing"/>
      <w:r>
        <w:t xml:space="preserve">Article 1: naming the thing</w:t>
      </w:r>
      <w:bookmarkEnd w:id="86"/>
    </w:p>
    <w:p>
      <w:pPr>
        <w:pStyle w:val="FirstParagraph"/>
      </w:pPr>
      <w:r>
        <w:t xml:space="preserve">The quietest part of any statute is the definitions, and in this act the definitions do load-bearing work, because the school-trust wars have been fought over definitions all along.</w:t>
      </w:r>
    </w:p>
    <w:p>
      <w:pPr>
        <w:pStyle w:val="BodyText"/>
      </w:pPr>
      <w:r>
        <w:t xml:space="preserve">Start with the oldest dodge in the record. The original grants gave land</w:t>
      </w:r>
      <w:r>
        <w:t xml:space="preserve"> </w:t>
      </w:r>
      <w:r>
        <w:t xml:space="preserve">“</w:t>
      </w:r>
      <w:r>
        <w:t xml:space="preserve">for the use of schools</w:t>
      </w:r>
      <w:r>
        <w:t xml:space="preserve">”</w:t>
      </w:r>
      <w:r>
        <w:t xml:space="preserve"> </w:t>
      </w:r>
      <w:r>
        <w:t xml:space="preserve">— and states have argued, sometimes successfully, that because the word</w:t>
      </w:r>
      <w:r>
        <w:t xml:space="preserve"> </w:t>
      </w:r>
      <w:r>
        <w:t xml:space="preserve">“</w:t>
      </w:r>
      <w:r>
        <w:t xml:space="preserve">trust</w:t>
      </w:r>
      <w:r>
        <w:t xml:space="preserve">”</w:t>
      </w:r>
      <w:r>
        <w:t xml:space="preserve"> </w:t>
      </w:r>
      <w:r>
        <w:t xml:space="preserve">never appears, no trust was ever created. The act’s definitions end that argument: a</w:t>
      </w:r>
      <w:r>
        <w:t xml:space="preserve"> </w:t>
      </w:r>
      <w:r>
        <w:t xml:space="preserve">“</w:t>
      </w:r>
      <w:r>
        <w:t xml:space="preserve">trust instrument</w:t>
      </w:r>
      <w:r>
        <w:t xml:space="preserve">”</w:t>
      </w:r>
      <w:r>
        <w:t xml:space="preserve"> </w:t>
      </w:r>
      <w:r>
        <w:t xml:space="preserve">is any source — an admission act, an enabling act, a constitution, a federal grant, a compact, a statute, a patent, a deed, a common-law rule, a judicial decree —</w:t>
      </w:r>
      <w:r>
        <w:t xml:space="preserve"> </w:t>
      </w:r>
      <w:r>
        <w:t xml:space="preserve">“</w:t>
      </w:r>
      <w:r>
        <w:t xml:space="preserve">that establishes, identifies, limits, or governs a public educational trust.</w:t>
      </w:r>
      <w:r>
        <w:t xml:space="preserve">”</w:t>
      </w:r>
      <w:r>
        <w:t xml:space="preserve"> </w:t>
      </w:r>
      <w:r>
        <w:t xml:space="preserve">[CONFORM: v1’s</w:t>
      </w:r>
      <w:r>
        <w:t xml:space="preserve"> </w:t>
      </w:r>
      <w:r>
        <w:t xml:space="preserve">“</w:t>
      </w:r>
      <w:r>
        <w:t xml:space="preserve">regardless of whether the instrument creating it uses the word</w:t>
      </w:r>
      <w:r>
        <w:t xml:space="preserve"> </w:t>
      </w:r>
      <w:r>
        <w:t xml:space="preserve">‘</w:t>
      </w:r>
      <w:r>
        <w:t xml:space="preserve">trust</w:t>
      </w:r>
      <w:r>
        <w:t xml:space="preserve">’</w:t>
      </w:r>
      <w:r>
        <w:t xml:space="preserve">”</w:t>
      </w:r>
      <w:r>
        <w:t xml:space="preserve"> </w:t>
      </w:r>
      <w:r>
        <w:t xml:space="preserve">sentence does not appear in the merged act; confirm this definitional route carries the same point or restore the v1 sentence at counsel review.] What a thing is depends on what was done, not on which word the eighteenth century happened to write down.</w:t>
      </w:r>
    </w:p>
    <w:p>
      <w:pPr>
        <w:pStyle w:val="BodyText"/>
      </w:pPr>
      <w:r>
        <w:t xml:space="preserve">Three more definitions carry Part I on their backs:</w:t>
      </w:r>
    </w:p>
    <w:p>
      <w:pPr>
        <w:pStyle w:val="BodyText"/>
      </w:pPr>
      <w:r>
        <w:rPr>
          <w:b/>
        </w:rPr>
        <w:t xml:space="preserve">“</w:t>
      </w:r>
      <w:r>
        <w:rPr>
          <w:b/>
        </w:rPr>
        <w:t xml:space="preserve">Beneficiary</w:t>
      </w:r>
      <w:r>
        <w:rPr>
          <w:b/>
        </w:rPr>
        <w:t xml:space="preserve">”</w:t>
      </w:r>
      <w:r>
        <w:rPr>
          <w:b/>
        </w:rPr>
        <w:t xml:space="preserve"> </w:t>
      </w:r>
      <w:r>
        <w:rPr>
          <w:b/>
        </w:rPr>
        <w:t xml:space="preserve">includes the unborn.</w:t>
      </w:r>
      <w:r>
        <w:t xml:space="preserve"> </w:t>
      </w:r>
      <w:r>
        <w:t xml:space="preserve">For a school trust, the beneficiaries are the schools, the children enrolled in them, and — the act defines the term expressly — the</w:t>
      </w:r>
      <w:r>
        <w:t xml:space="preserve"> </w:t>
      </w:r>
      <w:r>
        <w:t xml:space="preserve">“</w:t>
      </w:r>
      <w:r>
        <w:t xml:space="preserve">future beneficiaries</w:t>
      </w:r>
      <w:r>
        <w:t xml:space="preserve">”</w:t>
      </w:r>
      <w:r>
        <w:t xml:space="preserve"> </w:t>
      </w:r>
      <w:r>
        <w:t xml:space="preserve">for whom trust property must be preserved, administered, or made productive. The people with the largest stake in a perpetual trust have never before been named in the statute books as parties in interest. Now they are, and Chapter 13 gives them a voice in court.</w:t>
      </w:r>
    </w:p>
    <w:p>
      <w:pPr>
        <w:pStyle w:val="BodyText"/>
      </w:pPr>
      <w:r>
        <w:rPr>
          <w:b/>
        </w:rPr>
        <w:t xml:space="preserve">“</w:t>
      </w:r>
      <w:r>
        <w:rPr>
          <w:b/>
        </w:rPr>
        <w:t xml:space="preserve">Trustee</w:t>
      </w:r>
      <w:r>
        <w:rPr>
          <w:b/>
        </w:rPr>
        <w:t xml:space="preserve">”</w:t>
      </w:r>
      <w:r>
        <w:rPr>
          <w:b/>
        </w:rPr>
        <w:t xml:space="preserve"> </w:t>
      </w:r>
      <w:r>
        <w:rPr>
          <w:b/>
        </w:rPr>
        <w:t xml:space="preserve">reaches the people, not just the institution.</w:t>
      </w:r>
      <w:r>
        <w:t xml:space="preserve"> </w:t>
      </w:r>
      <w:r>
        <w:t xml:space="preserve">The trustee is the state board or agency</w:t>
      </w:r>
      <w:r>
        <w:t xml:space="preserve"> </w:t>
      </w:r>
      <w:r>
        <w:rPr>
          <w:i/>
        </w:rPr>
        <w:t xml:space="preserve">and</w:t>
      </w:r>
      <w:r>
        <w:t xml:space="preserve"> </w:t>
      </w:r>
      <w:r>
        <w:t xml:space="preserve">every</w:t>
      </w:r>
      <w:r>
        <w:t xml:space="preserve"> </w:t>
      </w:r>
      <w:r>
        <w:t xml:space="preserve">“</w:t>
      </w:r>
      <w:r>
        <w:t xml:space="preserve">board member, officer, employee, agent</w:t>
      </w:r>
      <w:r>
        <w:t xml:space="preserve">”</w:t>
      </w:r>
      <w:r>
        <w:t xml:space="preserve"> </w:t>
      </w:r>
      <w:r>
        <w:t xml:space="preserve">or other person who holds, manages, controls, invests, disposes of, accounts for, or distributes trust property. A board cannot dissolve responsibility into the institution, and the institution cannot dissolve it into the board members. Both are named.</w:t>
      </w:r>
    </w:p>
    <w:p>
      <w:pPr>
        <w:pStyle w:val="BodyText"/>
      </w:pPr>
      <w:r>
        <w:rPr>
          <w:b/>
        </w:rPr>
        <w:t xml:space="preserve">“</w:t>
      </w:r>
      <w:r>
        <w:rPr>
          <w:b/>
        </w:rPr>
        <w:t xml:space="preserve">Disposition</w:t>
      </w:r>
      <w:r>
        <w:rPr>
          <w:b/>
        </w:rPr>
        <w:t xml:space="preserve">”</w:t>
      </w:r>
      <w:r>
        <w:rPr>
          <w:b/>
        </w:rPr>
        <w:t xml:space="preserve"> </w:t>
      </w:r>
      <w:r>
        <w:rPr>
          <w:b/>
        </w:rPr>
        <w:t xml:space="preserve">sweeps in the quiet transactions.</w:t>
      </w:r>
      <w:r>
        <w:t xml:space="preserve"> </w:t>
      </w:r>
      <w:r>
        <w:t xml:space="preserve">Trust value rarely leaves by outright sale anymore. It leaves by the ninety-nine-year lease, the perpetual easement, the encumbrance — transactions that transfer the substance of an asset while the title stays put. The act defines disposition to cover all of them, so the protections of later articles cannot be evaded by relabeling the deal.</w:t>
      </w:r>
    </w:p>
    <w:p>
      <w:pPr>
        <w:pStyle w:val="BodyText"/>
      </w:pPr>
      <w:r>
        <w:t xml:space="preserve">Article 1 closes with a savings clause that matters more than it looks: the act</w:t>
      </w:r>
      <w:r>
        <w:t xml:space="preserve"> </w:t>
      </w:r>
      <w:r>
        <w:rPr>
          <w:i/>
        </w:rPr>
        <w:t xml:space="preserve">supplements</w:t>
      </w:r>
      <w:r>
        <w:t xml:space="preserve"> </w:t>
      </w:r>
      <w:r>
        <w:t xml:space="preserve">the constitution, the granting acts, and the common law — it never limits them. Some codifications quietly become ceilings: whatever the statute lists is all the beneficiary gets. This one is built to be a floor. Anything the old law gave the beneficiaries, they keep; the act only adds.</w:t>
      </w:r>
    </w:p>
    <w:p>
      <w:pPr>
        <w:pStyle w:val="Heading2"/>
      </w:pPr>
      <w:bookmarkStart w:id="87" w:name="article-2-the-five-duties"/>
      <w:r>
        <w:t xml:space="preserve">Article 2: the five duties</w:t>
      </w:r>
      <w:bookmarkEnd w:id="87"/>
    </w:p>
    <w:p>
      <w:pPr>
        <w:pStyle w:val="FirstParagraph"/>
      </w:pPr>
      <w:r>
        <w:t xml:space="preserve">Then the act states the duties — the ones that were real all along. There are five, and each one answers a failure from Part I.</w:t>
      </w:r>
    </w:p>
    <w:p>
      <w:pPr>
        <w:pStyle w:val="BodyText"/>
      </w:pPr>
      <w:r>
        <w:t xml:space="preserve">Before listing them, Article 2 makes the single most clarifying move in the whole act. When the state administers trust assets, the act says, it acts</w:t>
      </w:r>
      <w:r>
        <w:t xml:space="preserve"> </w:t>
      </w:r>
      <w:r>
        <w:rPr>
          <w:i/>
        </w:rPr>
        <w:t xml:space="preserve">as a fiduciary, not as a sovereign</w:t>
      </w:r>
      <w:r>
        <w:t xml:space="preserve"> </w:t>
      </w:r>
      <w:r>
        <w:t xml:space="preserve">— and the interests of the state as state</w:t>
      </w:r>
      <w:r>
        <w:t xml:space="preserve"> </w:t>
      </w:r>
      <w:r>
        <w:t xml:space="preserve">“</w:t>
      </w:r>
      <w:r>
        <w:t xml:space="preserve">are not interests of the beneficiaries</w:t>
      </w:r>
      <w:r>
        <w:t xml:space="preserve">”</w:t>
      </w:r>
      <w:r>
        <w:t xml:space="preserve"> </w:t>
      </w:r>
      <w:r>
        <w:t xml:space="preserve">and may not be preferred to the trust. Most of what Part I documented flows from one confusion: a state wearing two hats and forgetting which one it had on. The general fund needs money; the trustee has money; the trustee is the state; surely the state may consider the general fund. No. With trust assets in its hands, the state is a trustee, full stop, and its other interests are someone else’s interests. The act makes the two-hats rule statutory, and adds that a trustee cannot contract away, waive, or be exempted from the duties — and that wherever another law protects the trust more strongly, the stronger law controls. [CONFORM: v1’s express-diminishment rule — a future statute could weaken the duties only by naming them — does not appear in the merged act; decide whether to restore it or let the savings clause carry the point.]</w:t>
      </w:r>
    </w:p>
    <w:p>
      <w:pPr>
        <w:pStyle w:val="BodyText"/>
      </w:pPr>
      <w:r>
        <w:rPr>
          <w:b/>
        </w:rPr>
        <w:t xml:space="preserve">Loyalty.</w:t>
      </w:r>
      <w:r>
        <w:t xml:space="preserve"> </w:t>
      </w:r>
      <w:r>
        <w:t xml:space="preserve">The trustee administers the trust</w:t>
      </w:r>
      <w:r>
        <w:t xml:space="preserve"> </w:t>
      </w:r>
      <w:r>
        <w:t xml:space="preserve">“</w:t>
      </w:r>
      <w:r>
        <w:t xml:space="preserve">solely in the interest of the beneficiaries.</w:t>
      </w:r>
      <w:r>
        <w:t xml:space="preserve">”</w:t>
      </w:r>
      <w:r>
        <w:t xml:space="preserve"> </w:t>
      </w:r>
      <w:r>
        <w:t xml:space="preserve">Not the general fund, not another agency, not a worthy public purpose down the road — solely. And when one arm of the state wants to acquire trust assets from another arm, the act calls that transaction what private trust law has always called it: self-dealing, subject to the special scrutiny of Chapter 14.</w:t>
      </w:r>
    </w:p>
    <w:p>
      <w:pPr>
        <w:pStyle w:val="BodyText"/>
      </w:pPr>
      <w:r>
        <w:rPr>
          <w:b/>
        </w:rPr>
        <w:t xml:space="preserve">Prudence.</w:t>
      </w:r>
      <w:r>
        <w:t xml:space="preserve"> </w:t>
      </w:r>
      <w:r>
        <w:t xml:space="preserve">The trustee manages as a careful person would, and manages revenue-producing lands to obtain</w:t>
      </w:r>
      <w:r>
        <w:t xml:space="preserve"> </w:t>
      </w:r>
      <w:r>
        <w:t xml:space="preserve">“</w:t>
      </w:r>
      <w:r>
        <w:t xml:space="preserve">the greatest fiduciary value over time</w:t>
      </w:r>
      <w:r>
        <w:t xml:space="preserve">”</w:t>
      </w:r>
      <w:r>
        <w:t xml:space="preserve"> </w:t>
      </w:r>
      <w:r>
        <w:t xml:space="preserve">consistent with the long-term preservation, productivity, and lawful administration of the trust. The act draws the line that decades of argument have circled: sustained-yield forestry and conservation practices that keep the asset productive are prudent; sacrificing trust revenue to serve purposes that belong to someone other than the beneficiaries is not. Conservation is not the enemy of the trust. Subordination is.</w:t>
      </w:r>
    </w:p>
    <w:p>
      <w:pPr>
        <w:pStyle w:val="BodyText"/>
      </w:pPr>
      <w:r>
        <w:rPr>
          <w:b/>
        </w:rPr>
        <w:t xml:space="preserve">Impartiality between generations.</w:t>
      </w:r>
      <w:r>
        <w:t xml:space="preserve"> </w:t>
      </w:r>
      <w:r>
        <w:t xml:space="preserve">This is the duty the political process is structurally incapable of honoring on its own, because one side of the scale votes and the other side has not been born. The trustee may not benefit today’s beneficiaries by depleting or undercompensating the corpus at the expense of tomorrow’s — and, in the other direction, may not hoard the corpus and distribute nothing, starving the present to flatter the balance sheet. A perpetual trust serves a procession, and the trustee owes the whole line.</w:t>
      </w:r>
    </w:p>
    <w:p>
      <w:pPr>
        <w:pStyle w:val="BodyText"/>
      </w:pPr>
      <w:r>
        <w:rPr>
          <w:b/>
        </w:rPr>
        <w:t xml:space="preserve">Full value on disposition.</w:t>
      </w:r>
      <w:r>
        <w:t xml:space="preserve"> </w:t>
      </w:r>
      <w:r>
        <w:t xml:space="preserve">When a trust asset is sold, leased, or transferred, the trust receives no less than fair market value — and the default way to find fair market value is to expose the asset to the market: public auction, competitive bid, open listing, after real public notice. A trustee who wants to skip the competitive process must publish a written explanation</w:t>
      </w:r>
      <w:r>
        <w:t xml:space="preserve"> </w:t>
      </w:r>
      <w:r>
        <w:rPr>
          <w:i/>
        </w:rPr>
        <w:t xml:space="preserve">before</w:t>
      </w:r>
      <w:r>
        <w:t xml:space="preserve"> </w:t>
      </w:r>
      <w:r>
        <w:t xml:space="preserve">the deal, with an independent appraisal attached. And the act adds a bluntly practical sentence learned from hard experience: the consideration must actually be</w:t>
      </w:r>
      <w:r>
        <w:t xml:space="preserve"> </w:t>
      </w:r>
      <w:r>
        <w:rPr>
          <w:i/>
        </w:rPr>
        <w:t xml:space="preserve">paid to the trust</w:t>
      </w:r>
      <w:r>
        <w:t xml:space="preserve">. A legislature that</w:t>
      </w:r>
      <w:r>
        <w:t xml:space="preserve"> </w:t>
      </w:r>
      <w:r>
        <w:t xml:space="preserve">“</w:t>
      </w:r>
      <w:r>
        <w:t xml:space="preserve">buys</w:t>
      </w:r>
      <w:r>
        <w:t xml:space="preserve">”</w:t>
      </w:r>
      <w:r>
        <w:t xml:space="preserve"> </w:t>
      </w:r>
      <w:r>
        <w:t xml:space="preserve">trust land with an appropriation that never reaches the trust, or nets the price against the trust’s supposed debts, has not paid; the act says so in terms. The schools’ wallet must come back with the money still inside.</w:t>
      </w:r>
    </w:p>
    <w:p>
      <w:pPr>
        <w:pStyle w:val="BodyText"/>
      </w:pPr>
      <w:r>
        <w:rPr>
          <w:b/>
        </w:rPr>
        <w:t xml:space="preserve">Accounting.</w:t>
      </w:r>
      <w:r>
        <w:t xml:space="preserve"> </w:t>
      </w:r>
      <w:r>
        <w:t xml:space="preserve">The trustee keeps complete records of every asset, every revenue, every expense, every disposition — and renders the annual public accounting that the next chapter describes. Record-keeping sounds like the dullest duty of the five. It is the one all the others stand on: a trustee who keeps no records cannot be audited, cannot be surcharged, cannot even be meaningfully accused. Which, the record suggests, is sometimes the point.</w:t>
      </w:r>
    </w:p>
    <w:p>
      <w:pPr>
        <w:pStyle w:val="Heading2"/>
      </w:pPr>
      <w:bookmarkStart w:id="88" w:name="X1dadf8787421eaa1a4bc51a1b62abf7ab74695a"/>
      <w:r>
        <w:t xml:space="preserve">What the legislature would actually be saying</w:t>
      </w:r>
      <w:bookmarkEnd w:id="88"/>
    </w:p>
    <w:p>
      <w:pPr>
        <w:pStyle w:val="FirstParagraph"/>
      </w:pPr>
      <w:r>
        <w:t xml:space="preserve">Step back from the sections and notice what a legislature enacting this article would — and would not — be doing.</w:t>
      </w:r>
    </w:p>
    <w:p>
      <w:pPr>
        <w:pStyle w:val="BodyText"/>
      </w:pPr>
      <w:r>
        <w:t xml:space="preserve">It would not be confessing anything. The findings name deficiencies of procedure, not villains; the act is drafted so a legislature can adopt it without convicting its predecessors. It would not be inventing anything: every one of the five duties can be found, by a patient lawyer, in the granting acts, the constitutions, and two centuries of trust law. What the legislature would be doing is ending a long and expensive ambiguity — moving the duties from the place where only patient lawyers can find them to a place where every trustee, every parent, and every judge can read them in an afternoon.</w:t>
      </w:r>
    </w:p>
    <w:p>
      <w:pPr>
        <w:pStyle w:val="BodyText"/>
      </w:pPr>
      <w:r>
        <w:t xml:space="preserve">That is the act’s first half: the duties, stated. But Part I taught that stating duties has never been the problem. The problem is the locked courthouse, the missing statement, the lawyer on both sides, the verdict no one can collect. The act’s answer to those occupies the next two chapters — first the doors, then the teeth.</w:t>
      </w:r>
    </w:p>
    <w:p>
      <w:r>
        <w:pict>
          <v:rect style="width:0;height:1.5pt" o:hralign="center" o:hrstd="t" o:hr="t"/>
        </w:pict>
      </w:r>
    </w:p>
    <w:p>
      <w:pPr>
        <w:pStyle w:val="FirstParagraph"/>
      </w:pPr>
      <w:r>
        <w:rPr>
          <w:b/>
        </w:rPr>
        <w:t xml:space="preserve">Sources for this chapter.</w:t>
      </w:r>
      <w:r>
        <w:t xml:space="preserve"> </w:t>
      </w:r>
      <w:r>
        <w:t xml:space="preserve">The chapter restates Articles 1 and 2 of the Uniform Public Trust Enforcement Act (Converged Packet v2.0, June 2026) and its drafting commentary; the act is an internal working draft and does not circulate externally until counsel review is complete. Quoted phrases (</w:t>
      </w:r>
      <w:r>
        <w:t xml:space="preserve">“</w:t>
      </w:r>
      <w:r>
        <w:t xml:space="preserve">declaratory of existing law,</w:t>
      </w:r>
      <w:r>
        <w:t xml:space="preserve">”</w:t>
      </w:r>
      <w:r>
        <w:t xml:space="preserve"> </w:t>
      </w:r>
      <w:r>
        <w:t xml:space="preserve">“</w:t>
      </w:r>
      <w:r>
        <w:t xml:space="preserve">solely in the interest of the beneficiaries,</w:t>
      </w:r>
      <w:r>
        <w:t xml:space="preserve">”</w:t>
      </w:r>
      <w:r>
        <w:t xml:space="preserve"> </w:t>
      </w:r>
      <w:r>
        <w:t xml:space="preserve">“</w:t>
      </w:r>
      <w:r>
        <w:t xml:space="preserve">the greatest fiduciary value over time,</w:t>
      </w:r>
      <w:r>
        <w:t xml:space="preserve">”</w:t>
      </w:r>
      <w:r>
        <w:t xml:space="preserve"> </w:t>
      </w:r>
      <w:r>
        <w:t xml:space="preserve">“</w:t>
      </w:r>
      <w:r>
        <w:t xml:space="preserve">are not interests of the beneficiaries,</w:t>
      </w:r>
      <w:r>
        <w:t xml:space="preserve">”</w:t>
      </w:r>
      <w:r>
        <w:t xml:space="preserve"> </w:t>
      </w:r>
      <w:r>
        <w:t xml:space="preserve">“</w:t>
      </w:r>
      <w:r>
        <w:t xml:space="preserve">has been impaired by recurring structural failures,</w:t>
      </w:r>
      <w:r>
        <w:t xml:space="preserve">”</w:t>
      </w:r>
      <w:r>
        <w:t xml:space="preserve"> </w:t>
      </w:r>
      <w:r>
        <w:t xml:space="preserve">“</w:t>
      </w:r>
      <w:r>
        <w:t xml:space="preserve">that establishes, identifies, limits, or governs a public educational trust</w:t>
      </w:r>
      <w:r>
        <w:t xml:space="preserve">”</w:t>
      </w:r>
      <w:r>
        <w:t xml:space="preserve">) are verbatim from that draft; two v1 formulations the merged act dropped are flagged [CONFORM] in the body above. The characterization of judicial treatment of the school grants as binding obligations is developed with full citations in</w:t>
      </w:r>
      <w:r>
        <w:t xml:space="preserve"> </w:t>
      </w:r>
      <w:r>
        <w:rPr>
          <w:i/>
        </w:rPr>
        <w:t xml:space="preserve">The Forgotten Forever Gift to Public Schools</w:t>
      </w:r>
      <w:r>
        <w:t xml:space="preserve"> </w:t>
      </w:r>
      <w:r>
        <w:t xml:space="preserve">(Volume 1 of this work) and carries [VERIFY] here for any specific case named in a later pass. The hornbook of school-trust law described in this chapter is complete in first draft (nineteen chapters plus a state-by-state appendix for the twenty trust-land states) and its characterizations carry [VERIFY status at print]. The count of states holding school trust lands is approximately twenty [VERIFY against the fifty-state research]. Nothing in this chapter characterizes the conduct of any party to pending litigation; descriptions of recurring transaction patterns are drawn from the act’s legislative findings, which speak generally. This chapter is gated on counsel review of the act itself before any external use.</w:t>
      </w:r>
    </w:p>
    <w:p>
      <w:r>
        <w:br w:type="page"/>
      </w:r>
    </w:p>
    <w:p>
      <w:pPr>
        <w:pStyle w:val="Heading1"/>
      </w:pPr>
      <w:bookmarkStart w:id="89" w:name="X06b2382344c7e63e31dc4ad49f2bd71bbfe85d7"/>
      <w:r>
        <w:t xml:space="preserve">Chapter 13 — Opening the Books and the Courthouse</w:t>
      </w:r>
      <w:bookmarkEnd w:id="89"/>
    </w:p>
    <w:p>
      <w:pPr>
        <w:pStyle w:val="FirstParagraph"/>
      </w:pPr>
      <w:r>
        <w:t xml:space="preserve">[DRAFT v2.0 — AI first pass; awaiting Dave’s voice pass]</w:t>
      </w:r>
    </w:p>
    <w:p>
      <w:r>
        <w:pict>
          <v:rect style="width:0;height:1.5pt" o:hralign="center" o:hrstd="t" o:hr="t"/>
        </w:pict>
      </w:r>
    </w:p>
    <w:p>
      <w:pPr>
        <w:pStyle w:val="FirstParagraph"/>
      </w:pPr>
      <w:r>
        <w:t xml:space="preserve">Chapter 2 told the story of beneficiaries who tried to ask a court one question — is the trustee keeping the trust? — and spent years litigating a different question instead: whether they were allowed to ask. In Oregon, it took a ruling from the state’s Court of Appeals, in January 2026, before anyone definitively had the right to be heard (</w:t>
      </w:r>
      <w:r>
        <w:rPr>
          <w:i/>
        </w:rPr>
        <w:t xml:space="preserve">Advocates for School Trust Lands v. State</w:t>
      </w:r>
      <w:r>
        <w:t xml:space="preserve">, 346 Or App 668 (2026), decided January 28, 2026, reversed and remanded; review pending before the Oregon Supreme Court). Years of motion practice, briefing, and appeals, all consumed before the merits could begin — not because the question was hard, but because no statute had ever said who may ask it.</w:t>
      </w:r>
    </w:p>
    <w:p>
      <w:pPr>
        <w:pStyle w:val="BodyText"/>
      </w:pPr>
      <w:r>
        <w:t xml:space="preserve">And Chapter 5 told the stranger story underneath: even a beneficiary with a lawyer and a theory could not find out the condition of the trust, because no law required the trustee to ever produce a statement. The two failures compound each other. You cannot prove what you cannot see, and you cannot be heard about what you cannot prove.</w:t>
      </w:r>
    </w:p>
    <w:p>
      <w:pPr>
        <w:pStyle w:val="BodyText"/>
      </w:pPr>
      <w:r>
        <w:t xml:space="preserve">Articles 3, 4, and 5 of the act answer both, and they are best understood as two doors being unlocked — first the books, then the courthouse — with a full-time doorkeeper hired to watch them both.</w:t>
      </w:r>
    </w:p>
    <w:p>
      <w:pPr>
        <w:pStyle w:val="Heading2"/>
      </w:pPr>
      <w:bookmarkStart w:id="90" w:name="article-3-the-annual-statement"/>
      <w:r>
        <w:t xml:space="preserve">Article 3: the annual statement</w:t>
      </w:r>
      <w:bookmarkEnd w:id="90"/>
    </w:p>
    <w:p>
      <w:pPr>
        <w:pStyle w:val="FirstParagraph"/>
      </w:pPr>
      <w:r>
        <w:t xml:space="preserve">Start with what any private citizen already takes for granted. If a bank holds your retirement account in trust, it sends you a statement. It must. A bank trustee that refused to tell its beneficiaries what the trust holds, what it earned, and where the money went would lose its license, and quickly. Yet many trust-land states do not publish a single beneficiary-facing annual statement that consolidates the trust’s corpus, land inventory, receipts, expenses, asset dispositions, and distributions to beneficiaries [a reproducible fifty-state accounting is in progress; no count is asserted until it exists].</w:t>
      </w:r>
    </w:p>
    <w:p>
      <w:pPr>
        <w:pStyle w:val="BodyText"/>
      </w:pPr>
      <w:r>
        <w:t xml:space="preserve">The act’s Article 3 imposes the obligation a bank examiner would consider table stakes: every public trust covered by the act produces a uniform annual accounting, published free on a public website, within about four months of the close of each fiscal year.</w:t>
      </w:r>
    </w:p>
    <w:p>
      <w:pPr>
        <w:pStyle w:val="BodyText"/>
      </w:pPr>
      <w:r>
        <w:t xml:space="preserve">What must be in it is the heart of the provision, and the list was not invented at a desk. It was reverse-engineered from the questions beneficiaries have had to</w:t>
      </w:r>
      <w:r>
        <w:t xml:space="preserve"> </w:t>
      </w:r>
      <w:r>
        <w:rPr>
          <w:i/>
        </w:rPr>
        <w:t xml:space="preserve">litigate</w:t>
      </w:r>
      <w:r>
        <w:t xml:space="preserve"> </w:t>
      </w:r>
      <w:r>
        <w:t xml:space="preserve">to get answered. Sixteen required elements; grouped in plain terms, they come to seven questions:</w:t>
      </w:r>
    </w:p>
    <w:p>
      <w:pPr>
        <w:numPr>
          <w:ilvl w:val="0"/>
          <w:numId w:val="1002"/>
        </w:numPr>
        <w:pStyle w:val="Compact"/>
      </w:pPr>
      <w:r>
        <w:rPr>
          <w:b/>
        </w:rPr>
        <w:t xml:space="preserve">What the trust holds</w:t>
      </w:r>
      <w:r>
        <w:t xml:space="preserve"> </w:t>
      </w:r>
      <w:r>
        <w:t xml:space="preserve">— the corpus, opening and closing, with land stated by acreage and use, funds at market value, and the trustee’s estimate of land value with the date and method shown.</w:t>
      </w:r>
    </w:p>
    <w:p>
      <w:pPr>
        <w:numPr>
          <w:ilvl w:val="0"/>
          <w:numId w:val="1002"/>
        </w:numPr>
        <w:pStyle w:val="Compact"/>
      </w:pPr>
      <w:r>
        <w:rPr>
          <w:b/>
        </w:rPr>
        <w:t xml:space="preserve">What came in</w:t>
      </w:r>
      <w:r>
        <w:t xml:space="preserve"> </w:t>
      </w:r>
      <w:r>
        <w:t xml:space="preserve">— every revenue source: sales, royalties, rents, timber receipts, interest, gains.</w:t>
      </w:r>
    </w:p>
    <w:p>
      <w:pPr>
        <w:numPr>
          <w:ilvl w:val="0"/>
          <w:numId w:val="1002"/>
        </w:numPr>
        <w:pStyle w:val="Compact"/>
      </w:pPr>
      <w:r>
        <w:rPr>
          <w:b/>
        </w:rPr>
        <w:t xml:space="preserve">What went out</w:t>
      </w:r>
      <w:r>
        <w:t xml:space="preserve"> </w:t>
      </w:r>
      <w:r>
        <w:t xml:space="preserve">— every expenditure, by category, with the legal authority for each category cited.</w:t>
      </w:r>
    </w:p>
    <w:p>
      <w:pPr>
        <w:numPr>
          <w:ilvl w:val="0"/>
          <w:numId w:val="1002"/>
        </w:numPr>
        <w:pStyle w:val="Compact"/>
      </w:pPr>
      <w:r>
        <w:rPr>
          <w:b/>
        </w:rPr>
        <w:t xml:space="preserve">What left the trust for somewhere else</w:t>
      </w:r>
      <w:r>
        <w:t xml:space="preserve"> </w:t>
      </w:r>
      <w:r>
        <w:t xml:space="preserve">— every transfer out of the trust, to the state, an agency, a local government, or any non-trust account, with the legal authority for each category of charge cited — and, remarkably,</w:t>
      </w:r>
      <w:r>
        <w:t xml:space="preserve"> </w:t>
      </w:r>
      <w:r>
        <w:rPr>
          <w:i/>
        </w:rPr>
        <w:t xml:space="preserve">a statement of all known missing, disputed, commingled, or unreconciled trust property</w:t>
      </w:r>
      <w:r>
        <w:t xml:space="preserve">. The trustee must certify its own loose ends.</w:t>
      </w:r>
    </w:p>
    <w:p>
      <w:pPr>
        <w:numPr>
          <w:ilvl w:val="0"/>
          <w:numId w:val="1002"/>
        </w:numPr>
        <w:pStyle w:val="Compact"/>
      </w:pPr>
      <w:r>
        <w:rPr>
          <w:b/>
        </w:rPr>
        <w:t xml:space="preserve">What the beneficiaries received</w:t>
      </w:r>
      <w:r>
        <w:t xml:space="preserve"> </w:t>
      </w:r>
      <w:r>
        <w:t xml:space="preserve">— every distribution to beneficiary institutions and funds, with the formula shown and any amounts withheld, delayed, redirected, or offset stated. [CONFORM: v1 required distributions stated per district and per student; the merged act requires the formula and any withheld amounts but drops the per-student line — consider restoring it as a state add-on or in the commentary.]</w:t>
      </w:r>
    </w:p>
    <w:p>
      <w:pPr>
        <w:numPr>
          <w:ilvl w:val="0"/>
          <w:numId w:val="1002"/>
        </w:numPr>
        <w:pStyle w:val="Compact"/>
      </w:pPr>
      <w:r>
        <w:rPr>
          <w:b/>
        </w:rPr>
        <w:t xml:space="preserve">What was sold</w:t>
      </w:r>
      <w:r>
        <w:t xml:space="preserve"> </w:t>
      </w:r>
      <w:r>
        <w:t xml:space="preserve">— each disposition: the asset, the buyer, the price, the method, and the written justification for any deal that skipped the competitive process.</w:t>
      </w:r>
    </w:p>
    <w:p>
      <w:pPr>
        <w:numPr>
          <w:ilvl w:val="0"/>
          <w:numId w:val="1002"/>
        </w:numPr>
        <w:pStyle w:val="Compact"/>
      </w:pPr>
      <w:r>
        <w:rPr>
          <w:b/>
        </w:rPr>
        <w:t xml:space="preserve">What is pending</w:t>
      </w:r>
      <w:r>
        <w:t xml:space="preserve"> </w:t>
      </w:r>
      <w:r>
        <w:t xml:space="preserve">— litigation, claims, and any known condition impairing a trust asset.</w:t>
      </w:r>
    </w:p>
    <w:p>
      <w:pPr>
        <w:pStyle w:val="FirstParagraph"/>
      </w:pPr>
      <w:r>
        <w:t xml:space="preserve">Each item carries five years of comparative figures, so a trend is visible on the page without research. The board’s presiding officer and the agency’s chief fiscal officer must each certify the accounting is complete and accurate — signatures, not an anonymous agency product, because signatures change behavior. And the act anticipates the oldest evasion in public finance: the accounting requirement is</w:t>
      </w:r>
      <w:r>
        <w:t xml:space="preserve"> </w:t>
      </w:r>
      <w:r>
        <w:rPr>
          <w:i/>
        </w:rPr>
        <w:t xml:space="preserve">not</w:t>
      </w:r>
      <w:r>
        <w:t xml:space="preserve"> </w:t>
      </w:r>
      <w:r>
        <w:t xml:space="preserve">satisfied by pointing to the state’s general financial reports, budget documents, or audit footnotes scattered across a dozen publications. One trust, one document, everything in it.</w:t>
      </w:r>
    </w:p>
    <w:p>
      <w:pPr>
        <w:pStyle w:val="BodyText"/>
      </w:pPr>
      <w:r>
        <w:t xml:space="preserve">Two further provisions show the drafters were paying attention to how information actually gets used — and buried. The underlying data must be published in machine-readable form: a structured format a spreadsheet can open, not a scanned image of a paper table. That single requirement multiplies the watchful crew of Chapter 10 at no cost to the state, because it lets every school district, journalist, researcher, and watchdog do its own arithmetic. And each year’s accounting must stay publicly available for at least twenty years — no quiet removal of embarrassing history.</w:t>
      </w:r>
    </w:p>
    <w:p>
      <w:pPr>
        <w:pStyle w:val="BodyText"/>
      </w:pPr>
      <w:r>
        <w:t xml:space="preserve">Then comes the tooth, because a reporting mandate without consequences is a press release. If the trustee fails to account, any person with standing may object and seek a judicial accounting. But the deeper consequence is this: in any later proceeding about a period for which the trustee failed to render a materially complete accounting,</w:t>
      </w:r>
      <w:r>
        <w:t xml:space="preserve"> </w:t>
      </w:r>
      <w:r>
        <w:rPr>
          <w:i/>
        </w:rPr>
        <w:t xml:space="preserve">the burden of proof flips</w:t>
      </w:r>
      <w:r>
        <w:t xml:space="preserve"> </w:t>
      </w:r>
      <w:r>
        <w:t xml:space="preserve">— the trustee must prove the challenged transactions were lawful and faithful to the trust. And the limitations clock does not start running against a trust claim until the trustee has disclosed enough to put a beneficiary on reasonable notice of it. That is not an innovation; it is the settled rule for private fiduciaries, applied at last to public ones. A trustee who keeps the beneficiaries in the dark does not get to profit from the darkness.</w:t>
      </w:r>
    </w:p>
    <w:p>
      <w:pPr>
        <w:pStyle w:val="Heading2"/>
      </w:pPr>
      <w:bookmarkStart w:id="91" w:name="article-4-the-courthouse-door"/>
      <w:r>
        <w:t xml:space="preserve">Article 4: the courthouse door</w:t>
      </w:r>
      <w:bookmarkEnd w:id="91"/>
    </w:p>
    <w:p>
      <w:pPr>
        <w:pStyle w:val="FirstParagraph"/>
      </w:pPr>
      <w:r>
        <w:t xml:space="preserve">Now the second door.</w:t>
      </w:r>
    </w:p>
    <w:p>
      <w:pPr>
        <w:pStyle w:val="BodyText"/>
      </w:pPr>
      <w:r>
        <w:t xml:space="preserve">Article 4 begins by doing, in one paragraph, what consumed years of appellate litigation in Oregon: it says who may sue. A beneficiary institution. A parent or guardian of a current student, suing for the trust. A school district, or an association of districts. A membership organization whose members include any of these — so an advocacy organization can carry the case without parading individual children as named plaintiffs. A court-appointed representative for future beneficiaries. The independent enforcer described below; the attorney general, when unconflicted; the state auditor. And, at each state’s option, any taxpayer, with a good-faith screen so the option cannot be abused.</w:t>
      </w:r>
    </w:p>
    <w:p>
      <w:pPr>
        <w:pStyle w:val="BodyText"/>
      </w:pPr>
      <w:r>
        <w:t xml:space="preserve">Just as important is what the act forecloses. Standing does not require an injury distinct from the harm to the trust itself. It is not defeated because someone else might have sued instead, or because the plaintiff’s individual share of the trust is small. Those three arguments — you weren’t hurt specially, someone else should sue, your stake is too little — are the standard toolkit for keeping trust cases out of court, and the act retires all three. Whoever sues, sues</w:t>
      </w:r>
      <w:r>
        <w:t xml:space="preserve"> </w:t>
      </w:r>
      <w:r>
        <w:rPr>
          <w:i/>
        </w:rPr>
        <w:t xml:space="preserve">for the trust</w:t>
      </w:r>
      <w:r>
        <w:t xml:space="preserve">: any recovery goes to the trust, not to the plaintiff. This is not a bounty system. It is a key to a door.</w:t>
      </w:r>
    </w:p>
    <w:p>
      <w:pPr>
        <w:pStyle w:val="BodyText"/>
      </w:pPr>
      <w:r>
        <w:t xml:space="preserve">Then the act does something no school-trust statute has done before: it gives the unborn a voice. In any proceeding under the act, the court must ask whether future beneficiaries are adequately represented, and must appoint a representative for them when they are not — the same device, borrowed from guardian-ad-litem practice, that courts already use for children in custody cases and unborn heirs in private trust disputes. And no settlement, release, or consent decree that materially affects future beneficiaries can bind them unless the court finds they were genuinely represented and the deal is fair, reasonable, and faithful to the trust.</w:t>
      </w:r>
    </w:p>
    <w:p>
      <w:pPr>
        <w:pStyle w:val="Heading2"/>
      </w:pPr>
      <w:bookmarkStart w:id="92" w:name="the-enforcer-with-one-client"/>
      <w:r>
        <w:t xml:space="preserve">The enforcer with one client</w:t>
      </w:r>
      <w:bookmarkEnd w:id="92"/>
    </w:p>
    <w:p>
      <w:pPr>
        <w:pStyle w:val="FirstParagraph"/>
      </w:pPr>
      <w:r>
        <w:t xml:space="preserve">The deepest fix — Article 5, the act’s own article for it — answers Chapter 4: the lawyer on both sides.</w:t>
      </w:r>
    </w:p>
    <w:p>
      <w:pPr>
        <w:pStyle w:val="BodyText"/>
      </w:pPr>
      <w:r>
        <w:t xml:space="preserve">Recall the structure of that failure: in most states, the officer charged with enforcing public trusts is the attorney general, and the attorney general simultaneously serves as defense counsel to the very trustee whose administration is in question — with the trustee’s legal bills payable from the trust itself. The beneficiaries finance both sides of their own lawsuit, and the public’s trust enforcer never, ever sues.</w:t>
      </w:r>
    </w:p>
    <w:p>
      <w:pPr>
        <w:pStyle w:val="BodyText"/>
      </w:pPr>
      <w:r>
        <w:t xml:space="preserve">The act offers each state two ways out.</w:t>
      </w:r>
    </w:p>
    <w:p>
      <w:pPr>
        <w:pStyle w:val="BodyText"/>
      </w:pPr>
      <w:r>
        <w:rPr>
          <w:b/>
        </w:rPr>
        <w:t xml:space="preserve">The first is a standing office: the Office of Public Trust Enforcement, headed by an Independent Enforcement Officer.</w:t>
      </w:r>
      <w:r>
        <w:t xml:space="preserve"> </w:t>
      </w:r>
      <w:r>
        <w:t xml:space="preserve">An independent office of state government, answerable to no trustee whose conduct it may have to question, whose entire job is the welfare of the trusts and their beneficiaries. The officer monitors every annual accounting, investigates with real powers — subpoenas where state law allows, a thirty-day deadline on any demand for trust records — sues when warranted, intervenes in cases that affect the trusts, seeks representatives for future beneficiaries, reviews major dispositions and settlement proposals, and reports to the legislature and the public every year.</w:t>
      </w:r>
    </w:p>
    <w:p>
      <w:pPr>
        <w:pStyle w:val="BodyText"/>
      </w:pPr>
      <w:r>
        <w:t xml:space="preserve">Independence is engineered, not assumed, and the act’s drafting commentary is blunt that these features are the whole ballgame: a fixed term; removal only for cause; insulation from any trustee’s supervision, direction, budget control, or litigation control; and funding from non-trust sources — because an enforcer paid out of the trust would re-create the very conflict the office exists to cure. Weaken these and the office becomes one more agency; keep them and the trust has, for the first time, an enforcer with one client.</w:t>
      </w:r>
    </w:p>
    <w:p>
      <w:pPr>
        <w:pStyle w:val="BodyText"/>
      </w:pPr>
      <w:r>
        <w:rPr>
          <w:b/>
        </w:rPr>
        <w:t xml:space="preserve">The second is the lighter version: special counsel on demand.</w:t>
      </w:r>
      <w:r>
        <w:t xml:space="preserve"> </w:t>
      </w:r>
      <w:r>
        <w:t xml:space="preserve">For states unwilling to fund a standing office, a court appoints independent special counsel or a special fiduciary whenever ordinary public enforcement is unavailable, conflicted, inadequate, or materially delayed. The act’s own commentary is honest that this is second-best — episodic counsel cannot monitor, accumulate expertise, or deter — but it puts independence within reach of a small state with a modest trust.</w:t>
      </w:r>
    </w:p>
    <w:p>
      <w:pPr>
        <w:pStyle w:val="BodyText"/>
      </w:pPr>
      <w:r>
        <w:t xml:space="preserve">Either way, the act closes the conflict at its source. Whenever the attorney general represents or defends the trustee on the conduct in question, helped approve the challenged transaction, or is paid from trust property to defend it, the attorney general is</w:t>
      </w:r>
      <w:r>
        <w:t xml:space="preserve"> </w:t>
      </w:r>
      <w:r>
        <w:rPr>
          <w:i/>
        </w:rPr>
        <w:t xml:space="preserve">conflicted out</w:t>
      </w:r>
      <w:r>
        <w:t xml:space="preserve"> </w:t>
      </w:r>
      <w:r>
        <w:t xml:space="preserve">of the enforcement role for that trust: the attorney general may still defend the state, but may not represent the trust, control its claims, or settle them — that authority vests in the enforcement officer or special counsel. No case-by-case recusal fights; no spectacle of the attorney general ruling on the attorney general’s own conflict. The conflict turns on objective facts, because it is structural, not personal — it does not depend on any individual’s bad faith, and no individual’s good faith cures it.</w:t>
      </w:r>
    </w:p>
    <w:p>
      <w:pPr>
        <w:pStyle w:val="BodyText"/>
      </w:pPr>
      <w:r>
        <w:t xml:space="preserve">And one sentence with a long history behind it: the cost of defending a trustee against a breach-of-trust claim shall not be paid from the trust. If the trustee is finally vindicated, the court may allow reimbursement from a non-trust source — fair enough. But win or lose, the children’s money no longer pays the lawyers arguing against the children.</w:t>
      </w:r>
    </w:p>
    <w:p>
      <w:pPr>
        <w:pStyle w:val="Heading2"/>
      </w:pPr>
      <w:bookmarkStart w:id="93" w:name="what-the-three-articles-do-together"/>
      <w:r>
        <w:t xml:space="preserve">What the three articles do together</w:t>
      </w:r>
      <w:bookmarkEnd w:id="93"/>
    </w:p>
    <w:p>
      <w:pPr>
        <w:pStyle w:val="FirstParagraph"/>
      </w:pPr>
      <w:r>
        <w:t xml:space="preserve">Open books and an open courthouse reinforce each other in a way neither achieves alone.</w:t>
      </w:r>
    </w:p>
    <w:p>
      <w:pPr>
        <w:pStyle w:val="BodyText"/>
      </w:pPr>
      <w:r>
        <w:t xml:space="preserve">The accounting makes problems visible while they are still small — the transfer with no authority cited, the disposition with no appraisal published, the distribution that quietly shrank. Standing means visibility can become action without a years-long detour through threshold questions. The enforcement officer means action does not depend on a volunteer plaintiff happening to exist in the right decade with the right resources. And the burden-shift means that even silence has consequences: a trustee can no longer make enforcement impossible by keeping the records bad.</w:t>
      </w:r>
    </w:p>
    <w:p>
      <w:pPr>
        <w:pStyle w:val="BodyText"/>
      </w:pPr>
      <w:r>
        <w:t xml:space="preserve">Notice the spirit of all of it. Nothing in these three articles punishes anyone. A trustee administering the trust faithfully experiences Article 3 as a reporting routine and Articles 4 and 5 not at all. The articles only bite where there is something to hide or something to answer for. That is the test of well-made fiduciary law: invisible to the honest, expensive to the unfaithful.</w:t>
      </w:r>
    </w:p>
    <w:p>
      <w:pPr>
        <w:pStyle w:val="BodyText"/>
      </w:pPr>
      <w:r>
        <w:t xml:space="preserve">But two open doors are still not enough, and Part I says why. Beneficiaries have occasionally gotten through both doors before — seen the breach, won the case — and walked out with a declaration suitable for framing while the money stayed gone. A right to be heard, without a remedy at the end of it, is theater with better seating. What happens after the beneficiaries win is the subject of the next chapter, and it is where the act grows teeth.</w:t>
      </w:r>
    </w:p>
    <w:p>
      <w:r>
        <w:pict>
          <v:rect style="width:0;height:1.5pt" o:hralign="center" o:hrstd="t" o:hr="t"/>
        </w:pict>
      </w:r>
    </w:p>
    <w:p>
      <w:pPr>
        <w:pStyle w:val="FirstParagraph"/>
      </w:pPr>
      <w:r>
        <w:rPr>
          <w:b/>
        </w:rPr>
        <w:t xml:space="preserve">Sources for this chapter.</w:t>
      </w:r>
      <w:r>
        <w:t xml:space="preserve"> </w:t>
      </w:r>
      <w:r>
        <w:t xml:space="preserve">The chapter restates Articles 3 through 5 of the Uniform Public Trust Enforcement Act (Converged Packet v2.0, June 2026) and its drafting commentary; the act is an internal working draft and does not circulate externally until counsel review is complete; quoted and paraphrased provisions must be conformed to the final text before print. The Oregon standing episode is described from the public appellate record; the January 2026 Court of Appeals ruling is</w:t>
      </w:r>
      <w:r>
        <w:t xml:space="preserve"> </w:t>
      </w:r>
      <w:r>
        <w:rPr>
          <w:i/>
        </w:rPr>
        <w:t xml:space="preserve">Advocates for School Trust Lands v. State</w:t>
      </w:r>
      <w:r>
        <w:t xml:space="preserve">, 346 Or App 668 (2026) (decided January 28, 2026; reversed and remanded; on appeal from the earlier case, Coos County Circuit Court No. 23CV39056) [verified against the published opinion 2026-06-06] and any fuller treatment is gated on counsel review under the project’s litigation-sequencing rule (the live trial case,</w:t>
      </w:r>
      <w:r>
        <w:t xml:space="preserve"> </w:t>
      </w:r>
      <w:r>
        <w:rPr>
          <w:i/>
        </w:rPr>
        <w:t xml:space="preserve">Siuslaw School District 97J v. State of Oregon</w:t>
      </w:r>
      <w:r>
        <w:t xml:space="preserve">, Coos County Circuit Court No. 24CV38372, is set for trial August 18–28, 2026; nothing here characterizes contested conduct or predicts any outcome). No count of states lacking a complete school-trust accounting is asserted in this chapter; a reproducible fifty-state accounting is in progress, and the qualitative formulation in the text stands until that count exists. The burden-shift rule’s grounding in settled private-fiduciary doctrine and the associational-standing pattern are per the act’s commentary; supporting citations to be supplied in the verification pass.</w:t>
      </w:r>
    </w:p>
    <w:p>
      <w:r>
        <w:br w:type="page"/>
      </w:r>
    </w:p>
    <w:p>
      <w:pPr>
        <w:pStyle w:val="Heading1"/>
      </w:pPr>
      <w:bookmarkStart w:id="94" w:name="chapter-14-teeth"/>
      <w:r>
        <w:t xml:space="preserve">Chapter 14 — Teeth</w:t>
      </w:r>
      <w:bookmarkEnd w:id="94"/>
    </w:p>
    <w:p>
      <w:pPr>
        <w:pStyle w:val="FirstParagraph"/>
      </w:pPr>
      <w:r>
        <w:t xml:space="preserve">[DRAFT v2.0 — AI first pass; awaiting Dave’s voice pass]</w:t>
      </w:r>
    </w:p>
    <w:p>
      <w:r>
        <w:pict>
          <v:rect style="width:0;height:1.5pt" o:hralign="center" o:hrstd="t" o:hr="t"/>
        </w:pict>
      </w:r>
    </w:p>
    <w:p>
      <w:pPr>
        <w:pStyle w:val="FirstParagraph"/>
      </w:pPr>
      <w:r>
        <w:t xml:space="preserve">Remember where Chapter 6 left us. A court can look straight at a broken promise and find that its hands are empty. The duties were real. The breach was provable. And then the oldest remedies in the law — give an account, restore what was taken, give back what you gained — died at the courthouse door, blocked by doctrines built for car-crash claims against the state. Winning meant nothing.</w:t>
      </w:r>
    </w:p>
    <w:p>
      <w:pPr>
        <w:pStyle w:val="BodyText"/>
      </w:pPr>
      <w:r>
        <w:t xml:space="preserve">This chapter is about the part of the law that fixes that. Articles 6 and 7 of the Uniform Public Trust Enforcement Act are the teeth. Article 6 polices the deals before they close — the sales, trades, and transfers by which trust value most often walks away. Article 7 restores what courts of equity could always do to a private trustee, and makes the state hold still for it.</w:t>
      </w:r>
    </w:p>
    <w:p>
      <w:pPr>
        <w:pStyle w:val="BodyText"/>
      </w:pPr>
      <w:r>
        <w:t xml:space="preserve">Everything before this point in the act is daylight and standing room. This is the part that bites. So it is worth saying at the start what the teeth are for. They are not for punishing anyone. There are no jail terms in this law, no personal damages, no punitive awards. Every remedy in it points one direction: back into the trust, for the children it belongs to.</w:t>
      </w:r>
    </w:p>
    <w:p>
      <w:pPr>
        <w:pStyle w:val="Heading2"/>
      </w:pPr>
      <w:bookmarkStart w:id="95" w:name="article-6-policing-the-deals"/>
      <w:r>
        <w:t xml:space="preserve">Article 6 — Policing the deals</w:t>
      </w:r>
      <w:bookmarkEnd w:id="95"/>
    </w:p>
    <w:p>
      <w:pPr>
        <w:pStyle w:val="Heading3"/>
      </w:pPr>
      <w:bookmarkStart w:id="96" w:name="Xa3b53b77bbaa3f50b00677cf8181055ebc0db4a"/>
      <w:r>
        <w:t xml:space="preserve">Section 604: The state cannot quietly buy from itself</w:t>
      </w:r>
      <w:bookmarkEnd w:id="96"/>
    </w:p>
    <w:p>
      <w:pPr>
        <w:pStyle w:val="FirstParagraph"/>
      </w:pPr>
      <w:r>
        <w:t xml:space="preserve">Here is what the section does. It puts a name on a particular kind of transaction. When a trust asset is sold or transferred to the trustee wearing its other hat — to a state agency that is not a beneficiary, to a member or employee of the trustee board, or to anyone fronting for them — the act calls that a</w:t>
      </w:r>
      <w:r>
        <w:t xml:space="preserve"> </w:t>
      </w:r>
      <w:r>
        <w:rPr>
          <w:i/>
        </w:rPr>
        <w:t xml:space="preserve">self-interested transaction</w:t>
      </w:r>
      <w:r>
        <w:t xml:space="preserve">. A self-interested transaction can be undone by the courts unless the trustee proves two things: that it followed every safeguard in the act, and that the deal was fair to the beneficiaries when it was made. The burden of proof sits on the trustee. Not on the schoolchildren. On the trustee.</w:t>
      </w:r>
    </w:p>
    <w:p>
      <w:pPr>
        <w:pStyle w:val="BodyText"/>
      </w:pPr>
      <w:r>
        <w:t xml:space="preserve">Here is why that matters. In a private trust, this is the oldest rule there is. A trustee who sells trust property to himself has to prove the sale was clean, because he stood on both sides of it. But when a state is the trustee, the same transaction wears a disguise. One arm of the state sells; another arm of the state buys; and the state, in effect, sets the price it pays itself. No outside bidder tests the number. No beneficiary signs off. The paperwork looks like government business as usual, because it is.</w:t>
      </w:r>
    </w:p>
    <w:p>
      <w:pPr>
        <w:pStyle w:val="BodyText"/>
      </w:pPr>
      <w:r>
        <w:t xml:space="preserve">And here is what it would have prevented — or at least forced into the open. You read in Chapter 6 about the Elliott State Forest: trust land decoupled from the Common School Fund in a transfer between arms of the same state, presented as a compensated buyout, with the adequacy of that compensation now contested in active litigation [VERIFY current litigation posture and all figures against public filings before print; describe only as contested]. Other states have run the same play: Utah’s recent sale of school-trust land directly to the state’s wildlife agency — the episode that closed Chapter 9 — ran without competitive exposure, under H.B. 262 (2024) and Utah Code 53C-4-104, legislation written for the purpose. The act does not forbid the state from acquiring trust land. Sometimes the state really is the best buyer. The act says: fine — prove it. Prove the price. Prove the process. In writing, in public, in advance.</w:t>
      </w:r>
    </w:p>
    <w:p>
      <w:pPr>
        <w:pStyle w:val="Heading3"/>
      </w:pPr>
      <w:bookmarkStart w:id="97" w:name="X5b591a3cb35df4c49c5d8983bb0e71012eefbca"/>
      <w:r>
        <w:t xml:space="preserve">Section 602: The buyer does not get to write the appraisal</w:t>
      </w:r>
      <w:bookmarkEnd w:id="97"/>
    </w:p>
    <w:p>
      <w:pPr>
        <w:pStyle w:val="FirstParagraph"/>
      </w:pPr>
      <w:r>
        <w:t xml:space="preserve">What it does: for any major disposition — the act leaves the dollar threshold to each state — the trustee must get an independent appraisal from a professional it selects itself, who has no financial stake in the deal and is paid through the trustee or a neutral process, never directly by the buyer. An appraisal procured or controlled by the buyer can never be the sole or controlling basis for the price. For a self-interested transaction, the trustee needs two independent appraisals. Every appraisal must disclose its methods, assumptions, conflicts review, and market data. And the trustee may not sell below fair market value without written findings, backed by independent valuation, that the trust is receiving an equivalent value the trust instrument actually authorizes.</w:t>
      </w:r>
    </w:p>
    <w:p>
      <w:pPr>
        <w:pStyle w:val="BodyText"/>
      </w:pPr>
      <w:r>
        <w:t xml:space="preserve">Why it matters: a valuation bought by the buyer is not a valuation. It is an opening offer wearing a credential. In private fiduciary work, pricing trust property off the acquirer’s own appraisal would be malpractice. In public trusts it has been routine, because nobody was positioned to object.</w:t>
      </w:r>
    </w:p>
    <w:p>
      <w:pPr>
        <w:pStyle w:val="BodyText"/>
      </w:pPr>
      <w:r>
        <w:t xml:space="preserve">What it would have prevented: the quiet kind of loss — not theft, just a soft number, accepted because checking it was nobody’s job. Pair it with the published fiduciary findings the act requires before any major disposition is approved, and valuation fights happen</w:t>
      </w:r>
      <w:r>
        <w:t xml:space="preserve"> </w:t>
      </w:r>
      <w:r>
        <w:rPr>
          <w:i/>
        </w:rPr>
        <w:t xml:space="preserve">before</w:t>
      </w:r>
      <w:r>
        <w:t xml:space="preserve"> </w:t>
      </w:r>
      <w:r>
        <w:t xml:space="preserve">closing, when they can still change the price, instead of years later in a courtroom, when the land is gone and the argument is academic.</w:t>
      </w:r>
    </w:p>
    <w:p>
      <w:pPr>
        <w:pStyle w:val="Heading3"/>
      </w:pPr>
      <w:bookmarkStart w:id="98" w:name="Xc27535d22d9ba7feefa2bb10ca31e4e03a06ec6"/>
      <w:r>
        <w:t xml:space="preserve">Section 603: Sunlight is the default way to sell</w:t>
      </w:r>
      <w:bookmarkEnd w:id="98"/>
    </w:p>
    <w:p>
      <w:pPr>
        <w:pStyle w:val="FirstParagraph"/>
      </w:pPr>
      <w:r>
        <w:t xml:space="preserve">What it does: every disposition of trust property happens by competitive public process — auction, sealed bids, proposals, or open listing — unless the trustee publishes, in advance, written findings naming one of the act’s listed exceptions and explaining why competition would serve the trust worse. A noncompetitive deal must be published at least thirty days before final approval. A deal that materially violates these rules is voidable in equity — and even where an innocent third-party buyer keeps the land, the act preserves every remedy against the breaching trustee, against knowing participants, and against the proceeds. [CONFORM: v1 charged a state-agency acquirer with notice of the act, foreclosing the innocent-buyer defense in terms; the merged act leaves bona fide purchaser rights to state law while preserving relief against the trustee, participants, and proceeds — confirm the prose claims no more than v2 supports.]</w:t>
      </w:r>
    </w:p>
    <w:p>
      <w:pPr>
        <w:pStyle w:val="BodyText"/>
      </w:pPr>
      <w:r>
        <w:t xml:space="preserve">Why it matters: market exposure is the cheapest, most reliable price-check humanity has invented. The competitive default flips the old arrangement on its head. The insider deal used to be the silent rule and the public sale the occasional gesture. Under the act, the public sale is the rule, and the negotiated exception has to explain itself in writing, in public, before the ink dries.</w:t>
      </w:r>
    </w:p>
    <w:p>
      <w:pPr>
        <w:pStyle w:val="Heading2"/>
      </w:pPr>
      <w:bookmarkStart w:id="99" w:name="article-7-restoring-the-cure"/>
      <w:r>
        <w:t xml:space="preserve">Article 7 — Restoring the cure</w:t>
      </w:r>
      <w:bookmarkEnd w:id="99"/>
    </w:p>
    <w:p>
      <w:pPr>
        <w:pStyle w:val="FirstParagraph"/>
      </w:pPr>
      <w:r>
        <w:t xml:space="preserve">Article 6 is prevention. Article 7 is cure. It answers the failure that gave Chapter 6 its title: a beneficiary who wins on the merits and recovers nothing has not enforced a trust. They have written an essay.</w:t>
      </w:r>
    </w:p>
    <w:p>
      <w:pPr>
        <w:pStyle w:val="Heading3"/>
      </w:pPr>
      <w:bookmarkStart w:id="100" w:name="X4127d9022cb38d7522701a89a0aa7dfbfce445a"/>
      <w:r>
        <w:t xml:space="preserve">Section 704: The whole toolkit, back on the table</w:t>
      </w:r>
      <w:bookmarkEnd w:id="100"/>
    </w:p>
    <w:p>
      <w:pPr>
        <w:pStyle w:val="FirstParagraph"/>
      </w:pPr>
      <w:r>
        <w:t xml:space="preserve">What it does: it lists, in statute, every remedy a court of equity has used against trustees for centuries, and says plainly that all of them are available here. A declaration of what the trust is and what the trustee owes. Injunctions — stop a threatened breach, halt a disposition until the safeguards are met. A full accounting for any period, not just the years the annual reports cover.</w:t>
      </w:r>
      <w:r>
        <w:t xml:space="preserve"> </w:t>
      </w:r>
      <w:r>
        <w:rPr>
          <w:i/>
        </w:rPr>
        <w:t xml:space="preserve">Surcharge</w:t>
      </w:r>
      <w:r>
        <w:t xml:space="preserve"> </w:t>
      </w:r>
      <w:r>
        <w:t xml:space="preserve">and</w:t>
      </w:r>
      <w:r>
        <w:t xml:space="preserve"> </w:t>
      </w:r>
      <w:r>
        <w:rPr>
          <w:i/>
        </w:rPr>
        <w:t xml:space="preserve">restoration</w:t>
      </w:r>
      <w:r>
        <w:t xml:space="preserve"> </w:t>
      </w:r>
      <w:r>
        <w:t xml:space="preserve">— the old words for making the trust whole: the trustee restores the trust to the value it would have held, corpus and income, if the breach had never happened.</w:t>
      </w:r>
      <w:r>
        <w:t xml:space="preserve"> </w:t>
      </w:r>
      <w:r>
        <w:rPr>
          <w:i/>
        </w:rPr>
        <w:t xml:space="preserve">Disgorgement</w:t>
      </w:r>
      <w:r>
        <w:t xml:space="preserve"> </w:t>
      </w:r>
      <w:r>
        <w:t xml:space="preserve">— whoever profited from the breach, including the state in its non-trustee capacity, gives the profit back to the trust. Rescission and reformation — unwinding or repairing the voidable deals of Article 6, with bona fide purchaser rights left to state law. Appointment of a special fiduciary, receiver, monitor, or master to run specified pieces of trust administration until the trustee complies. And the grant is open-ended on purpose: the court may order</w:t>
      </w:r>
      <w:r>
        <w:t xml:space="preserve"> </w:t>
      </w:r>
      <w:r>
        <w:rPr>
          <w:i/>
        </w:rPr>
        <w:t xml:space="preserve">any</w:t>
      </w:r>
      <w:r>
        <w:t xml:space="preserve"> </w:t>
      </w:r>
      <w:r>
        <w:t xml:space="preserve">equitable remedy necessary to enforce the trust. [CONFORM: v1’s explicit catch-all — anything a court of equity could do to a private trustee in like circumstances — does not appear in the merged act; the open-ended grant in Section 704(a) is the v2 equivalent.]</w:t>
      </w:r>
    </w:p>
    <w:p>
      <w:pPr>
        <w:pStyle w:val="BodyText"/>
      </w:pPr>
      <w:r>
        <w:t xml:space="preserve">One honest limit. Where the trustees hold constitutional offices — in Oregon, the State Land Board is the Governor, the Secretary of State, and the State Treasurer — a statute cannot remove them, and this one does not pretend to: removal under the act runs only</w:t>
      </w:r>
      <w:r>
        <w:t xml:space="preserve"> </w:t>
      </w:r>
      <w:r>
        <w:t xml:space="preserve">“</w:t>
      </w:r>
      <w:r>
        <w:t xml:space="preserve">to the extent permitted by</w:t>
      </w:r>
      <w:r>
        <w:t xml:space="preserve">”</w:t>
      </w:r>
      <w:r>
        <w:t xml:space="preserve"> </w:t>
      </w:r>
      <w:r>
        <w:t xml:space="preserve">the state constitution. But the court can forbid specific conduct, and it can put a special fiduciary in charge of specific functions. Between those two, the purpose of removal is mostly served without the constitutional fight.</w:t>
      </w:r>
    </w:p>
    <w:p>
      <w:pPr>
        <w:pStyle w:val="BodyText"/>
      </w:pPr>
      <w:r>
        <w:t xml:space="preserve">Why it matters, and what it would have prevented: every story in Part I ends the same way — with a wrong that had no rescue. This section is the rescue, restated where no one can claim it doesn’t exist.</w:t>
      </w:r>
    </w:p>
    <w:p>
      <w:pPr>
        <w:pStyle w:val="Heading3"/>
      </w:pPr>
      <w:bookmarkStart w:id="101" w:name="X08a480a6e315e07495632453bbeafae99ff5350"/>
      <w:r>
        <w:t xml:space="preserve">Sections 704 and 705: Restoration that actually restores</w:t>
      </w:r>
      <w:bookmarkEnd w:id="101"/>
    </w:p>
    <w:p>
      <w:pPr>
        <w:pStyle w:val="FirstParagraph"/>
      </w:pPr>
      <w:r>
        <w:t xml:space="preserve">What it does: when a court orders the trust made whole, the restoration expressly reaches lost income and lost appreciation, not just the original sum. And every recovery belongs to the trust: the court directs it back into corpus, income, or a distribution account as the trust instrument requires, and no plaintiff, lawyer, or agency may take a percentage of it without express statutory authority and court approval. [CONFORM: v1 fixed the interest measure at the greater of the trust’s actual return or the statutory judgment rate, and expressly barred re-appropriation of restored funds; the merged act names lost income and appreciation as restorable and routes recoveries to the trust, but leaves the rate measure to equity — decide whether the v1 measure returns as a state option.]</w:t>
      </w:r>
    </w:p>
    <w:p>
      <w:pPr>
        <w:pStyle w:val="BodyText"/>
      </w:pPr>
      <w:r>
        <w:t xml:space="preserve">Why it matters: pay attention to where the money lands, because it closes a loop a clever reader has already spotted. If a court orders the state to restore money to a fund the state controls, and the legislature can then appropriate that money right back out, the restoration is a circle. Money in the front door, money out the back. Section 705 sends recoveries to the trust’s own accounts, under court order — and the [CONFORM] note above flags the v1 anti-re-appropriation clause for counsel. And because lost income and lost appreciation are expressly recoverable, the oldest defense strategy in trust litigation — delay — loses its arithmetic. Under the old arrangements, every year of stalling made the eventual judgment cheaper in real terms. Under this act, stalling adds to what must be restored. Delay stops being a strategy.</w:t>
      </w:r>
    </w:p>
    <w:p>
      <w:pPr>
        <w:pStyle w:val="Heading3"/>
      </w:pPr>
      <w:bookmarkStart w:id="102" w:name="Xfbc81600227d3fae55cec8ec501be021ff0e9d8"/>
      <w:r>
        <w:t xml:space="preserve">Section 706: The economics of suing your own trustee</w:t>
      </w:r>
      <w:bookmarkEnd w:id="102"/>
    </w:p>
    <w:p>
      <w:pPr>
        <w:pStyle w:val="FirstParagraph"/>
      </w:pPr>
      <w:r>
        <w:t>What it does, in four rules. First: a plaintiff or intervenor that substantially prevails, or whose action is a substantial factor in conferring a substantial benefit on the trust, is awarded reasonable attorney fees, expert fees, forensic-accounting and appraisal fees, litigation expenses, and costs unless special circumstances would make an award unjust. Second: those fees are paid first by the breaching fiduciary or knowing participant where equity permits, and then by the responsible state, trustee agency, or public body from funds other than public trust property. They may never be paid from corpus, income, or any recovery belonging to the trust. Third: fees are measured at market rates and are additional to the trust's recovery, so nonprofit, public-interest, reduced-rate, or pro bono counsel can still sustain the work. Fourth: no bond may be demanded of a good-faith beneficiary as the price of getting into court or holding a transaction still while the case is heard, and the state's fees cannot be shifted onto that beneficiary unless the action was frivolous, bad-faith, or improper.</w:t>
      </w:r>
    </w:p>
    <w:p>
      <w:pPr>
        <w:pStyle w:val="BodyText"/>
      </w:pPr>
      <w:r>
        <w:t xml:space="preserve">Why it matters: think back to Chapter 2 and Chapter 4, and do the arithmetic a school board faces. On the other side: the state, defended for free — sometimes, as you saw, billed to the trust itself. On your side: years of fees, the risk of paying the state’s costs if you lose, and a bond requirement that can price you out of even pausing a sale long enough to argue about it. Any responsible board declines that bet. The merits never matter, because the economics decide first. Section 706 re-levels the table. A good-faith beneficiary risks nothing but effort; a winning one is made whole; and the trust never pays for its own rescue twice.</w:t>
      </w:r>
    </w:p>
    <w:p>
      <w:pPr>
        <w:pStyle w:val="Heading3"/>
      </w:pPr>
      <w:bookmarkStart w:id="103" w:name="Xf6ff2529babc14eadab490bece02c0fe0b3e3af"/>
      <w:r>
        <w:t xml:space="preserve">Sections 702 and 703: The immunity waiver, narrow on purpose</w:t>
      </w:r>
      <w:bookmarkEnd w:id="103"/>
    </w:p>
    <w:p>
      <w:pPr>
        <w:pStyle w:val="FirstParagraph"/>
      </w:pPr>
      <w:r>
        <w:t xml:space="preserve">What it does: the state waives its immunity under this act — but only so a court can grant the equitable remedies that run</w:t>
      </w:r>
      <w:r>
        <w:t xml:space="preserve"> </w:t>
      </w:r>
      <w:r>
        <w:rPr>
          <w:i/>
        </w:rPr>
        <w:t xml:space="preserve">to the trust</w:t>
      </w:r>
      <w:r>
        <w:t xml:space="preserve">: surcharge, restoration, disgorgement, and the rest of Section 704’s list. No tort damages. No punitive damages. No money to any plaintiff personally, beyond the fee awards of Section 706. Section 703 then says, in so many words, that these proceedings are not</w:t>
      </w:r>
      <w:r>
        <w:t xml:space="preserve"> </w:t>
      </w:r>
      <w:r>
        <w:t xml:space="preserve">“</w:t>
      </w:r>
      <w:r>
        <w:t xml:space="preserve">tort</w:t>
      </w:r>
      <w:r>
        <w:t xml:space="preserve">”</w:t>
      </w:r>
      <w:r>
        <w:t xml:space="preserve"> </w:t>
      </w:r>
      <w:r>
        <w:t xml:space="preserve">cases — so the tort claims act’s notice deadlines, presentment rituals, and damage caps simply do not apply to them. And the clock is fixed back in the accounting article: no limitation period or laches defense starts to run against a trust claim until the trustee has made disclosure complete enough to put a beneficiary on reasonable notice of it. [CONFORM: v1’s six-year discovery period and its no-time-bar rule for trust assets still identifiable in the state’s hands do not appear in the merged act; the accounting-triggered tolling rule in Section 305(b) is the v2 mechanism — counsel to decide whether the v1 rules return as state options.]</w:t>
      </w:r>
    </w:p>
    <w:p>
      <w:pPr>
        <w:pStyle w:val="BodyText"/>
      </w:pPr>
      <w:r>
        <w:t xml:space="preserve">Why it matters: this is the section that answers Chapter 6 head-on. The machinery that blocked the old cases — immunity, notice traps, caps written for slip-and-fall claims — was never built for trusts, and this section says so. Notice how modest the waiver actually is. The state is not exposed to a single dollar it was ever entitled to keep. Surcharge restores trust money to the trust. Disgorgement returns profits that were never the state’s. A legislator can vote for this waiver and tell every constituent, accurately: the only money at stake is money that already belongs to the schoolchildren.</w:t>
      </w:r>
    </w:p>
    <w:p>
      <w:pPr>
        <w:pStyle w:val="BodyText"/>
      </w:pPr>
      <w:r>
        <w:t xml:space="preserve">What it would have prevented: the spectacle, documented in Part I, of a perpetual trust whose oldest claims expired before its youngest beneficiaries were born — a clock that ran against children who could not read it.</w:t>
      </w:r>
    </w:p>
    <w:p>
      <w:pPr>
        <w:pStyle w:val="Heading3"/>
      </w:pPr>
      <w:bookmarkStart w:id="104" w:name="section-701-local-courts"/>
      <w:r>
        <w:t xml:space="preserve">Section 701: Local courts</w:t>
      </w:r>
      <w:bookmarkEnd w:id="104"/>
    </w:p>
    <w:p>
      <w:pPr>
        <w:pStyle w:val="FirstParagraph"/>
      </w:pPr>
      <w:r>
        <w:t xml:space="preserve">A short section, kept short here. Suits go to the courts where the trust land lies, where a beneficiary school sits, or in the capital county — so trust litigation stays visible to the communities it affects — and the court hearing them holds every equitable power the act restores. [CONFORM: v1 invited assignment to judges with fiduciary experience; the merged act leaves docket assignment to state practice.]</w:t>
      </w:r>
    </w:p>
    <w:p>
      <w:pPr>
        <w:pStyle w:val="Heading2"/>
      </w:pPr>
      <w:bookmarkStart w:id="105" w:name="what-the-teeth-are-for"/>
      <w:r>
        <w:t xml:space="preserve">What the teeth are for</w:t>
      </w:r>
      <w:bookmarkEnd w:id="105"/>
    </w:p>
    <w:p>
      <w:pPr>
        <w:pStyle w:val="FirstParagraph"/>
      </w:pPr>
      <w:r>
        <w:t xml:space="preserve">Step back and look at the two articles together. An honest trustee feels almost none of this. The appraisals are appraisals it should already be getting. The competitive sales are how it should already be selling. The remedies never reach administration that was faithful, and the fee rules cost the state nothing unless it loses to its own beneficiaries in court.</w:t>
      </w:r>
    </w:p>
    <w:p>
      <w:pPr>
        <w:pStyle w:val="BodyText"/>
      </w:pPr>
      <w:r>
        <w:t xml:space="preserve">The teeth exist for the other days. The act’s bet — the bet of all trust law, going back centuries — is that teeth that are visible rarely have to be used. A trustee who knows the deal will be appraised, published, exposed to bidders, and reversible in court prices the trust honestly the first time. The beneficiaries of that discipline will mostly never know it worked. That is what working looks like.</w:t>
      </w:r>
    </w:p>
    <w:p>
      <w:pPr>
        <w:pStyle w:val="BodyText"/>
      </w:pPr>
      <w:r>
        <w:t xml:space="preserve">One question remains, and the act saves it for last: who keeps all of this alive in forty years, when everyone who fought for it is gone? The act’s last two working articles are the answer, and they are the next chapter.</w:t>
      </w:r>
    </w:p>
    <w:p>
      <w:r>
        <w:pict>
          <v:rect style="width:0;height:1.5pt" o:hralign="center" o:hrstd="t" o:hr="t"/>
        </w:pict>
      </w:r>
    </w:p>
    <w:p>
      <w:pPr>
        <w:pStyle w:val="FirstParagraph"/>
      </w:pPr>
      <w:r>
        <w:rPr>
          <w:i/>
        </w:rPr>
        <w:t xml:space="preserve">Sources for this chapter.</w:t>
      </w:r>
      <w:r>
        <w:t xml:space="preserve"> </w:t>
      </w:r>
      <w:r>
        <w:t xml:space="preserve">Uniform Public Trust Enforcement Act, Converged Packet v2.0 (June 2026), Articles 6 and 7 (Sections 601–605 and 701–707), with the section-by-section commentary in</w:t>
      </w:r>
      <w:r>
        <w:t xml:space="preserve"> </w:t>
      </w:r>
      <w:r>
        <w:rPr>
          <w:i/>
        </w:rPr>
        <w:t xml:space="preserve">UPTEA Commentary and Oregon Annex</w:t>
      </w:r>
      <w:r>
        <w:t xml:space="preserve"> </w:t>
      </w:r>
      <w:r>
        <w:t xml:space="preserve">v1, Part I [CONFORM commentary citations to the v2 numbering]. The Elliott State Forest episode is told, with sources, in Chapter 6; its characterization here is limited to matters of public record, and the adequacy of the consideration is contested in active litigation (</w:t>
      </w:r>
      <w:r>
        <w:rPr>
          <w:i/>
        </w:rPr>
        <w:t xml:space="preserve">Siuslaw School District 97J v. State of Oregon</w:t>
      </w:r>
      <w:r>
        <w:t xml:space="preserve">, Coos County Circuit Court No. 24CV38372) [VERIFY posture against public filings before print; counsel review required]. The direct-to-agency sale referenced under Section 604 is the Utah episode told in Chapter 9; it requires verification against primary sources before print [VERIFY]. Dollar thresholds and day counts are bracketed state variables in the merged act; enacting states set them.</w:t>
      </w:r>
    </w:p>
    <w:p>
      <w:r>
        <w:br w:type="page"/>
      </w:r>
    </w:p>
    <w:p>
      <w:pPr>
        <w:pStyle w:val="Heading1"/>
      </w:pPr>
      <w:bookmarkStart w:id="106" w:name="chapter-15-a-law-that-maintains-itself"/>
      <w:r>
        <w:t xml:space="preserve">Chapter 15 — A Law That Maintains Itself</w:t>
      </w:r>
      <w:bookmarkEnd w:id="106"/>
    </w:p>
    <w:p>
      <w:pPr>
        <w:pStyle w:val="FirstParagraph"/>
      </w:pPr>
      <w:r>
        <w:t xml:space="preserve">[DRAFT v2.0 — AI first pass; awaiting Dave’s voice pass]</w:t>
      </w:r>
    </w:p>
    <w:p>
      <w:r>
        <w:pict>
          <v:rect style="width:0;height:1.5pt" o:hralign="center" o:hrstd="t" o:hr="t"/>
        </w:pict>
      </w:r>
    </w:p>
    <w:p>
      <w:pPr>
        <w:pStyle w:val="FirstParagraph"/>
      </w:pPr>
      <w:r>
        <w:t xml:space="preserve">Every law has a hidden assumption, and the assumption is almost always the same: someone will be paying attention.</w:t>
      </w:r>
    </w:p>
    <w:p>
      <w:pPr>
        <w:pStyle w:val="BodyText"/>
      </w:pPr>
      <w:r>
        <w:t xml:space="preserve">The speed limit assumes a patrol car. The building code assumes an inspector. And every trust statute ever written assumes that somebody — a beneficiary, a judge, an honest officeholder — will notice when the trustee drifts, and care enough to act. Take the watcher away and the law is still on the books, still technically in force, and slowly, politely, dead.</w:t>
      </w:r>
    </w:p>
    <w:p>
      <w:pPr>
        <w:pStyle w:val="BodyText"/>
      </w:pPr>
      <w:r>
        <w:t xml:space="preserve">This book has spent a lot of pages on what happens when the watcher goes away. Chapter 7 told the quietest version of the story: board members cycling through their terms without ever being told they were fiduciaries, no statute requiring anyone to teach them, no review ever scheduled to check the drift. Forty years of well-meaning turnover doing what no raid ever could. Nobody stole anything. Everybody simply forgot, one retirement at a time, what the institution was for.</w:t>
      </w:r>
    </w:p>
    <w:p>
      <w:pPr>
        <w:pStyle w:val="BodyText"/>
      </w:pPr>
      <w:r>
        <w:t xml:space="preserve">So the drafters of the Uniform Public Trust Enforcement Act faced an uncomfortable question at the end of their own work. Everything in Articles 1 through 7 — the declared duties, the annual accounting, the standing rules, the independent enforcement officer, the disposition safeguards, the restored remedies — assumes enforcement. And enforcement assumes attention. What happens to this law in forty years, when everyone who fought for it is gone and the people administering it have never heard the stories in this book?</w:t>
      </w:r>
    </w:p>
    <w:p>
      <w:pPr>
        <w:pStyle w:val="BodyText"/>
      </w:pPr>
      <w:r>
        <w:t xml:space="preserve">Articles 8 and 9 are the answer. Together they do something statutes almost never do. They schedule the act’s own remembering.</w:t>
      </w:r>
    </w:p>
    <w:p>
      <w:pPr>
        <w:pStyle w:val="Heading2"/>
      </w:pPr>
      <w:bookmarkStart w:id="107" w:name="section-801-nobody-serves-untaught"/>
      <w:r>
        <w:t xml:space="preserve">Section 801: Nobody serves untaught</w:t>
      </w:r>
      <w:bookmarkEnd w:id="107"/>
    </w:p>
    <w:p>
      <w:pPr>
        <w:pStyle w:val="FirstParagraph"/>
      </w:pPr>
      <w:r>
        <w:t xml:space="preserve">Here is what the section does. Every person who exercises a trustee’s authority over a public trust — every member of the board or commission, every senior manager of the administering agency — must complete instruction in the job. Within ninety days of taking office or employment: at least six hours of initial instruction in the fiduciary duties declared in Article 2, the history and legal sources of the trusts they administer, and the requirements of the act itself. After that: at least two hours of continuing instruction every year, for as long as they serve.</w:t>
      </w:r>
    </w:p>
    <w:p>
      <w:pPr>
        <w:pStyle w:val="BodyText"/>
      </w:pPr>
      <w:r>
        <w:t xml:space="preserve">Three details carry the weight, and each one answers a failure documented earlier in this book.</w:t>
      </w:r>
    </w:p>
    <w:p>
      <w:pPr>
        <w:pStyle w:val="BodyText"/>
      </w:pPr>
      <w:r>
        <w:t xml:space="preserve">First,</w:t>
      </w:r>
      <w:r>
        <w:t xml:space="preserve"> </w:t>
      </w:r>
      <w:r>
        <w:rPr>
          <w:i/>
        </w:rPr>
        <w:t xml:space="preserve">who writes the curriculum</w:t>
      </w:r>
      <w:r>
        <w:t xml:space="preserve">. Not the agency alone. Curriculum standards and providers are approved by the Independent Enforcement Officer — the independent enforcement office you met in Chapter 13 — in consultation with the state auditor, the ethics commission, the beneficiary institutions, and qualified fiduciary-law educators. And completion records are published with the annual accounting. Why does that matter? Because an agency that teaches its own trustees gets to teach its own litigating positions as if they were settled law. You saw in Chapter 4 what happens when the same institution controls both sides of a question. A trustee who learns the trust only from the people defending the trustee has not been educated. He has been briefed.</w:t>
      </w:r>
    </w:p>
    <w:p>
      <w:pPr>
        <w:pStyle w:val="BodyText"/>
      </w:pPr>
      <w:r>
        <w:t xml:space="preserve">Second,</w:t>
      </w:r>
      <w:r>
        <w:t xml:space="preserve"> </w:t>
      </w:r>
      <w:r>
        <w:rPr>
          <w:i/>
        </w:rPr>
        <w:t xml:space="preserve">what the curriculum must include</w:t>
      </w:r>
      <w:r>
        <w:t xml:space="preserve">: the whole office — the history and legal sources of the trust, all the duties, the accounting and disposition safeguards, conflicts and recusal, the separation of trust money from state money, and the remedies for breach. [CONFORM: v1 required teaching the school-trust law</w:t>
      </w:r>
      <w:r>
        <w:t xml:space="preserve"> </w:t>
      </w:r>
      <w:r>
        <w:t xml:space="preserve">“</w:t>
      </w:r>
      <w:r>
        <w:t xml:space="preserve">as declared by the state’s courts</w:t>
      </w:r>
      <w:r>
        <w:t xml:space="preserve">”</w:t>
      </w:r>
      <w:r>
        <w:t xml:space="preserve">; the merged act lists the curriculum by subject instead — consider restoring the as-declared-by-courts line.]</w:t>
      </w:r>
    </w:p>
    <w:p>
      <w:pPr>
        <w:pStyle w:val="BodyText"/>
      </w:pPr>
      <w:r>
        <w:t xml:space="preserve">Third,</w:t>
      </w:r>
      <w:r>
        <w:t xml:space="preserve"> </w:t>
      </w:r>
      <w:r>
        <w:rPr>
          <w:i/>
        </w:rPr>
        <w:t xml:space="preserve">the sanction</w:t>
      </w:r>
      <w:r>
        <w:t xml:space="preserve"> </w:t>
      </w:r>
      <w:r>
        <w:t xml:space="preserve">— and here the merged act is tougher than an earlier draft was. Completion records are published with the annual accounting, name by name, so daylight still does its work: few public officials care to be the line item explaining why they declined to learn their own duties. But the act adds weight. A person who has not completed the required instruction may not vote on, approve, or materially participate in a major disposition until it is done — and an action taken with the decisive participation of someone barred by that rule is voidable, if the missing education materially affected the process. The untrained hand is lifted from the largest levers. The act’s own counsel notes concede the remedy is strong and offer states softer settings — a cure period, a recusal rule, public notice — but the default is plain: learn the office before exercising its biggest powers.</w:t>
      </w:r>
    </w:p>
    <w:p>
      <w:pPr>
        <w:pStyle w:val="BodyText"/>
      </w:pPr>
      <w:r>
        <w:t xml:space="preserve">Now, why does any of this matter? Because of what Section 801 quietly takes off the table. After it, no trustee can say — to a court, to a legislature, to a reporter, to himself —</w:t>
      </w:r>
      <w:r>
        <w:t xml:space="preserve"> </w:t>
      </w:r>
      <w:r>
        <w:rPr>
          <w:i/>
        </w:rPr>
        <w:t xml:space="preserve">I did not understand the trust.</w:t>
      </w:r>
      <w:r>
        <w:t xml:space="preserve"> </w:t>
      </w:r>
      <w:r>
        <w:t xml:space="preserve">For two hundred years that sentence, spoken or unspoken, has been the all-purpose solvent of fiduciary responsibility in public trusts. It was usually even true. The land board member arrived knowing roads, or timber, or politics, served honorably by his own lights, and left without ever learning that the law held him to the same standard as a bank officer holding a widow’s estate. Chapter 7 showed you what that ignorance cost, compounding silently across generations of turnover. Section 801 makes the ignorance impossible to acquire honestly. The duties get handed to every trustee, in plain terms, within ninety days — and refreshed every year, so that the institution’s memory no longer depends on any individual’s tenure.</w:t>
      </w:r>
    </w:p>
    <w:p>
      <w:pPr>
        <w:pStyle w:val="BodyText"/>
      </w:pPr>
      <w:r>
        <w:t xml:space="preserve">And consider what it would have prevented. Not the raids — education does not stop a determined taking; Articles 6 and 7 exist for that. What it would have prevented is the slower loss: the board that approved below-market leases for decades because below-market leases were the custom it inherited. The trustees who treated trust revenue as agency revenue because no one had ever drawn them the line. The managers who genuinely believed</w:t>
      </w:r>
      <w:r>
        <w:t xml:space="preserve"> </w:t>
      </w:r>
      <w:r>
        <w:t xml:space="preserve">“</w:t>
      </w:r>
      <w:r>
        <w:t xml:space="preserve">greatest benefit for the people</w:t>
      </w:r>
      <w:r>
        <w:t xml:space="preserve">”</w:t>
      </w:r>
      <w:r>
        <w:t xml:space="preserve"> </w:t>
      </w:r>
      <w:r>
        <w:t xml:space="preserve">meant the general public rather than the beneficiaries, because no one had ever shown them the case law saying otherwise. None of those people needed suing. They needed a class. The act finally requires one.</w:t>
      </w:r>
    </w:p>
    <w:p>
      <w:pPr>
        <w:pStyle w:val="Heading2"/>
      </w:pPr>
      <w:bookmarkStart w:id="108" w:name="article-9-on-a-schedule-an-outside-look"/>
      <w:r>
        <w:t xml:space="preserve">Article 9: On a schedule, an outside look</w:t>
      </w:r>
      <w:bookmarkEnd w:id="108"/>
    </w:p>
    <w:p>
      <w:pPr>
        <w:pStyle w:val="FirstParagraph"/>
      </w:pPr>
      <w:r>
        <w:t xml:space="preserve">The second section addresses the other half of forgetting. Education keeps individual trustees informed. It does not tell anyone whether the institution itself is still on course. For that, the act borrows the oldest tool of accountability there is: periodically, someone from outside walks through and checks.</w:t>
      </w:r>
    </w:p>
    <w:p>
      <w:pPr>
        <w:pStyle w:val="BodyText"/>
      </w:pPr>
      <w:r>
        <w:t xml:space="preserve">Here is what the article does. At least once in every review period — the act brackets the choice at five or ten years — each public trust must undergo an independent fiduciary review. The reviewer must be qualified and genuinely independent of the trustee — the state auditor, or an independent reviewer chosen through a public procurement the trustee does not control. The review must evaluate, across fifteen named areas: whether the accountings are complete and accurate; whether corpus, income, and expenses are kept separate; whether dispositions met the valuation and competitive-sale safeguards; whether investment and land-management practices and expenses serve the trust; whether the trust’s claims are being enforced; how present and future beneficiaries are treated; and whether prior corrective-action plans were honored. [CONFORM: v1 put the word</w:t>
      </w:r>
      <w:r>
        <w:t xml:space="preserve"> </w:t>
      </w:r>
      <w:r>
        <w:t xml:space="preserve">“</w:t>
      </w:r>
      <w:r>
        <w:t xml:space="preserve">drift</w:t>
      </w:r>
      <w:r>
        <w:t xml:space="preserve">”</w:t>
      </w:r>
      <w:r>
        <w:t xml:space="preserve"> </w:t>
      </w:r>
      <w:r>
        <w:t xml:space="preserve">in the statute and required benchmarking against peers; the merged act’s fifteen-item scope covers the substance without either phrase.]</w:t>
      </w:r>
    </w:p>
    <w:p>
      <w:pPr>
        <w:pStyle w:val="BodyText"/>
      </w:pPr>
      <w:r>
        <w:t xml:space="preserve">Then comes the part that gives the review consequences. The report is public, and goes to the trustee, the enforcement officer, the attorney general, the governor, the legislature, and the beneficiary institutions. Within ninety days, the trustee must publish a written response and a corrective-action plan. Within six months, the legislature must hold a public hearing on both — on the record, where the next decade’s readers can find it. And the enforcement officer may treat the report as the opening of a case.</w:t>
      </w:r>
    </w:p>
    <w:p>
      <w:pPr>
        <w:pStyle w:val="BodyText"/>
      </w:pPr>
      <w:r>
        <w:t xml:space="preserve">Why five or ten years? The act brackets both choices and its own notes state the trade plainly: five is stronger, ten is easier to defend fiscally. But the rhythm matters more than the interval. Drift, as Chapter 8 showed, is not an event. It is a rate. No single year’s deviation is alarming; that is precisely what makes it fatal over fifty. An institution reviewed only by itself will report, every single year, that everything is fine — and will believe it, because each year’s small departure really was reasonable in the light of the year before. The scheduled review breaks that chain of self-reference. It compares the institution not to its own recent habits but to its founding purpose and to its peers — the comparison, as one of the act’s commentators dryly notes, that trust administrators least enjoy and most need.</w:t>
      </w:r>
    </w:p>
    <w:p>
      <w:pPr>
        <w:pStyle w:val="BodyText"/>
      </w:pPr>
      <w:r>
        <w:t xml:space="preserve">And who pays? Preferably not the trust. The act’s bracketed choices run from a general-fund appropriation to a dedicated oversight fund, with trust funds allowed only to the extent the trust instrument itself permits. The principle is the one running through the whole statute: the beneficiaries should not be billed for their own protection.</w:t>
      </w:r>
    </w:p>
    <w:p>
      <w:pPr>
        <w:pStyle w:val="BodyText"/>
      </w:pPr>
      <w:r>
        <w:t xml:space="preserve">What would it have prevented? Run the test against the stories you already know. The Elliott State Forest did not lose its connection to Oregon’s schoolchildren in a year; the estrangement built across decades of management decisions, each defensible, none reviewed against the trust’s purpose by anyone outside the institutions making them [VERIFY characterization against the Part I chapter as finally drafted; litigation-sensitive]. The accounting failures of Chapter 5 persisted because no scheduled moment ever arrived when someone with subpoena-grade independence asked: where, exactly, is the money? Even Utah — the success story of Chapter 9 — teaches the same lesson from the other direction: its recovery began when outsiders examined the trust and published what they found, and its recent stresses show the examination can never safely stop. Article 9 makes sure it never does. The next hard look is always on the calendar. No one has to be a hero to trigger it.</w:t>
      </w:r>
    </w:p>
    <w:p>
      <w:pPr>
        <w:pStyle w:val="Heading2"/>
      </w:pPr>
      <w:bookmarkStart w:id="109" w:name="the-crew-written-into-law"/>
      <w:r>
        <w:t xml:space="preserve">The crew, written into law</w:t>
      </w:r>
      <w:bookmarkEnd w:id="109"/>
    </w:p>
    <w:p>
      <w:pPr>
        <w:pStyle w:val="FirstParagraph"/>
      </w:pPr>
      <w:r>
        <w:t xml:space="preserve">Step back, and you can see what Articles 8 and 9 actually are.</w:t>
      </w:r>
    </w:p>
    <w:p>
      <w:pPr>
        <w:pStyle w:val="BodyText"/>
      </w:pPr>
      <w:r>
        <w:t xml:space="preserve">Chapter 10 argued that no trust in the 240-year record survived on parchment alone. Every kept promise had people watching — a crew on deck, checking the anchors. The trouble with crews is that they are mortal. They retire. They lose funding. Their founding generation dies and the next one inherits the institution without the alarm that built it. The watchfulness this book celebrates is, historically, a perishable good.</w:t>
      </w:r>
    </w:p>
    <w:p>
      <w:pPr>
        <w:pStyle w:val="BodyText"/>
      </w:pPr>
      <w:r>
        <w:t xml:space="preserve">Articles 8 and 9 are the attempt to make it less perishable — to move the watch from volunteers to structure. Section 801 ensures that every incoming trustee receives the institution’s memory as a condition of holding its power: here is what this is, here is whom it serves, here is what the law requires. Article 9 ensures that on a fixed schedule, the institution must stand still while someone from outside compares what it has become to what it was for — in public, with a hearing, with a written reply.</w:t>
      </w:r>
    </w:p>
    <w:p>
      <w:pPr>
        <w:pStyle w:val="BodyText"/>
      </w:pPr>
      <w:r>
        <w:t xml:space="preserve">Neither section depends on anyone’s zeal. That is the design. The education happens because the statute schedules it. The review happens because the statute schedules it. The findings surface because publication is mandatory, and the legislature looks at them because the hearing is mandatory. The act does not assume the next generation will care as much as this one. It assumes they will be busy, distracted, and ordinary — and it builds the remembering into the machine anyway.</w:t>
      </w:r>
    </w:p>
    <w:p>
      <w:pPr>
        <w:pStyle w:val="BodyText"/>
      </w:pPr>
      <w:r>
        <w:t xml:space="preserve">A law that says nothing new, Chapter 12 called this act. Here at its close, it does one thing that may actually be new: it refuses to rely on the vigilance of the people who passed it. The watchful crew, written into law — standing watch on a schedule, for beneficiaries who have not yet been born and will never know the watchers’ names.</w:t>
      </w:r>
    </w:p>
    <w:p>
      <w:pPr>
        <w:pStyle w:val="BodyText"/>
      </w:pPr>
      <w:r>
        <w:t xml:space="preserve">That is the whole statute. What remains is the question every model act faces the morning after it is drafted: who carries it? That is the next chapter.</w:t>
      </w:r>
    </w:p>
    <w:p>
      <w:r>
        <w:pict>
          <v:rect style="width:0;height:1.5pt" o:hralign="center" o:hrstd="t" o:hr="t"/>
        </w:pict>
      </w:r>
    </w:p>
    <w:p>
      <w:pPr>
        <w:pStyle w:val="FirstParagraph"/>
      </w:pPr>
      <w:r>
        <w:rPr>
          <w:i/>
        </w:rPr>
        <w:t xml:space="preserve">Sources for this chapter.</w:t>
      </w:r>
      <w:r>
        <w:t xml:space="preserve"> </w:t>
      </w:r>
      <w:r>
        <w:t xml:space="preserve">Uniform Public Trust Enforcement Act, Converged Packet v2.0 (June 2026), Articles 8 and 9 (Sections 801 and 901–904), with the section-by-section commentary in</w:t>
      </w:r>
      <w:r>
        <w:t xml:space="preserve"> </w:t>
      </w:r>
      <w:r>
        <w:rPr>
          <w:i/>
        </w:rPr>
        <w:t xml:space="preserve">UPTEA Commentary and Oregon Annex</w:t>
      </w:r>
      <w:r>
        <w:t xml:space="preserve"> </w:t>
      </w:r>
      <w:r>
        <w:t xml:space="preserve">v1, Part I [CONFORM commentary citations to the v2 numbering]. The trustee-education failure and the drift-by-turnover pattern are documented in Chapter 7; the drift analysis in Chapter 8; the accounting failures in Chapter 5; the Utah recovery and its recent stresses in Chapter 9 [VERIFY all cross-chapter references against final chapter drafts]. The characterization of the Elliott State Forest episode is limited to matters of public record and remains contested in active litigation; counsel review required before print [VERIFY]. Time intervals (ninety days, six initial hours, two hours yearly, the five-or-ten-year review) are the merged act’s bracketed figures; enacting states set them.</w:t>
      </w:r>
    </w:p>
    <w:p>
      <w:r>
        <w:br w:type="page"/>
      </w:r>
    </w:p>
    <w:p>
      <w:pPr>
        <w:pStyle w:val="Heading1"/>
      </w:pPr>
      <w:bookmarkStart w:id="110" w:name="chapter-16-the-movement"/>
      <w:r>
        <w:t xml:space="preserve">Chapter 16 — The Movement</w:t>
      </w:r>
      <w:bookmarkEnd w:id="110"/>
    </w:p>
    <w:p>
      <w:pPr>
        <w:pStyle w:val="FirstParagraph"/>
      </w:pPr>
      <w:r>
        <w:t xml:space="preserve">[DRAFT v2.0 — AI first pass; awaiting Dave’s voice pass. Litigation-sensitive: every passage describing the Oregon case is gated on counsel sign-off before any external use.]</w:t>
      </w:r>
    </w:p>
    <w:p>
      <w:r>
        <w:pict>
          <v:rect style="width:0;height:1.5pt" o:hralign="center" o:hrstd="t" o:hr="t"/>
        </w:pict>
      </w:r>
    </w:p>
    <w:p>
      <w:pPr>
        <w:pStyle w:val="FirstParagraph"/>
      </w:pPr>
      <w:r>
        <w:t xml:space="preserve">A model act, by itself, is a stack of paper. The history of American law is littered with well-drafted statutes that no legislature ever passed, because drafting turns out to be the easy part. The hard part is the carrying — the slow, unglamorous work of putting a law into the hands of people positioned to make it real, in enough places, for long enough, that it stops being a proposal and becomes the way things are done.</w:t>
      </w:r>
    </w:p>
    <w:p>
      <w:pPr>
        <w:pStyle w:val="BodyText"/>
      </w:pPr>
      <w:r>
        <w:t xml:space="preserve">There is a known path for this. The commercial codes that govern every checking account and car loan in America began as model acts, drafted by scholars, adopted state by state over decades, carried by lawyers and law professors and legislative champions until uniformity emerged from repetition. Nobody federalized commercial law. It was</w:t>
      </w:r>
      <w:r>
        <w:t xml:space="preserve"> </w:t>
      </w:r>
      <w:r>
        <w:rPr>
          <w:i/>
        </w:rPr>
        <w:t xml:space="preserve">moved</w:t>
      </w:r>
      <w:r>
        <w:t xml:space="preserve">, one statehouse at a time, by people who organized for the duration.</w:t>
      </w:r>
    </w:p>
    <w:p>
      <w:pPr>
        <w:pStyle w:val="BodyText"/>
      </w:pPr>
      <w:r>
        <w:t xml:space="preserve">The Uniform Public Trust Enforcement Act needs the same carrying. This chapter describes the movement built to carry it — four workstreams, deliberately interlocked, already underway as this book goes to press. I should say plainly that I am not a neutral observer of this movement; I helped build it. What follows is a description of the machine from inside the machine.</w:t>
      </w:r>
    </w:p>
    <w:p>
      <w:pPr>
        <w:pStyle w:val="Heading2"/>
      </w:pPr>
      <w:bookmarkStart w:id="111" w:name="first-workstream-the-scholarship"/>
      <w:r>
        <w:t xml:space="preserve">First workstream: the scholarship</w:t>
      </w:r>
      <w:bookmarkEnd w:id="111"/>
    </w:p>
    <w:p>
      <w:pPr>
        <w:pStyle w:val="FirstParagraph"/>
      </w:pPr>
      <w:r>
        <w:t xml:space="preserve">Every durable legal reform rides on a body of scholarship, because courts and legislators do not adopt ideas — they adopt</w:t>
      </w:r>
      <w:r>
        <w:t xml:space="preserve"> </w:t>
      </w:r>
      <w:r>
        <w:rPr>
          <w:i/>
        </w:rPr>
        <w:t xml:space="preserve">authorities</w:t>
      </w:r>
      <w:r>
        <w:t xml:space="preserve">. A judge wants a treatise to cite. A legislative counsel wants commentary explaining what each section means. A skeptical academic wants to find the weak joints before lending a name.</w:t>
      </w:r>
    </w:p>
    <w:p>
      <w:pPr>
        <w:pStyle w:val="BodyText"/>
      </w:pPr>
      <w:r>
        <w:t xml:space="preserve">So the movement’s foundation is paper of a particular kind. A hornbook of school-trust law — the working reference for the whole field, gathering 240 years of granting acts, constitutions, and case law into one place — now exists in complete first draft: nineteen chapters and appendices for all twenty trust-land states, published as a living draft in the Library’s Writing Room, where any reader can check every source [VERIFY status at print]. The model act itself travels with section-by-section commentary: for every section, the structural failure it cures and the drafting choices behind it, so that no legislature has to take anything on faith. And this book is the argument in long form — the case for why the repair matters, written for the general reader, because legislators answer to general readers.</w:t>
      </w:r>
    </w:p>
    <w:p>
      <w:pPr>
        <w:pStyle w:val="BodyText"/>
      </w:pPr>
      <w:r>
        <w:t xml:space="preserve">The scholarship comes first in every sense. Before the act is introduced anywhere, it goes quietly to trust-law academics — not for endorsement, but for criticism. An academic who finds a weak joint before a hostile committee witness does is worth ten who write blurbs. The movement treats its scholarly critics as quality control, which is what they are for.</w:t>
      </w:r>
    </w:p>
    <w:p>
      <w:pPr>
        <w:pStyle w:val="Heading2"/>
      </w:pPr>
      <w:bookmarkStart w:id="112" w:name="second-workstream-the-lawyers"/>
      <w:r>
        <w:t xml:space="preserve">Second workstream: the lawyers</w:t>
      </w:r>
      <w:bookmarkEnd w:id="112"/>
    </w:p>
    <w:p>
      <w:pPr>
        <w:pStyle w:val="FirstParagraph"/>
      </w:pPr>
      <w:r>
        <w:t xml:space="preserve">The standing problem you read about in Chapter 2 has a twin that no statute can fix: even where beneficiaries may sue, almost no lawyers know this field. School-trust law sits at the intersection of trust doctrine, public-lands law, and state constitutional history — a corner of the law with no casebook, no CLE circuit, no bar section, and, until recently, no community. A school district that wants to enforce its trust has nowhere to look for counsel who has done it before. The expertise that does exist lives in a handful of heads scattered across the country.</w:t>
      </w:r>
    </w:p>
    <w:p>
      <w:pPr>
        <w:pStyle w:val="BodyText"/>
      </w:pPr>
      <w:r>
        <w:t xml:space="preserve">The movement’s answer is a panel — a standing roster of trial counsel, appellate counsel, researchers, and supervised law students, organized under the program’s nonprofit. Members get the tools the field never had: the hornbook; a staffed research desk backed by the America’s School Trust Library, the documentary archive you met in Chapter 10 — questions in, sourced memos out; model pleadings adapted from live cases, so no lawyer in a new state starts from a blank page; and one another — a roster of peers, working calls, an annual convening. The thing that turns a scattered handful of practitioners into a bar.</w:t>
      </w:r>
    </w:p>
    <w:p>
      <w:pPr>
        <w:pStyle w:val="BodyText"/>
      </w:pPr>
      <w:r>
        <w:t xml:space="preserve">Two design rules keep the panel honest, and they are worth a paragraph each, because each one answers a way such things go wrong.</w:t>
      </w:r>
    </w:p>
    <w:p>
      <w:pPr>
        <w:pStyle w:val="BodyText"/>
      </w:pPr>
      <w:r>
        <w:t xml:space="preserve">The first rule:</w:t>
      </w:r>
      <w:r>
        <w:t xml:space="preserve"> </w:t>
      </w:r>
      <w:r>
        <w:rPr>
          <w:i/>
        </w:rPr>
        <w:t xml:space="preserve">members appear as independent counsel, and the organization does not practice law.</w:t>
      </w:r>
      <w:r>
        <w:t xml:space="preserve"> </w:t>
      </w:r>
      <w:r>
        <w:t xml:space="preserve">Panel lawyers are engaged by their own clients, under their own professional responsibility, owing their duties to their clients and their courts — never to the panel, the program, or its founders. Where a client’s interest and the movement’s interest diverge, the client wins, every time, and the panel’s charter says so out loud. The organization itself takes no clients, charges no fees for legal services, and gives no legal advice to the public. It publishes scholarship, maintains the Library, and supports its members. The line is bright on purpose. A movement that blurred it would deserve the trouble it got.</w:t>
      </w:r>
    </w:p>
    <w:p>
      <w:pPr>
        <w:pStyle w:val="BodyText"/>
      </w:pPr>
      <w:r>
        <w:t xml:space="preserve">The second rule:</w:t>
      </w:r>
      <w:r>
        <w:t xml:space="preserve"> </w:t>
      </w:r>
      <w:r>
        <w:rPr>
          <w:i/>
        </w:rPr>
        <w:t xml:space="preserve">no bar association owns it.</w:t>
      </w:r>
      <w:r>
        <w:t xml:space="preserve"> </w:t>
      </w:r>
      <w:r>
        <w:t xml:space="preserve">The panel is governed solely by the program’s nonprofit board. Bar associations and CLE providers may distribute its educational materials, but none may control its content, its admissions, or its roster, and no panel activity may be structured to generate continuing-education fees for a partner. This rule exists because of a pattern the founders had watched elsewhere: a young field gets adopted by an institution that needs revenue, and within a decade the field’s energy is being run through a fee-generating conference machine. The panel is built to be hard to capture.</w:t>
      </w:r>
    </w:p>
    <w:p>
      <w:pPr>
        <w:pStyle w:val="BodyText"/>
      </w:pPr>
      <w:r>
        <w:t xml:space="preserve">As this book goes to press, the panel has its first prospective founding member firm — a firm with a working relationship with the program, whose name awaits the written consent of its principals before it appears in any public document [FOUNDING FIRM — name pending consent]. That reticence is itself a sample of the movement’s manners: nobody’s name gets used until they say so.</w:t>
      </w:r>
    </w:p>
    <w:p>
      <w:pPr>
        <w:pStyle w:val="Heading2"/>
      </w:pPr>
      <w:bookmarkStart w:id="113" w:name="third-workstream-the-docket"/>
      <w:r>
        <w:t xml:space="preserve">Third workstream: the docket</w:t>
      </w:r>
      <w:bookmarkEnd w:id="113"/>
    </w:p>
    <w:p>
      <w:pPr>
        <w:pStyle w:val="FirstParagraph"/>
      </w:pPr>
      <w:r>
        <w:t xml:space="preserve">Statutes declare law; cases make it real. The movement maintains a test-case docket — a small number of carefully chosen enforcement cases, run by independent counsel, that turn the act’s propositions into precedent.</w:t>
      </w:r>
    </w:p>
    <w:p>
      <w:pPr>
        <w:pStyle w:val="BodyText"/>
      </w:pPr>
      <w:r>
        <w:t xml:space="preserve">The first case is in Oregon, and readers of this book already know its bones.</w:t>
      </w:r>
      <w:r>
        <w:t xml:space="preserve"> </w:t>
      </w:r>
      <w:r>
        <w:rPr>
          <w:i/>
        </w:rPr>
        <w:t xml:space="preserve">Siuslaw School District 97J v. State of Oregon</w:t>
      </w:r>
      <w:r>
        <w:t xml:space="preserve">, in the Coos County Circuit Court, case number 24CV38372: a coastal school district suing its own trustee state over the administration of the school trust. Chapter 2 told the standing fight that unlocked the courthouse for it [relationship verified 2026-06-06: the appellate standing ruling,</w:t>
      </w:r>
      <w:r>
        <w:t xml:space="preserve"> </w:t>
      </w:r>
      <w:r>
        <w:rPr>
          <w:i/>
        </w:rPr>
        <w:t xml:space="preserve">Advocates for School Trust Lands v. State</w:t>
      </w:r>
      <w:r>
        <w:t xml:space="preserve">, 346 Or App 668 (2026), arose from the earlier companion case, No. 23CV39056; in 24CV38372 itself, the March 6, 2025 letter opinion found standing for the school districts and students]. And in 2025 a ruling in the case held that the causes of action and remedies relating to the Common School Fund are governed by common-law principles, not by statute — the proposition the act’s declaratory design rests on (September 5, 2025 letter opinion, 24CV38372). Trial was set for August 18 through 28, 2026 [VERIFY against the current public docket].</w:t>
      </w:r>
    </w:p>
    <w:p>
      <w:pPr>
        <w:pStyle w:val="BodyText"/>
      </w:pPr>
      <w:r>
        <w:t xml:space="preserve">[TRIAL OUTCOME SECTION — HOLE. To be written after the August 2026 trial from the public record, reviewed and approved by lead counsel before publication. Per the program’s standing analysis, either outcome serves the chapter’s argument: a verdict for the district shows the duties are real and enforceable; a verdict for the state shows the enforcement machinery is missing. Neither is predicted here, and nothing in this book handicaps a pending case.]</w:t>
      </w:r>
    </w:p>
    <w:p>
      <w:pPr>
        <w:pStyle w:val="BodyText"/>
      </w:pPr>
      <w:r>
        <w:t xml:space="preserve">Two disciplines govern everything the movement does near this case, and I state them because they explain this chapter’s silences. First: counsel of record controls. Strategy, filings, timing, and every public word touching the case belong to the lawyer responsible to the court — not to the program, and not to this author. Second: the case outranks the movement. Nothing — not the act, not the panel launch, not this book — moves externally on any schedule that could complicate the litigation. The act itself did not circulate beyond the working group until counsel cleared it [VERIFY status at print]. A movement built to enforce fiduciary duty had better be able to subordinate its own publicity to its beneficiaries’ actual case. This one can.</w:t>
      </w:r>
    </w:p>
    <w:p>
      <w:pPr>
        <w:pStyle w:val="BodyText"/>
      </w:pPr>
      <w:r>
        <w:t xml:space="preserve">Future cases will be added the way good test cases always are: chosen for clean facts and good law, in consultation with panel counsel, in states where a ruling will travel.</w:t>
      </w:r>
    </w:p>
    <w:p>
      <w:pPr>
        <w:pStyle w:val="Heading2"/>
      </w:pPr>
      <w:bookmarkStart w:id="114" w:name="fourth-workstream-the-legislatures"/>
      <w:r>
        <w:t xml:space="preserve">Fourth workstream: the legislatures</w:t>
      </w:r>
      <w:bookmarkEnd w:id="114"/>
    </w:p>
    <w:p>
      <w:pPr>
        <w:pStyle w:val="FirstParagraph"/>
      </w:pPr>
      <w:r>
        <w:t xml:space="preserve">And then the statehouses, where the act stops being a draft.</w:t>
      </w:r>
    </w:p>
    <w:p>
      <w:pPr>
        <w:pStyle w:val="BodyText"/>
      </w:pPr>
      <w:r>
        <w:t xml:space="preserve">Oregon goes first, in the legislature’s 2027 long session [VERIFY convening date]. The groundwork is the ordinary, patient kind: an Oregon-specific bill draft prepared from the model act and its Oregon annex; informational presentations to interim committees in the fall of 2026 — educational posture, no bill number, no ask beyond attention; sponsor recruitment aimed squarely at both parties, because fiduciary duty is not a partisan idea and the bill must never be allowed to become one; and endorsements built outward from the beneficiaries themselves — school boards and superintendents first, then education associations, then the national school-trust community, then the good-government groups who will recognize the accounting article as their own cause.</w:t>
      </w:r>
    </w:p>
    <w:p>
      <w:pPr>
        <w:pStyle w:val="BodyText"/>
      </w:pPr>
      <w:r>
        <w:t xml:space="preserve">The campaign’s one-sentence case is the act’s own design, and you have heard it through three chapters now:</w:t>
      </w:r>
      <w:r>
        <w:t xml:space="preserve"> </w:t>
      </w:r>
      <w:r>
        <w:rPr>
          <w:i/>
        </w:rPr>
        <w:t xml:space="preserve">this bill codifies duties the courts already recognize; it creates no new obligations — it adds procedure, daylight, and remedies.</w:t>
      </w:r>
      <w:r>
        <w:t xml:space="preserve"> </w:t>
      </w:r>
      <w:r>
        <w:t xml:space="preserve">Every witness, every one-pager, every floor speech leads with that sentence, because it is true and because it disarms the two reflexive objections — that the bill invents liabilities, and that it indicts anyone. It does neither. It is a repair manual, not an accusation.</w:t>
      </w:r>
    </w:p>
    <w:p>
      <w:pPr>
        <w:pStyle w:val="BodyText"/>
      </w:pPr>
      <w:r>
        <w:t xml:space="preserve">The opposition is predictable, and the movement’s answers are already drafted. The state’s lawyers will resist the independent-enforcement sections; the answer is Chapter 13’s: the attorney general keeps every other function — the act only ends the arrangement where the trustee’s defense lawyer is also the trust’s enforcement officer. The land agencies will call the accounting burdensome; the answer is that the data already sits in their books, and a trustee who cannot produce an accounting is the problem the act exists to solve. The fiscal hawks will ask what the immunity waiver costs; the answer is Chapter 14’s: the only money at stake is money that already belongs to the trust. Some amendments would be acceptable — phasing the accounting in, starting with special counsel instead of a standing enforcement office. Two would gut the bill, and the movement knows its red lines: the immunity waiver stays, and the attorney general’s exclusivity ends.</w:t>
      </w:r>
    </w:p>
    <w:p>
      <w:pPr>
        <w:pStyle w:val="BodyText"/>
      </w:pPr>
      <w:r>
        <w:t xml:space="preserve">After Oregon, the act travels. The natural next states pick themselves by the logic of the problem: states with live controversies that make the need vivid; states with strong school-trust communities and navigable legislatures; states whose adoption would prove the act is not a regional idea [state-by-state candidates and rationale to be updated at print; VERIFY current postures before naming any state’s controversies]. Twenty states hold school trust lands. The act is drafted so that each one can adopt it with local citations dropped into bracketed blanks — and so that every adoption makes the next one easier, as a shared body of interpretation builds.</w:t>
      </w:r>
    </w:p>
    <w:p>
      <w:pPr>
        <w:pStyle w:val="BodyText"/>
      </w:pPr>
      <w:r>
        <w:t xml:space="preserve">And at the far end of the road, decades out, sits the possibility this kind of act always carries: take-up by the national uniform-law process, the route by which state-drafted law becomes American law. The movement’s posture there is deliberately patient — enact first, uniform later. A draft surrendered to a national drafting process before any state has adopted it gets rewritten by that process; a draft already enacted in three or four states arrives with its substance banked. The long game is real, but it is played from strength.</w:t>
      </w:r>
    </w:p>
    <w:p>
      <w:pPr>
        <w:pStyle w:val="Heading2"/>
      </w:pPr>
      <w:bookmarkStart w:id="115" w:name="what-a-movement-is"/>
      <w:r>
        <w:t xml:space="preserve">What a movement is</w:t>
      </w:r>
      <w:bookmarkEnd w:id="115"/>
    </w:p>
    <w:p>
      <w:pPr>
        <w:pStyle w:val="FirstParagraph"/>
      </w:pPr>
      <w:r>
        <w:t xml:space="preserve">Strip away the program names and here is what this chapter describes: scholarship so the idea has authority; lawyers so the idea has hands; cases so the idea has precedents; legislation so the idea has force. Each workstream feeds the others. The hornbook arms the panel; the panel staffs the docket; the docket writes the record the legislatures read; the legislatures pass the act the scholarship explains. None of it is fast. All of it is started.</w:t>
      </w:r>
    </w:p>
    <w:p>
      <w:pPr>
        <w:pStyle w:val="BodyText"/>
      </w:pPr>
      <w:r>
        <w:t xml:space="preserve">Movements like this have one more property worth naming, because it is the whole reason this book exists. They are</w:t>
      </w:r>
      <w:r>
        <w:t xml:space="preserve"> </w:t>
      </w:r>
      <w:r>
        <w:rPr>
          <w:i/>
        </w:rPr>
        <w:t xml:space="preserve">joinable</w:t>
      </w:r>
      <w:r>
        <w:t xml:space="preserve">. Every workstream in this chapter has a door in it — for a lawyer, a parent, a legislator, a builder of new institutions. The last chapter is about those doors.</w:t>
      </w:r>
    </w:p>
    <w:p>
      <w:r>
        <w:pict>
          <v:rect style="width:0;height:1.5pt" o:hralign="center" o:hrstd="t" o:hr="t"/>
        </w:pict>
      </w:r>
    </w:p>
    <w:p>
      <w:pPr>
        <w:pStyle w:val="FirstParagraph"/>
      </w:pPr>
      <w:r>
        <w:rPr>
          <w:i/>
        </w:rPr>
        <w:t xml:space="preserve">Sources for this chapter.</w:t>
      </w:r>
      <w:r>
        <w:t xml:space="preserve"> </w:t>
      </w:r>
      <w:r>
        <w:t xml:space="preserve">Renewal Program Charter v1; Pro Bono Panel Charter v1; UPTEA Legislative Strategy — Oregon, v1; UPTEA Coalition Map v1 (all June 5, 2026; internal program documents).</w:t>
      </w:r>
      <w:r>
        <w:t xml:space="preserve"> </w:t>
      </w:r>
      <w:r>
        <w:rPr>
          <w:i/>
        </w:rPr>
        <w:t xml:space="preserve">Siuslaw School District 97J v. State of Oregon</w:t>
      </w:r>
      <w:r>
        <w:t xml:space="preserve">, Coos County Circuit Court No. 24CV38372: all statements drawn from public filings only [VERIFY each docket fact, ruling date, and the trial setting against the public record before print]; the trial-outcome section is a deliberate hole pending the verdict and counsel review. The standing appeal is</w:t>
      </w:r>
      <w:r>
        <w:t xml:space="preserve"> </w:t>
      </w:r>
      <w:r>
        <w:rPr>
          <w:i/>
        </w:rPr>
        <w:t xml:space="preserve">Advocates for School Trust Lands v. State</w:t>
      </w:r>
      <w:r>
        <w:t xml:space="preserve">, 346 Or App 668 (2026) (on appeal from the earlier case, No. 23CV39056; reversed and remanded) [citation and disposition verified against the published opinion 2026-06-06]. The founding member firm remains unnamed pending written consent of its principals. The general history of model-act adoption (the commercial-code pattern) is offered as background and should be tightened to specific, checkable examples in the verification pass [VERIFY].</w:t>
      </w:r>
    </w:p>
    <w:p>
      <w:r>
        <w:br w:type="page"/>
      </w:r>
    </w:p>
    <w:p>
      <w:pPr>
        <w:pStyle w:val="Heading1"/>
      </w:pPr>
      <w:bookmarkStart w:id="116" w:name="chapter-17-what-you-can-do"/>
      <w:r>
        <w:t xml:space="preserve">Chapter 17 — What You Can Do</w:t>
      </w:r>
      <w:bookmarkEnd w:id="116"/>
    </w:p>
    <w:p>
      <w:pPr>
        <w:pStyle w:val="FirstParagraph"/>
      </w:pPr>
      <w:r>
        <w:t xml:space="preserve">[DRAFT v2.0 — AI first pass; awaiting Dave’s voice pass. The first-person close is drafted as a placeholder for Dave’s own hand.]</w:t>
      </w:r>
    </w:p>
    <w:p>
      <w:r>
        <w:pict>
          <v:rect style="width:0;height:1.5pt" o:hralign="center" o:hrstd="t" o:hr="t"/>
        </w:pict>
      </w:r>
    </w:p>
    <w:p>
      <w:pPr>
        <w:pStyle w:val="FirstParagraph"/>
      </w:pPr>
      <w:r>
        <w:t xml:space="preserve">Books about public problems usually end with a chapter like this one, and the chapter is usually a disappointment.</w:t>
      </w:r>
      <w:r>
        <w:t xml:space="preserve"> </w:t>
      </w:r>
      <w:r>
        <w:rPr>
          <w:i/>
        </w:rPr>
        <w:t xml:space="preserve">Stay informed. Contact your representative. Care.</w:t>
      </w:r>
      <w:r>
        <w:t xml:space="preserve"> </w:t>
      </w:r>
      <w:r>
        <w:t xml:space="preserve">Advice so general it asks nothing, which is why it gets nothing.</w:t>
      </w:r>
    </w:p>
    <w:p>
      <w:pPr>
        <w:pStyle w:val="BodyText"/>
      </w:pPr>
      <w:r>
        <w:t xml:space="preserve">This book can do better, because the movement described in Chapter 16 was built with doors in it. There are four kinds of readers who can walk through one, and each of you holds something the others do not. So this chapter is four letters. Read your own; read the others if you want to know who is standing next to you.</w:t>
      </w:r>
    </w:p>
    <w:p>
      <w:pPr>
        <w:pStyle w:val="Heading2"/>
      </w:pPr>
      <w:bookmarkStart w:id="117" w:name="to-the-lawyer"/>
      <w:r>
        <w:t xml:space="preserve">To the lawyer</w:t>
      </w:r>
      <w:bookmarkEnd w:id="117"/>
    </w:p>
    <w:p>
      <w:pPr>
        <w:pStyle w:val="FirstParagraph"/>
      </w:pPr>
      <w:r>
        <w:t xml:space="preserve">You have read, by now, a statute’s worth of trust law applied to an unusual trustee, and somewhere around Chapter 4 you started running the doctrine yourself. Good. Here is the honest pitch.</w:t>
      </w:r>
    </w:p>
    <w:p>
      <w:pPr>
        <w:pStyle w:val="BodyText"/>
      </w:pPr>
      <w:r>
        <w:t xml:space="preserve">This is one of the last genuinely open fields in American law. A perpetual trust, created by federal grant and state constitution, excluded from the trust codes, enforced — until now — by an officer who also defends the trustee: every piece of that sentence is a live question, and there is two and a half centuries of record to argue from. The casebook has not been written. The leading cases are being decided</w:t>
      </w:r>
      <w:r>
        <w:t xml:space="preserve"> </w:t>
      </w:r>
      <w:r>
        <w:rPr>
          <w:i/>
        </w:rPr>
        <w:t xml:space="preserve">now</w:t>
      </w:r>
      <w:r>
        <w:t xml:space="preserve">. A lawyer entering this field in this decade gets what almost no American lawyer gets anymore: the chance to be present at the founding of a practice area, where the briefs you write become the authorities the next generation cites.</w:t>
      </w:r>
    </w:p>
    <w:p>
      <w:pPr>
        <w:pStyle w:val="BodyText"/>
      </w:pPr>
      <w:r>
        <w:t xml:space="preserve">The panel exists so you do not enter alone. Join it, and you get the hornbook as it develops, a research desk backed by the Library’s archive — questions in, sourced memos out — model pleadings from the live docket, and a community of the only other people in the country doing this work. What membership means is spelled out in the panel’s charter, and the two commitments that matter are these: you appear in any matter as independent counsel, owing your duties to your client and your court and never to the organization; and you lend the field your competence, not just your sympathy. Trial lawyers, appellate lawyers, researchers, law students — the roster has a place for each [panel contact and admission details at print; VERIFY against final panel launch materials].</w:t>
      </w:r>
    </w:p>
    <w:p>
      <w:pPr>
        <w:pStyle w:val="BodyText"/>
      </w:pPr>
      <w:r>
        <w:t xml:space="preserve">You will not get rich. The fee provisions you read in Chapter 14 exist precisely because this work has never paid. What you get instead is the thing that pulled most of us into law school before the billable hour found us: clients who cannot protect themselves, a wrong with a remedy, and law that needs making. The beneficiaries of these trusts include every public-school child in twenty states and all the ones not yet born. They have never once had enough lawyers.</w:t>
      </w:r>
    </w:p>
    <w:p>
      <w:pPr>
        <w:pStyle w:val="Heading2"/>
      </w:pPr>
      <w:bookmarkStart w:id="118" w:name="to-the-parent"/>
      <w:r>
        <w:t xml:space="preserve">To the parent</w:t>
      </w:r>
      <w:bookmarkEnd w:id="118"/>
    </w:p>
    <w:p>
      <w:pPr>
        <w:pStyle w:val="FirstParagraph"/>
      </w:pPr>
      <w:r>
        <w:t xml:space="preserve">Start with this: if you have a child in a public school in a trust-land state, your child is the beneficiary of a trust. Not a metaphor — a trust, the same legal animal that protects an inheritance at a bank, created at your state’s admission to the Union, funded with land, meant to pay out to your child’s school forever. Chapter 1 told the story. The promise was made to your kid.</w:t>
      </w:r>
    </w:p>
    <w:p>
      <w:pPr>
        <w:pStyle w:val="BodyText"/>
      </w:pPr>
      <w:r>
        <w:t xml:space="preserve">Now ask yourself a banker’s question: when did the trustee last send you a statement?</w:t>
      </w:r>
    </w:p>
    <w:p>
      <w:pPr>
        <w:pStyle w:val="BodyText"/>
      </w:pPr>
      <w:r>
        <w:t xml:space="preserve">For most readers in most states, the honest answer is</w:t>
      </w:r>
      <w:r>
        <w:t xml:space="preserve"> </w:t>
      </w:r>
      <w:r>
        <w:rPr>
          <w:i/>
        </w:rPr>
        <w:t xml:space="preserve">never</w:t>
      </w:r>
      <w:r>
        <w:t xml:space="preserve">, and Chapter 5 explained what that silence has cost. So here is what you can do, and none of it requires a law degree or a meeting that runs past your bedtime.</w:t>
      </w:r>
    </w:p>
    <w:p>
      <w:pPr>
        <w:pStyle w:val="BodyText"/>
      </w:pPr>
      <w:r>
        <w:t xml:space="preserve">First, ask the question in public. School board meetings have open-comment periods. Stand up and ask: our district is a beneficiary of the state school trust — what did we receive from it last year, and have we ever seen an accounting? You may be the first person ever to ask. The question is polite, factual, unanswerable in the worst way, and it plants a flag.</w:t>
      </w:r>
    </w:p>
    <w:p>
      <w:pPr>
        <w:pStyle w:val="BodyText"/>
      </w:pPr>
      <w:r>
        <w:t xml:space="preserve">Second, use the Library. The archive at schooltrusts.net exists so that a parent with one evening can do what used to take an archivist a month: read your state’s granting act, see what the trust holds, see what it pays. You do not have to take this book’s word for anything — checking up on the book is the entire point of the archive.</w:t>
      </w:r>
    </w:p>
    <w:p>
      <w:pPr>
        <w:pStyle w:val="BodyText"/>
      </w:pPr>
      <w:r>
        <w:t xml:space="preserve">Third, know what the act gives you, so you can ask your legislators for it by name. If the Uniform Public Trust Enforcement Act passes in your state, you get an annual public accounting you can actually read, showing every distribution to the schools, the formula behind it, and anything withheld or redirected — an honest statement of what the trust did for your child’s school this year. [CONFORM: v1 required a per-student distribution number and this chapter sold it; the merged act dropped the per-student line — restore it as a state add-on or soften this pitch.] And you get standing: the act says in plain statutory text that a parent may enforce the trust on a child’s behalf, and that organizations of parents may do it together, with no fee risk for suing in good faith. The locked courthouse door of Chapter 2 — your name is on the key.</w:t>
      </w:r>
    </w:p>
    <w:p>
      <w:pPr>
        <w:pStyle w:val="BodyText"/>
      </w:pPr>
      <w:r>
        <w:t xml:space="preserve">One parent asking one question changes nothing. But you read Chapter 9. Utah’s trust was not rescued by lawyers first — it was rescued by an organized constituency of parents and teachers who could see their school’s share and noticed when it was touched. That is the whole mechanism. Be the constituency.</w:t>
      </w:r>
    </w:p>
    <w:p>
      <w:pPr>
        <w:pStyle w:val="Heading2"/>
      </w:pPr>
      <w:bookmarkStart w:id="119" w:name="to-the-legislator"/>
      <w:r>
        <w:t xml:space="preserve">To the legislator</w:t>
      </w:r>
      <w:bookmarkEnd w:id="119"/>
    </w:p>
    <w:p>
      <w:pPr>
        <w:pStyle w:val="FirstParagraph"/>
      </w:pPr>
      <w:r>
        <w:t xml:space="preserve">You are busy, so here is the bill in four sentences. It codifies fiduciary duties your state’s courts already recognize, creating no new obligations. It requires the state’s perpetual trusts to publish an annual accounting any constituent can read. It lets beneficiaries enforce the trust in court, with an independent enforcement mechanism for the conflict cases, and restores the ordinary trust remedies through a narrow waiver that reaches only money already belonging to the trust. It is drafted, annotated section by section, and adapted to your state’s code [VERIFY availability of state-specific drafts at print].</w:t>
      </w:r>
    </w:p>
    <w:p>
      <w:pPr>
        <w:pStyle w:val="BodyText"/>
      </w:pPr>
      <w:r>
        <w:t xml:space="preserve">What does it cost? Less than its opponents will claim. The accounting article repackages data your agencies already hold. The trustee-education requirement runs through existing training infrastructure. The enforcement office can begin life as a court-appointed special counsel — no new agency, no standing budget line — with the standing office deferred until the state wants it. The fiscal note, honestly written, is small. Against it, weigh the one number that should interest you most: the documented difference between what a well-run school trust pays its schools and what a neglected one does. Chapter 9 told the story of the one state that did the repair; its endowment’s growth since is the best evidence in the record of what attention is worth [figures to be supplied from verified sources; VERIFY before print].</w:t>
      </w:r>
    </w:p>
    <w:p>
      <w:pPr>
        <w:pStyle w:val="BodyText"/>
      </w:pPr>
      <w:r>
        <w:t xml:space="preserve">What does it foreclose? Bluntly: some discretion your executive agencies currently enjoy and would prefer to keep. The quiet land deal priced by the buyer’s appraisal. The transfer of trust money under authority no one ever cites. The arrangement where the trust funds the legal defense of its own trustee. If those are practices your state would defend by name, in a hearing, on the record — then oppose the bill on those grounds and say so. The act’s drafters were careful to make the choice exactly that plain.</w:t>
      </w:r>
    </w:p>
    <w:p>
      <w:pPr>
        <w:pStyle w:val="BodyText"/>
      </w:pPr>
      <w:r>
        <w:t xml:space="preserve">And a word about the politics, because the politics are unusually good. This is school money without a tax vote. It is a transparency bill, a conflict-of-interest bill, and a children’s bill at once, and it indicts no one — the findings name structural failures, not villains. There will be a first legislator in your chamber to carry it. In twenty years, in the states that pass it, schoolchildren will be receiving measurably more from their trusts, and someone’s name will be on that. It may as well be yours.</w:t>
      </w:r>
    </w:p>
    <w:p>
      <w:pPr>
        <w:pStyle w:val="Heading2"/>
      </w:pPr>
      <w:bookmarkStart w:id="120" w:name="to-the-institution-designer"/>
      <w:r>
        <w:t xml:space="preserve">To the institution designer</w:t>
      </w:r>
      <w:bookmarkEnd w:id="120"/>
    </w:p>
    <w:p>
      <w:pPr>
        <w:pStyle w:val="FirstParagraph"/>
      </w:pPr>
      <w:r>
        <w:t xml:space="preserve">You may be the most important reader of this book, and you were never its likeliest one.</w:t>
      </w:r>
    </w:p>
    <w:p>
      <w:pPr>
        <w:pStyle w:val="BodyText"/>
      </w:pPr>
      <w:r>
        <w:t xml:space="preserve">You are building, or advising, or funding the new forever-institutions — the endowments meant to steward transformative technology across generations, the perpetual climate trusts, the sovereign funds chartered for people not yet born. Chapter 11 made the argument; here is the operational version. You are designing institutions with multi-century horizons, and there is exactly one body of evidence about how such designs perform across multi-century time in American conditions: the school trusts. Two hundred and forty years, every variety of economy and politics, all running the same experiment. You would not design an aircraft while declining to read the only crash data in existence.</w:t>
      </w:r>
    </w:p>
    <w:p>
      <w:pPr>
        <w:pStyle w:val="BodyText"/>
      </w:pPr>
      <w:r>
        <w:t xml:space="preserve">So, three asks, in ascending order of effort.</w:t>
      </w:r>
    </w:p>
    <w:p>
      <w:pPr>
        <w:pStyle w:val="BodyText"/>
      </w:pPr>
      <w:r>
        <w:t xml:space="preserve">Read the failure list as a design checklist. Six failures, every one structural: beneficiaries without standing; duties never written into enforceable law; the enforcer captured by the enforced; no mandatory accounting; remedies blocked by the sponsor’s immunity; trustees never taught and never reviewed. Now open the charter you are working on and ask, honestly, which of the six you have reproduced. In our experience the typical answer is at least four. The school trusts had pure intentions, prestigious founders, and constitutional dignity. So does your institution. Intentions are not a control.</w:t>
      </w:r>
    </w:p>
    <w:p>
      <w:pPr>
        <w:pStyle w:val="BodyText"/>
      </w:pPr>
      <w:r>
        <w:t xml:space="preserve">Write the teeth in now, because no court will read them in later. That is perhaps the hardest-won lesson in this book: beneficiaries spent decades litigating for things a single charter sentence could have granted — standing, an accounting, an independent enforcer. The act’s architecture translates directly into private-charter terms: name the beneficiary class, including the future ones, and give them representation; mandate the annual accounting in machine-readable form; build the enforcement role outside the management structure and fund it from outside the corpus; default to market exposure on dispositions; forbid the institution from paying its managers’ defense out of the assets they manage; schedule the outside review before you need it. Every one of those is cheap at founding and nearly unobtainable afterward. The founding moment is the only moment you control.</w:t>
      </w:r>
    </w:p>
    <w:p>
      <w:pPr>
        <w:pStyle w:val="BodyText"/>
      </w:pPr>
      <w:r>
        <w:t xml:space="preserve">And invite the evidence into the room. The record is public, archived, and citable; the people who know it are findable through the program. When the design conversations happen — at the foundations, the labs, the funds — let the one multi-generational dataset in existence have a seat. Your institution’s beneficiaries, like the school trusts’, will include people who cannot attend the founding, cannot vote on the charter, and cannot sue when it fails. Design as their fiduciary. That is not sentiment. As this whole book has argued, it is the operative legal idea.</w:t>
      </w:r>
    </w:p>
    <w:p>
      <w:pPr>
        <w:pStyle w:val="Heading2"/>
      </w:pPr>
      <w:bookmarkStart w:id="121" w:name="the-promise-again"/>
      <w:r>
        <w:t xml:space="preserve">The promise, again</w:t>
      </w:r>
      <w:bookmarkEnd w:id="121"/>
    </w:p>
    <w:p>
      <w:pPr>
        <w:pStyle w:val="FirstParagraph"/>
      </w:pPr>
      <w:r>
        <w:t xml:space="preserve">[PLACEHOLDER — Dave writes this close in his own voice. Drafted scaffolding below for his pass.]</w:t>
      </w:r>
    </w:p>
    <w:p>
      <w:pPr>
        <w:pStyle w:val="BodyText"/>
      </w:pPr>
      <w:r>
        <w:t xml:space="preserve">In 1785, a Congress with no constitution, no president, and almost no money made a promise to children who would not be born for two hundred years. This book has been an accounting of that promise — what it survived, where it failed, and why the failures were design, not destiny.</w:t>
      </w:r>
    </w:p>
    <w:p>
      <w:pPr>
        <w:pStyle w:val="BodyText"/>
      </w:pPr>
      <w:r>
        <w:t xml:space="preserve">The repair now exists. The duties are restated where no one can deny them; the books are ordered open; the courthouse door is unlocked; the remedies are back on the table; the watch is written into law. What the repair cannot do is enact itself. Laws are carried, and the carrying is done by exactly the kinds of people who have just finished reading four letters.</w:t>
      </w:r>
    </w:p>
    <w:p>
      <w:pPr>
        <w:pStyle w:val="BodyText"/>
      </w:pPr>
      <w:r>
        <w:t xml:space="preserve">The first promise was kept badly because keeping it was nobody’s job. You have just read the job descriptions. Pick one.</w:t>
      </w:r>
    </w:p>
    <w:p>
      <w:r>
        <w:pict>
          <v:rect style="width:0;height:1.5pt" o:hralign="center" o:hrstd="t" o:hr="t"/>
        </w:pict>
      </w:r>
    </w:p>
    <w:p>
      <w:pPr>
        <w:pStyle w:val="FirstParagraph"/>
      </w:pPr>
      <w:r>
        <w:rPr>
          <w:i/>
        </w:rPr>
        <w:t xml:space="preserve">Sources for this chapter.</w:t>
      </w:r>
      <w:r>
        <w:t xml:space="preserve"> </w:t>
      </w:r>
      <w:r>
        <w:t xml:space="preserve">Pro Bono Panel Charter v1 (membership classes, independence rules, engagement standards); UPTEA Converged Packet v2.0 (June 2026), Sections 302(8), 401–403, 504, 702–703, 706 (distribution reporting, parent and organizational standing, the conflict rule, the immunity waiver, fee protections) [CONFORM: v1’s per-student reporting provision, Section 302(5), was dropped in the merge]; UPTEA Legislative Strategy — Oregon, v1, and UPTEA Coalition Map v1 (fiscal-note strategy, audience framing); Renewal Program Charter v1. The Utah recovery and endowment-growth evidence is presented, with sources, in Chapter 9; all figures referenced here must carry that chapter’s verified numbers [VERIFY — no figure is asserted in this chapter pending verification]. The America’s School Trust Library is at schooltrusts.net. The six-failure checklist summarizes Part I (Chapters 2–7).</w:t>
      </w:r>
    </w:p>
    <w:p>
      <w:r>
        <w:br w:type="page"/>
      </w:r>
    </w:p>
    <w:p>
      <w:pPr>
        <w:pStyle w:val="Heading1"/>
      </w:pPr>
      <w:bookmarkStart w:id="122" w:name="X9bee1c018508660e59256b7dcb3ba4b5167f051"/>
      <w:r>
        <w:t xml:space="preserve">Appendix — The Uniform Public Trust Enforcement Act</w:t>
      </w:r>
      <w:bookmarkEnd w:id="122"/>
    </w:p>
    <w:p>
      <w:pPr>
        <w:pStyle w:val="FirstParagraph"/>
      </w:pPr>
      <w:r>
        <w:t xml:space="preserve">[DRAFT v2.2 — AI pass conforming to the merged act (Converged Packet v2.0, June 2026); awaiting Dave’s voice pass. Headnote only — it introduces the annotated selection in Stewards_v2_Appendix_The_Act_Annotated.md, which follows it in the built book. The COMPLETE text of the act is still appended mechanically only after counsel review; do not paste it here.]</w:t>
      </w:r>
    </w:p>
    <w:p>
      <w:r>
        <w:pict>
          <v:rect style="width:0;height:1.5pt" o:hralign="center" o:hrstd="t" o:hr="t"/>
        </w:pict>
      </w:r>
    </w:p>
    <w:p>
      <w:pPr>
        <w:pStyle w:val="FirstParagraph"/>
      </w:pPr>
      <w:r>
        <w:t xml:space="preserve">What follows is the law this book has been arguing for — the load-bearing sections of the Uniform Public Trust Enforcement Act, quoted verbatim from the converged working draft (v2.0, June 2026), each followed by a short annotation: the documented failure it fixes, the reason it is drafted the way it is, and the choices it leaves open to an enacting state. It is a selection, not the whole act. The complete text — forty-nine sections in ten articles — will be appended to this book only once counsel’s review of the draft is finished [VERIFY at print; the complete act does not appear in any published edition until that review is done]. Until then, the full act and its section-by-section commentary are available to legislators, scholars, and counsel through the program.</w:t>
      </w:r>
    </w:p>
    <w:p>
      <w:pPr>
        <w:pStyle w:val="BodyText"/>
      </w:pPr>
      <w:r>
        <w:t xml:space="preserve">A few notes on how to read it.</w:t>
      </w:r>
    </w:p>
    <w:p>
      <w:pPr>
        <w:pStyle w:val="BodyText"/>
      </w:pPr>
      <w:r>
        <w:rPr>
          <w:b/>
        </w:rPr>
        <w:t xml:space="preserve">It is a model act.</w:t>
      </w:r>
      <w:r>
        <w:t xml:space="preserve"> </w:t>
      </w:r>
      <w:r>
        <w:t xml:space="preserve">No legislature has enacted this text [VERIFY at print]. A model act is a template: each state adopts it through its own legislative process, dropping its own citations and choices into the places the draft leaves open. Text in [square brackets] marks those state-by-state variables — the name of the school fund, the local court, the dollar thresholds, the time periods. Where the draft offers more than one design for the same job, the alternatives appear in brackets too; the choice between a standing Office of Public Trust Enforcement and court-appointed special counsel (Article 5) is the most important of these, and Chapter 13 explains the trade.</w:t>
      </w:r>
    </w:p>
    <w:p>
      <w:pPr>
        <w:pStyle w:val="BodyText"/>
      </w:pPr>
      <w:r>
        <w:rPr>
          <w:b/>
        </w:rPr>
        <w:t xml:space="preserve">It says nothing new — deliberately.</w:t>
      </w:r>
      <w:r>
        <w:t xml:space="preserve"> </w:t>
      </w:r>
      <w:r>
        <w:t xml:space="preserve">The act’s central design choice, explained in Chapter 12, is that every duty it states is</w:t>
      </w:r>
      <w:r>
        <w:t xml:space="preserve"> </w:t>
      </w:r>
      <w:r>
        <w:rPr>
          <w:i/>
        </w:rPr>
        <w:t xml:space="preserve">declaratory of existing law</w:t>
      </w:r>
      <w:r>
        <w:t xml:space="preserve">: a restatement of obligations that already arise from the granting acts, the state constitutions, and the common law of trusts. Section 103(c) makes the point unmistakable — the act’s passage may never be cited as evidence that the duties were not already binding. What the act adds is everything the duties have lacked: procedure, daylight, and remedies.</w:t>
      </w:r>
    </w:p>
    <w:p>
      <w:pPr>
        <w:pStyle w:val="BodyText"/>
      </w:pPr>
      <w:r>
        <w:rPr>
          <w:b/>
        </w:rPr>
        <w:t xml:space="preserve">Its shape follows the failures.</w:t>
      </w:r>
      <w:r>
        <w:t xml:space="preserve"> </w:t>
      </w:r>
      <w:r>
        <w:t xml:space="preserve">Ten articles. Article 1 defines the trusts, the property, and the beneficiaries the law protects. Article 2 states the duties — loyalty, prudence, impartiality between generations, fiduciary value on disposition, and the duty to account and to enforce the trust’s own claims (Chapter 12). Article 3 orders the books opened: a certified, public, machine-readable annual accounting (Chapter 13). Article 4 unlocks the courthouse — standing for beneficiary institutions, parents, districts, and watchdog organizations, and a voice for future generations (Chapter 13). Article 5 builds the independent enforcer and disqualifies a conflicted attorney general from representing the trust (Chapter 13). Article 6 polices dispositions against self-dealing and buyer-procured appraisals (Chapter 14). Article 7 restores the equitable remedies through a narrow waiver of sovereign immunity, protects good-faith beneficiaries from fee risk, and puts settlements that would bind future beneficiaries under court approval (Chapter 14). Article 8 requires trustee education; Article 9 schedules the periodic independent review (Chapter 15). Article 10 is the standard machinery: rules, a public schedule of the trusts, transition, severability, and uniformity — and the act bends to each state’s constitution rather than fighting it.</w:t>
      </w:r>
    </w:p>
    <w:p>
      <w:pPr>
        <w:pStyle w:val="BodyText"/>
      </w:pPr>
      <w:r>
        <w:t xml:space="preserve">A companion volume of section-by-section commentary — for each section, the documented failure it cures and the drafting choices behind it — is available to legislators, scholars, and counsel through the program [VERIFY availability and citation at print].</w:t>
      </w:r>
    </w:p>
    <w:p>
      <w:pPr>
        <w:pStyle w:val="BodyText"/>
      </w:pPr>
      <w:r>
        <w:t xml:space="preserve">The chapters made the argument. Here is the heart of the law. Read it the way its drafters hope a legislator will: one section at a time, asking of each only two questions —</w:t>
      </w:r>
      <w:r>
        <w:t xml:space="preserve"> </w:t>
      </w:r>
      <w:r>
        <w:rPr>
          <w:i/>
        </w:rPr>
        <w:t xml:space="preserve">is this already my state’s obligation?</w:t>
      </w:r>
      <w:r>
        <w:t xml:space="preserve"> </w:t>
      </w:r>
      <w:r>
        <w:t xml:space="preserve">and</w:t>
      </w:r>
      <w:r>
        <w:t xml:space="preserve"> </w:t>
      </w:r>
      <w:r>
        <w:rPr>
          <w:i/>
        </w:rPr>
        <w:t xml:space="preserve">can my state’s children currently enforce it?</w:t>
      </w:r>
      <w:r>
        <w:t xml:space="preserve"> </w:t>
      </w:r>
      <w:r>
        <w:t xml:space="preserve">Where the answers are yes and no, this act is the repair.</w:t>
      </w:r>
    </w:p>
    <w:p>
      <w:r>
        <w:br w:type="page"/>
      </w:r>
    </w:p>
    <w:p>
      <w:pPr>
        <w:pStyle w:val="Heading1"/>
      </w:pPr>
      <w:bookmarkStart w:id="123" w:name="X5d669a435aa24e6b360195e062d0781bff97423"/>
      <w:r>
        <w:t xml:space="preserve">Appendix — The Act, Annotated: Selected Language from the Uniform Public Trust Enforcement Act (Draft)</w:t>
      </w:r>
      <w:bookmarkEnd w:id="123"/>
    </w:p>
    <w:p>
      <w:pPr>
        <w:pStyle w:val="FirstParagraph"/>
      </w:pPr>
      <w:r>
        <w:t xml:space="preserve">[DRAFT v2.0 — AI pass conforming all quotations to the merged act; awaiting Dave’s voice pass. All quoted language is verbatim from the UPTEA Converged Packet v2.0 (June 2026), which merged two independently produced drafts of the act into a single text. This file pairs with Stewards_v2_Appendix_Headnote.md, which precedes it in the built book.]</w:t>
      </w:r>
    </w:p>
    <w:p>
      <w:r>
        <w:pict>
          <v:rect style="width:0;height:1.5pt" o:hralign="center" o:hrstd="t" o:hr="t"/>
        </w:pict>
      </w:r>
    </w:p>
    <w:p>
      <w:pPr>
        <w:pStyle w:val="Heading2"/>
      </w:pPr>
      <w:bookmarkStart w:id="124" w:name="before-the-text-what-this-is-and-is-not"/>
      <w:r>
        <w:t xml:space="preserve">Before the text: what this is and is not</w:t>
      </w:r>
      <w:bookmarkEnd w:id="124"/>
    </w:p>
    <w:p>
      <w:pPr>
        <w:pStyle w:val="FirstParagraph"/>
      </w:pPr>
      <w:r>
        <w:t xml:space="preserve">Three things to hold in mind.</w:t>
      </w:r>
    </w:p>
    <w:p>
      <w:pPr>
        <w:pStyle w:val="BodyText"/>
      </w:pPr>
      <w:r>
        <w:rPr>
          <w:b/>
        </w:rPr>
        <w:t xml:space="preserve">It is a selection, not the whole act.</w:t>
      </w:r>
      <w:r>
        <w:t xml:space="preserve"> </w:t>
      </w:r>
      <w:r>
        <w:t xml:space="preserve">The full draft runs forty-nine sections in ten articles, every article carrying its own notes. The complete text and commentary are available to legislators, scholars, and counsel through the program. What appears here is the load-bearing language: the sections that do the work this book describes.</w:t>
      </w:r>
    </w:p>
    <w:p>
      <w:pPr>
        <w:pStyle w:val="BodyText"/>
      </w:pPr>
      <w:r>
        <w:rPr>
          <w:b/>
        </w:rPr>
        <w:t xml:space="preserve">It is a working draft, and it carries a standing review note.</w:t>
      </w:r>
      <w:r>
        <w:t xml:space="preserve"> </w:t>
      </w:r>
      <w:r>
        <w:t xml:space="preserve">No legislature has enacted this text, it has not completed review by counsel, and any use of it that touches a live case goes through counsel first. That is not a formality; it is the discipline the act itself preaches. The quotations below are from the Converged Packet v2.0 (June 2026), which merged two independently produced drafts of the act into a single working text.</w:t>
      </w:r>
    </w:p>
    <w:p>
      <w:pPr>
        <w:pStyle w:val="BodyText"/>
      </w:pPr>
      <w:r>
        <w:rPr>
          <w:b/>
        </w:rPr>
        <w:t xml:space="preserve">Its register is declaratory.</w:t>
      </w:r>
      <w:r>
        <w:t xml:space="preserve"> </w:t>
      </w:r>
      <w:r>
        <w:t xml:space="preserve">The act states duties that already exist — duties that arise from the acts of Congress that granted the lands, from the state constitutions that accepted them, and from the common law of trusts — and supplies the machinery those duties have always lacked: standing, accounting, an unconflicted enforcer, and remedies that survive sovereign immunity. Nothing quoted below creates a duty. Everything quoted below makes an existing duty enforceable.</w:t>
      </w:r>
    </w:p>
    <w:p>
      <w:pPr>
        <w:pStyle w:val="BodyText"/>
      </w:pPr>
      <w:r>
        <w:t xml:space="preserve">Each entry works the same way. First the act’s language, quoted exactly — text in [square brackets] marks the choices the draft leaves open to an enacting state. Then a short annotation in three parts:</w:t>
      </w:r>
      <w:r>
        <w:t xml:space="preserve"> </w:t>
      </w:r>
      <w:r>
        <w:rPr>
          <w:i/>
        </w:rPr>
        <w:t xml:space="preserve">the problem this fixes</w:t>
      </w:r>
      <w:r>
        <w:t xml:space="preserve">,</w:t>
      </w:r>
      <w:r>
        <w:t xml:space="preserve"> </w:t>
      </w:r>
      <w:r>
        <w:rPr>
          <w:i/>
        </w:rPr>
        <w:t xml:space="preserve">why it is drafted this way</w:t>
      </w:r>
      <w:r>
        <w:t xml:space="preserve">, and, where the section leaves choices open,</w:t>
      </w:r>
      <w:r>
        <w:t xml:space="preserve"> </w:t>
      </w:r>
      <w:r>
        <w:rPr>
          <w:i/>
        </w:rPr>
        <w:t xml:space="preserve">the dials</w:t>
      </w:r>
      <w:r>
        <w:t xml:space="preserve">.</w:t>
      </w:r>
    </w:p>
    <w:p>
      <w:r>
        <w:pict>
          <v:rect style="width:0;height:1.5pt" o:hralign="center" o:hrstd="t" o:hr="t"/>
        </w:pict>
      </w:r>
    </w:p>
    <w:p>
      <w:pPr>
        <w:pStyle w:val="Heading2"/>
      </w:pPr>
      <w:bookmarkStart w:id="125" w:name="X3407a528f203d8c1ec0e7fea1b22934f799a327"/>
      <w:r>
        <w:t xml:space="preserve">Section 103. Purpose; Declaratory Construction; No Admission.</w:t>
      </w:r>
      <w:bookmarkEnd w:id="125"/>
    </w:p>
    <w:p>
      <w:pPr>
        <w:numPr>
          <w:ilvl w:val="0"/>
          <w:numId w:val="1003"/>
        </w:numPr>
        <w:pStyle w:val="PullQuote"/>
      </w:pPr>
      <w:r>
        <w:t xml:space="preserve">The purpose of this [Act] is to provide procedures, transparency requirements, enforcement mechanisms, and remedies adequate to the fiduciary duties that already bind public trustees of public educational trusts.</w:t>
      </w:r>
    </w:p>
    <w:p>
      <w:pPr>
        <w:numPr>
          <w:ilvl w:val="0"/>
          <w:numId w:val="1003"/>
        </w:numPr>
        <w:pStyle w:val="PullQuote"/>
      </w:pPr>
      <w:r>
        <w:t xml:space="preserve">The duties enforceable under this [Act] are duties imposed by the applicable trust instrument, [the Admission Act], [state enabling act], [state constitution], federal law, statute, common law, and equity.</w:t>
      </w:r>
    </w:p>
    <w:p>
      <w:pPr>
        <w:numPr>
          <w:ilvl w:val="0"/>
          <w:numId w:val="1003"/>
        </w:numPr>
        <w:pStyle w:val="PullQuote"/>
      </w:pPr>
      <w:r>
        <w:t xml:space="preserve">Neither the enactment of this [Act], nor any provision of this [Act], nor any legislative history of this [Act], may be construed as evidence, admission, or legislative determination that:</w:t>
      </w:r>
    </w:p>
    <w:p>
      <w:pPr>
        <w:pStyle w:val="PullQuote"/>
      </w:pPr>
      <w:r>
        <w:t xml:space="preserve">  (1) any duty stated or enforced under this [Act] did not exist before the effective date of this [Act];</w:t>
      </w:r>
    </w:p>
    <w:p>
      <w:pPr>
        <w:pStyle w:val="PullQuote"/>
      </w:pPr>
      <w:r>
        <w:t xml:space="preserve">  (2) any such duty was unenforceable before the effective date of this [Act]; or</w:t>
      </w:r>
    </w:p>
    <w:p>
      <w:pPr>
        <w:pStyle w:val="PullQuote"/>
      </w:pPr>
      <w:r>
        <w:t xml:space="preserve">  (3) any conduct occurring before the effective date of this [Act] was lawful.</w:t>
      </w:r>
    </w:p>
    <w:p>
      <w:pPr>
        <w:numPr>
          <w:ilvl w:val="0"/>
          <w:numId w:val="1004"/>
        </w:numPr>
        <w:pStyle w:val="PullQuote"/>
      </w:pPr>
      <w:r>
        <w:t xml:space="preserve">This [Act] supplies procedures, forums, disclosures, representation, education, review, and remedies for existing duties. It does not create a new private damages regime.</w:t>
      </w:r>
    </w:p>
    <w:p>
      <w:pPr>
        <w:numPr>
          <w:ilvl w:val="0"/>
          <w:numId w:val="1004"/>
        </w:numPr>
        <w:pStyle w:val="PullQuote"/>
      </w:pPr>
      <w:r>
        <w:t xml:space="preserve">This [Act] must be liberally construed to provide effective accounting, representation, and equitable enforcement for public educational trusts, and narrowly construed against any implication that public trust property is unrestricted state revenue.</w:t>
      </w:r>
    </w:p>
    <w:p>
      <w:pPr>
        <w:pStyle w:val="FirstParagraph"/>
      </w:pPr>
      <w:r>
        <w:rPr>
          <w:i/>
        </w:rPr>
        <w:t xml:space="preserve">The problem this fixes.</w:t>
      </w:r>
      <w:r>
        <w:t xml:space="preserve"> </w:t>
      </w:r>
      <w:r>
        <w:t xml:space="preserve">Every other section of this act walks into the same trap, and this section springs it in advance. The trap is simple: pass a law stating fiduciary duties, and the trustee’s lawyers will tell a court the duties were born on the day of passage — that before the act, the state owed nothing a beneficiary could enforce. A state defending a pending trust case would have every incentive to wave the new statute at the judge as a confession. Subsection (c), the no-inference clause, forbids that reading in terms: neither the act, nor any provision of it, nor anything said while passing it, may be treated as evidence that any duty was new, that any duty was unenforceable — or that anything done before the act was lawful. The repair may never be cited as proof the roof was sound.</w:t>
      </w:r>
    </w:p>
    <w:p>
      <w:pPr>
        <w:pStyle w:val="BodyText"/>
      </w:pPr>
      <w:r>
        <w:rPr>
          <w:i/>
        </w:rPr>
        <w:t xml:space="preserve">Why it is drafted this way.</w:t>
      </w:r>
      <w:r>
        <w:t xml:space="preserve"> </w:t>
      </w:r>
      <w:r>
        <w:t xml:space="preserve">Because the declaratory posture is true, not merely tactical. The duties this act restates genuinely predate it, and subsection (b) names their sources — the trust instrument, the admission and enabling acts, the state constitution, federal law, statute, common law, and equity — sources older than any legislature now sitting. What the states never built was the machinery. So subsection (a) names the act’s entire ambition in one sentence — procedures, transparency, enforcement, remedies, all of them</w:t>
      </w:r>
      <w:r>
        <w:t xml:space="preserve"> </w:t>
      </w:r>
      <w:r>
        <w:t xml:space="preserve">“</w:t>
      </w:r>
      <w:r>
        <w:t xml:space="preserve">adequate to the fiduciary duties that</w:t>
      </w:r>
      <w:r>
        <w:t xml:space="preserve"> </w:t>
      </w:r>
      <w:r>
        <w:rPr>
          <w:b/>
        </w:rPr>
        <w:t xml:space="preserve">already</w:t>
      </w:r>
      <w:r>
        <w:t xml:space="preserve"> </w:t>
      </w:r>
      <w:r>
        <w:t xml:space="preserve">bind.</w:t>
      </w:r>
      <w:r>
        <w:t xml:space="preserve">”</w:t>
      </w:r>
      <w:r>
        <w:t xml:space="preserve"> </w:t>
      </w:r>
      <w:r>
        <w:t xml:space="preserve">Subsection (d) then disclaims the thing opponents will accuse the act of being: it</w:t>
      </w:r>
      <w:r>
        <w:t xml:space="preserve"> </w:t>
      </w:r>
      <w:r>
        <w:t xml:space="preserve">“</w:t>
      </w:r>
      <w:r>
        <w:t xml:space="preserve">does not create a new private damages regime</w:t>
      </w:r>
      <w:r>
        <w:t xml:space="preserve">”</w:t>
      </w:r>
      <w:r>
        <w:t xml:space="preserve"> </w:t>
      </w:r>
      <w:r>
        <w:t xml:space="preserve">— machinery for existing duties, not a new cause of action for private payouts. Notice the verb in subsection (c):</w:t>
      </w:r>
      <w:r>
        <w:t xml:space="preserve"> </w:t>
      </w:r>
      <w:r>
        <w:t xml:space="preserve">“</w:t>
      </w:r>
      <w:r>
        <w:t xml:space="preserve">may not be construed</w:t>
      </w:r>
      <w:r>
        <w:t xml:space="preserve">”</w:t>
      </w:r>
      <w:r>
        <w:t xml:space="preserve"> </w:t>
      </w:r>
      <w:r>
        <w:t xml:space="preserve">— a flat prohibition, not advice. A no-inference clause written in the soft conditional is no clause at all. And subsection (e) hands the courts a two-way compass for every close question: construe liberally toward accounting, representation, and enforcement; construe narrowly against any suggestion that trust property is state revenue with sentiment attached. This is the linchpin: the section that lets a legislature do justice going forward without handing the past a pardon.</w:t>
      </w:r>
    </w:p>
    <w:p>
      <w:pPr>
        <w:pStyle w:val="BodyText"/>
      </w:pPr>
      <w:r>
        <w:rPr>
          <w:i/>
        </w:rPr>
        <w:t xml:space="preserve">The dials.</w:t>
      </w:r>
      <w:r>
        <w:t xml:space="preserve"> </w:t>
      </w:r>
      <w:r>
        <w:t xml:space="preserve">None — alone among the sections in this appendix, and that is the point: the declaratory frame is not adjustable.</w:t>
      </w:r>
    </w:p>
    <w:p>
      <w:r>
        <w:pict>
          <v:rect style="width:0;height:1.5pt" o:hralign="center" o:hrstd="t" o:hr="t"/>
        </w:pict>
      </w:r>
    </w:p>
    <w:p>
      <w:pPr>
        <w:pStyle w:val="Heading2"/>
      </w:pPr>
      <w:bookmarkStart w:id="126" w:name="section-203.-duty-of-loyalty."/>
      <w:r>
        <w:t xml:space="preserve">Section 203. Duty of Loyalty.</w:t>
      </w:r>
      <w:bookmarkEnd w:id="126"/>
    </w:p>
    <w:p>
      <w:pPr>
        <w:numPr>
          <w:ilvl w:val="0"/>
          <w:numId w:val="1005"/>
        </w:numPr>
        <w:pStyle w:val="PullQuote"/>
      </w:pPr>
      <w:r>
        <w:t xml:space="preserve">A state trustee shall administer the public educational trust solely in the interest of the beneficiaries and the trust purpose.</w:t>
      </w:r>
    </w:p>
    <w:p>
      <w:pPr>
        <w:numPr>
          <w:ilvl w:val="0"/>
          <w:numId w:val="1005"/>
        </w:numPr>
        <w:pStyle w:val="PullQuote"/>
      </w:pPr>
      <w:r>
        <w:t xml:space="preserve">A state trustee may not administer public trust property to serve the interests of [State]’s general fund, any agency or program that is not a beneficiary, any local government, any private person, or any public purpose other than the trust purpose, except to the extent that doing so is consistent with and does not subordinate the interests of the beneficiaries.</w:t>
      </w:r>
    </w:p>
    <w:p>
      <w:pPr>
        <w:numPr>
          <w:ilvl w:val="0"/>
          <w:numId w:val="1005"/>
        </w:numPr>
        <w:pStyle w:val="PullQuote"/>
      </w:pPr>
      <w:r>
        <w:t xml:space="preserve">A transaction in which [State] in a nonfiduciary capacity, or any agency or program of [State] that is not a beneficiary, acquires public trust property or an interest in public trust property is a self-interested transaction subject to Article 6.</w:t>
      </w:r>
    </w:p>
    <w:p>
      <w:pPr>
        <w:pStyle w:val="FirstParagraph"/>
      </w:pPr>
      <w:r>
        <w:rPr>
          <w:i/>
        </w:rPr>
        <w:t xml:space="preserve">The problem this fixes.</w:t>
      </w:r>
      <w:r>
        <w:t xml:space="preserve"> </w:t>
      </w:r>
      <w:r>
        <w:t xml:space="preserve">The most common way a school trust loses value is not theft. It is conscription — trust land quietly managed for purposes the legislature happens to like, with the bill sent to the schoolchildren. Recreation, habitat, the general fund: all worthy causes, none of them the beneficiary. When the state wears its sovereign hat and its trustee hat at once, the sovereign tends to win, and the trust pays for public goods the whole public should have bought.</w:t>
      </w:r>
    </w:p>
    <w:p>
      <w:pPr>
        <w:pStyle w:val="BodyText"/>
      </w:pPr>
      <w:r>
        <w:rPr>
          <w:i/>
        </w:rPr>
        <w:t xml:space="preserve">Why it is drafted this way.</w:t>
      </w:r>
      <w:r>
        <w:t xml:space="preserve"> </w:t>
      </w:r>
      <w:r>
        <w:t xml:space="preserve">Subsection (b) does not outlaw conservation, public access, or careful stewardship — it outlaws</w:t>
      </w:r>
      <w:r>
        <w:t xml:space="preserve"> </w:t>
      </w:r>
      <w:r>
        <w:rPr>
          <w:i/>
        </w:rPr>
        <w:t xml:space="preserve">subordination</w:t>
      </w:r>
      <w:r>
        <w:t xml:space="preserve">. The closing clause is the whole line: other purposes may be served</w:t>
      </w:r>
      <w:r>
        <w:t xml:space="preserve"> </w:t>
      </w:r>
      <w:r>
        <w:t xml:space="preserve">“</w:t>
      </w:r>
      <w:r>
        <w:t xml:space="preserve">to the extent that doing so is consistent with and does not subordinate the interests of the beneficiaries.</w:t>
      </w:r>
      <w:r>
        <w:t xml:space="preserve">”</w:t>
      </w:r>
      <w:r>
        <w:t xml:space="preserve"> </w:t>
      </w:r>
      <w:r>
        <w:t xml:space="preserve">A state that wants trust land managed primarily for another purpose has an honest path: buy the land, at full value, with everyone watching. And subsection (c) anticipates exactly that purchase: when the state itself is the buyer, the deal is by definition self-interested and falls under Article 6, quoted below.</w:t>
      </w:r>
    </w:p>
    <w:p>
      <w:r>
        <w:pict>
          <v:rect style="width:0;height:1.5pt" o:hralign="center" o:hrstd="t" o:hr="t"/>
        </w:pict>
      </w:r>
    </w:p>
    <w:p>
      <w:pPr>
        <w:pStyle w:val="Heading2"/>
      </w:pPr>
      <w:bookmarkStart w:id="127" w:name="X413321780aa034184e65c221bd8a43dfc4e9427"/>
      <w:r>
        <w:t xml:space="preserve">Section 205. Duty of Impartiality Between Present and Future Beneficiaries.</w:t>
      </w:r>
      <w:bookmarkEnd w:id="127"/>
    </w:p>
    <w:p>
      <w:pPr>
        <w:numPr>
          <w:ilvl w:val="0"/>
          <w:numId w:val="1006"/>
        </w:numPr>
        <w:pStyle w:val="PullQuote"/>
      </w:pPr>
      <w:r>
        <w:t xml:space="preserve">A state trustee shall act impartially between present and future beneficiaries, giving due regard to their respective interests under the governing trust instrument and existing law.</w:t>
      </w:r>
    </w:p>
    <w:p>
      <w:pPr>
        <w:numPr>
          <w:ilvl w:val="0"/>
          <w:numId w:val="1006"/>
        </w:numPr>
        <w:pStyle w:val="PullQuote"/>
      </w:pPr>
      <w:r>
        <w:t xml:space="preserve">A state trustee may not materially benefit present beneficiaries by depleting, impairing, undercompensating, or failing to protect trust corpus to the detriment of future beneficiaries, except as the governing trust instrument and existing law permit.</w:t>
      </w:r>
    </w:p>
    <w:p>
      <w:pPr>
        <w:numPr>
          <w:ilvl w:val="0"/>
          <w:numId w:val="1006"/>
        </w:numPr>
        <w:pStyle w:val="PullQuote"/>
      </w:pPr>
      <w:r>
        <w:t xml:space="preserve">A state trustee may not accumulate corpus or income in a manner that defeats the lawful interests of present beneficiaries, except as the governing trust instrument and existing law permit.</w:t>
      </w:r>
    </w:p>
    <w:p>
      <w:pPr>
        <w:pStyle w:val="FirstParagraph"/>
      </w:pPr>
      <w:r>
        <w:rPr>
          <w:i/>
        </w:rPr>
        <w:t xml:space="preserve">The problem this fixes.</w:t>
      </w:r>
      <w:r>
        <w:t xml:space="preserve"> </w:t>
      </w:r>
      <w:r>
        <w:t xml:space="preserve">Future children have no lobby. A perpetual trust’s most dangerous transactions are not the scandalous ones — they are the popular ones, the deals that benefit today’s schools or today’s budget by consuming corpus that belongs equally to children not yet born. Every present constituency gains; the only losers cannot yet speak; and so no one resists. It is the failure ordinary politics is least equipped to catch.</w:t>
      </w:r>
    </w:p>
    <w:p>
      <w:pPr>
        <w:pStyle w:val="BodyText"/>
      </w:pPr>
      <w:r>
        <w:rPr>
          <w:i/>
        </w:rPr>
        <w:t xml:space="preserve">Why it is drafted this way.</w:t>
      </w:r>
      <w:r>
        <w:t xml:space="preserve"> </w:t>
      </w:r>
      <w:r>
        <w:t xml:space="preserve">Subsections (b) and (c) cut in both directions on purpose. Subsection (b) forbids eating the corpus to please the present — including by the quietest method, simply</w:t>
      </w:r>
      <w:r>
        <w:t xml:space="preserve"> </w:t>
      </w:r>
      <w:r>
        <w:rPr>
          <w:i/>
        </w:rPr>
        <w:t xml:space="preserve">failing to protect</w:t>
      </w:r>
      <w:r>
        <w:t xml:space="preserve"> </w:t>
      </w:r>
      <w:r>
        <w:t xml:space="preserve">it. Subsection (c) forbids the opposite vice, hoarding the corpus while distributing nothing, a habit some permanent funds have practiced under the banner of prudence. A perpetual trust is supposed to pay every generation, starting with this one. And the duty is not left as a sentiment: Section 402, quoted below, gives future beneficiaries an actual representative in court, so impartiality can be argued and enforced rather than merely admired.</w:t>
      </w:r>
    </w:p>
    <w:p>
      <w:r>
        <w:pict>
          <v:rect style="width:0;height:1.5pt" o:hralign="center" o:hrstd="t" o:hr="t"/>
        </w:pict>
      </w:r>
    </w:p>
    <w:p>
      <w:pPr>
        <w:pStyle w:val="Heading2"/>
      </w:pPr>
      <w:bookmarkStart w:id="128" w:name="X17d90bd90efda3b2d2162a7e9faf894e53bda2f"/>
      <w:r>
        <w:t xml:space="preserve">Section 206. Duty to Obtain Fiduciary Value on Disposition.</w:t>
      </w:r>
      <w:bookmarkEnd w:id="128"/>
    </w:p>
    <w:p>
      <w:pPr>
        <w:numPr>
          <w:ilvl w:val="0"/>
          <w:numId w:val="1007"/>
        </w:numPr>
        <w:pStyle w:val="PullQuote"/>
      </w:pPr>
      <w:r>
        <w:t xml:space="preserve">A state trustee shall obtain fair market value, or equivalent fiduciary value expressly authorized by the governing trust instrument and existing law, on any disposition of public trust property.</w:t>
      </w:r>
    </w:p>
    <w:p>
      <w:pPr>
        <w:numPr>
          <w:ilvl w:val="0"/>
          <w:numId w:val="1007"/>
        </w:numPr>
        <w:pStyle w:val="PullQuote"/>
      </w:pPr>
      <w:r>
        <w:t xml:space="preserve">Consideration for a disposition must be paid to the trust or otherwise credited to the trust as required by the governing trust instrument and existing law.</w:t>
      </w:r>
    </w:p>
    <w:p>
      <w:pPr>
        <w:numPr>
          <w:ilvl w:val="0"/>
          <w:numId w:val="1007"/>
        </w:numPr>
        <w:pStyle w:val="PullQuote"/>
      </w:pPr>
      <w:r>
        <w:t xml:space="preserve">Legislative appropriation to a non-trust purpose of consideration owed to the trust, or netting of consideration against obligations of the trust to [State], does not satisfy this Section unless expressly authorized by the governing trust instrument and existing law.</w:t>
      </w:r>
    </w:p>
    <w:p>
      <w:pPr>
        <w:pStyle w:val="FirstParagraph"/>
      </w:pPr>
      <w:r>
        <w:rPr>
          <w:i/>
        </w:rPr>
        <w:t xml:space="preserve">The problem this fixes.</w:t>
      </w:r>
      <w:r>
        <w:t xml:space="preserve"> </w:t>
      </w:r>
      <w:r>
        <w:t xml:space="preserve">Undercompensated disposition is the single largest historical source of school-trust loss — from nineteenth-century land sales at statutory minimum prices to modern transfers between state agencies at whatever price was administratively convenient. The pattern repeats because discretion repeats: wherever a trustee may choose the method and the price quietly, the price drifts down.</w:t>
      </w:r>
    </w:p>
    <w:p>
      <w:pPr>
        <w:pStyle w:val="BodyText"/>
      </w:pPr>
      <w:r>
        <w:rPr>
          <w:i/>
        </w:rPr>
        <w:t xml:space="preserve">Why it is drafted this way.</w:t>
      </w:r>
      <w:r>
        <w:t xml:space="preserve"> </w:t>
      </w:r>
      <w:r>
        <w:t xml:space="preserve">The duty has three teeth. Subsection (a) sets the price floor: fair market value, or an equivalent fiduciary value — but only one</w:t>
      </w:r>
      <w:r>
        <w:t xml:space="preserve"> </w:t>
      </w:r>
      <w:r>
        <w:t xml:space="preserve">“</w:t>
      </w:r>
      <w:r>
        <w:t xml:space="preserve">expressly authorized by the governing trust instrument and existing law,</w:t>
      </w:r>
      <w:r>
        <w:t xml:space="preserve">”</w:t>
      </w:r>
      <w:r>
        <w:t xml:space="preserve"> </w:t>
      </w:r>
      <w:r>
        <w:t xml:space="preserve">so a substitute value must trace to the trust’s own charter, not to a press release. Subsection (b) says where the money goes: to the trust. And subsection (c) blocks the modern bookkeeping variant: the legislature</w:t>
      </w:r>
      <w:r>
        <w:t xml:space="preserve"> </w:t>
      </w:r>
      <w:r>
        <w:t xml:space="preserve">“</w:t>
      </w:r>
      <w:r>
        <w:t xml:space="preserve">buying</w:t>
      </w:r>
      <w:r>
        <w:t xml:space="preserve">”</w:t>
      </w:r>
      <w:r>
        <w:t xml:space="preserve"> </w:t>
      </w:r>
      <w:r>
        <w:t xml:space="preserve">a trust asset with an appropriation that never actually reaches the trust, or netting the price against obligations the state claims it is owed. The money must land in the trust — bluntly, and by design. One definition upstream matters: the act defines</w:t>
      </w:r>
      <w:r>
        <w:t xml:space="preserve"> </w:t>
      </w:r>
      <w:r>
        <w:t xml:space="preserve">“</w:t>
      </w:r>
      <w:r>
        <w:t xml:space="preserve">disposition</w:t>
      </w:r>
      <w:r>
        <w:t xml:space="preserve">”</w:t>
      </w:r>
      <w:r>
        <w:t xml:space="preserve"> </w:t>
      </w:r>
      <w:r>
        <w:t xml:space="preserve">to sweep in leases, licenses, easements, encumbrances, releases, settlements, and royalty and extraction agreements — the transactions by which trust value most often leaves quietly, no deed ever changing hands.</w:t>
      </w:r>
    </w:p>
    <w:p>
      <w:pPr>
        <w:pStyle w:val="BodyText"/>
      </w:pPr>
      <w:r>
        <w:rPr>
          <w:i/>
        </w:rPr>
        <w:t xml:space="preserve">The dials.</w:t>
      </w:r>
      <w:r>
        <w:t xml:space="preserve"> </w:t>
      </w:r>
      <w:r>
        <w:t xml:space="preserve">None in the section itself; the thresholds, day counts, and exception list that implement this duty deal-by-deal are Article 6’s, quoted below.</w:t>
      </w:r>
    </w:p>
    <w:p>
      <w:r>
        <w:pict>
          <v:rect style="width:0;height:1.5pt" o:hralign="center" o:hrstd="t" o:hr="t"/>
        </w:pict>
      </w:r>
    </w:p>
    <w:p>
      <w:pPr>
        <w:pStyle w:val="Heading2"/>
      </w:pPr>
      <w:bookmarkStart w:id="129" w:name="X6b66d7869655aae0f9f983a2c26312d4c6a0aa1"/>
      <w:r>
        <w:t xml:space="preserve">Section 302. Contents of the Uniform Annual Trust Accounting.</w:t>
      </w:r>
      <w:bookmarkEnd w:id="129"/>
    </w:p>
    <w:p>
      <w:pPr>
        <w:pStyle w:val="PullQuote"/>
      </w:pPr>
      <w:r>
        <w:t xml:space="preserve">The annual accounting for each public educational trust must separately state, for the accounting period and with comparative figures for the preceding [four] accounting periods:</w:t>
      </w:r>
    </w:p>
    <w:p>
      <w:pPr>
        <w:numPr>
          <w:ilvl w:val="0"/>
          <w:numId w:val="1008"/>
        </w:numPr>
        <w:pStyle w:val="PullQuote"/>
      </w:pPr>
      <w:r>
        <w:t xml:space="preserve">the opening and closing balance of trust corpus;</w:t>
      </w:r>
    </w:p>
    <w:p>
      <w:pPr>
        <w:numPr>
          <w:ilvl w:val="0"/>
          <w:numId w:val="1008"/>
        </w:numPr>
        <w:pStyle w:val="PullQuote"/>
      </w:pPr>
      <w:r>
        <w:t xml:space="preserve">land and other real property interests, by acreage, location, category of use, encumbrance, and current estimated value, with the date and method of valuation;</w:t>
      </w:r>
    </w:p>
    <w:p>
      <w:pPr>
        <w:numPr>
          <w:ilvl w:val="0"/>
          <w:numId w:val="1008"/>
        </w:numPr>
        <w:pStyle w:val="PullQuote"/>
      </w:pPr>
      <w:r>
        <w:t xml:space="preserve">mineral, timber, water, energy, carbon, conservation, and other natural-resource interests;</w:t>
      </w:r>
    </w:p>
    <w:p>
      <w:pPr>
        <w:numPr>
          <w:ilvl w:val="0"/>
          <w:numId w:val="1008"/>
        </w:numPr>
        <w:pStyle w:val="PullQuote"/>
      </w:pPr>
      <w:r>
        <w:t xml:space="preserve">funds, investments, cash, receivables, and other financial assets at market value or book value as appropriate, with the accounting basis identified;</w:t>
      </w:r>
    </w:p>
    <w:p>
      <w:pPr>
        <w:numPr>
          <w:ilvl w:val="0"/>
          <w:numId w:val="1008"/>
        </w:numPr>
        <w:pStyle w:val="PullQuote"/>
      </w:pPr>
      <w:r>
        <w:t xml:space="preserve">all revenues, stated by source category, including disposition proceeds, royalties, bonuses, rents, timber receipts, grazing fees, interest, dividends, realized gains, and unrealized gains;</w:t>
      </w:r>
    </w:p>
    <w:p>
      <w:pPr>
        <w:numPr>
          <w:ilvl w:val="0"/>
          <w:numId w:val="1008"/>
        </w:numPr>
        <w:pStyle w:val="PullQuote"/>
      </w:pPr>
      <w:r>
        <w:t xml:space="preserve">all expenditures, administrative charges, management charges, legal expenses, consultant expenses, investment expenses, payments to third parties, and transfers from trust assets or trust revenues, with the legal authority for each category cited;</w:t>
      </w:r>
    </w:p>
    <w:p>
      <w:pPr>
        <w:numPr>
          <w:ilvl w:val="0"/>
          <w:numId w:val="1008"/>
        </w:numPr>
        <w:pStyle w:val="PullQuote"/>
      </w:pPr>
      <w:r>
        <w:t xml:space="preserve">every transfer out of the trust, including transfers to [State], a state agency, a local government, a beneficiary institution, a beneficiary distribution account, or a non-trust account;</w:t>
      </w:r>
    </w:p>
    <w:p>
      <w:pPr>
        <w:numPr>
          <w:ilvl w:val="0"/>
          <w:numId w:val="1008"/>
        </w:numPr>
        <w:pStyle w:val="PullQuote"/>
      </w:pPr>
      <w:r>
        <w:t xml:space="preserve">all distributions to beneficiary institutions or beneficiary funds, including the formula used and any amounts withheld, delayed, redirected, or offset;</w:t>
      </w:r>
    </w:p>
    <w:p>
      <w:pPr>
        <w:numPr>
          <w:ilvl w:val="0"/>
          <w:numId w:val="1008"/>
        </w:numPr>
        <w:pStyle w:val="PullQuote"/>
      </w:pPr>
      <w:r>
        <w:t xml:space="preserve">all dispositions of public trust property, including the property, counterparty, method, valuation evidence, consideration received, appraisers, findings, and destination of proceeds;</w:t>
      </w:r>
    </w:p>
    <w:p>
      <w:pPr>
        <w:numPr>
          <w:ilvl w:val="0"/>
          <w:numId w:val="1008"/>
        </w:numPr>
        <w:pStyle w:val="PullQuote"/>
      </w:pPr>
      <w:r>
        <w:t xml:space="preserve">all leases, licenses, easements, rights-of-way, concessions, extraction agreements, and encumbrances materially affecting public trust property;</w:t>
      </w:r>
    </w:p>
    <w:p>
      <w:pPr>
        <w:numPr>
          <w:ilvl w:val="0"/>
          <w:numId w:val="1008"/>
        </w:numPr>
        <w:pStyle w:val="PullQuote"/>
      </w:pPr>
      <w:r>
        <w:t xml:space="preserve">all debt, obligations, liabilities, contingent liabilities, and claims asserted by or against the trust;</w:t>
      </w:r>
    </w:p>
    <w:p>
      <w:pPr>
        <w:numPr>
          <w:ilvl w:val="0"/>
          <w:numId w:val="1008"/>
        </w:numPr>
        <w:pStyle w:val="PullQuote"/>
      </w:pPr>
      <w:r>
        <w:t xml:space="preserve">all pending litigation, settlement, release, or administrative proceeding materially affecting the trust;</w:t>
      </w:r>
    </w:p>
    <w:p>
      <w:pPr>
        <w:numPr>
          <w:ilvl w:val="0"/>
          <w:numId w:val="1008"/>
        </w:numPr>
        <w:pStyle w:val="PullQuote"/>
      </w:pPr>
      <w:r>
        <w:t xml:space="preserve">all known missing, disputed, commingled, or unreconciled public trust property or proceeds;</w:t>
      </w:r>
    </w:p>
    <w:p>
      <w:pPr>
        <w:numPr>
          <w:ilvl w:val="0"/>
          <w:numId w:val="1008"/>
        </w:numPr>
        <w:pStyle w:val="PullQuote"/>
      </w:pPr>
      <w:r>
        <w:t xml:space="preserve">all related-party transactions, self-interested transactions, conflicts of interest, waivers, recusals, or ethics disclosures materially affecting the trust;</w:t>
      </w:r>
    </w:p>
    <w:p>
      <w:pPr>
        <w:numPr>
          <w:ilvl w:val="0"/>
          <w:numId w:val="1008"/>
        </w:numPr>
        <w:pStyle w:val="PullQuote"/>
      </w:pPr>
      <w:r>
        <w:t xml:space="preserve">records withheld from public disclosure, with a redaction log identifying the category of record, the legal basis for withholding, and whether a nonexempt summary is available; and</w:t>
      </w:r>
    </w:p>
    <w:p>
      <w:pPr>
        <w:numPr>
          <w:ilvl w:val="0"/>
          <w:numId w:val="1008"/>
        </w:numPr>
        <w:pStyle w:val="PullQuote"/>
      </w:pPr>
      <w:r>
        <w:t xml:space="preserve">any other information required by rule or by the governing trust instrument.</w:t>
      </w:r>
    </w:p>
    <w:p>
      <w:pPr>
        <w:pStyle w:val="FirstParagraph"/>
      </w:pPr>
      <w:r>
        <w:rPr>
          <w:i/>
        </w:rPr>
        <w:t xml:space="preserve">The problem this fixes.</w:t>
      </w:r>
      <w:r>
        <w:t xml:space="preserve"> </w:t>
      </w:r>
      <w:r>
        <w:t xml:space="preserve">Many trust-land states publish no single beneficiary-facing annual statement that consolidates the corpus, the land inventory, the receipts, the expenses, the dispositions, and the distributions in one place. Even diligent states scatter the pieces across budget documents, agency reports, and footnotes that no parent — and frankly no legislator — could assemble into an answer to the basic question:</w:t>
      </w:r>
      <w:r>
        <w:t xml:space="preserve"> </w:t>
      </w:r>
      <w:r>
        <w:rPr>
          <w:i/>
        </w:rPr>
        <w:t xml:space="preserve">what is the condition of our trust?</w:t>
      </w:r>
      <w:r>
        <w:t xml:space="preserve"> </w:t>
      </w:r>
      <w:r>
        <w:t xml:space="preserve">The sixteen required elements were reverse-engineered from the questions beneficiaries have had to go to court to get answered: What is the corpus? What came in? What went out, to whom, under what authority? What did each beneficiary receive? What was sold, to whom, for how much, by what process?</w:t>
      </w:r>
    </w:p>
    <w:p>
      <w:pPr>
        <w:pStyle w:val="BodyText"/>
      </w:pPr>
      <w:r>
        <w:rPr>
          <w:i/>
        </w:rPr>
        <w:t xml:space="preserve">Why it is drafted this way.</w:t>
      </w:r>
      <w:r>
        <w:t xml:space="preserve"> </w:t>
      </w:r>
      <w:r>
        <w:t xml:space="preserve">Three pieces of quiet engineering carry most of the weight. Item (6) requires the legal authority for every category of expense, charge, and transfer to be cited on the trustee’s own certified report — so a payment with no authority behind it has nowhere to hide. Item (13) makes the trustee state its own unknowns: every known missing, disputed, commingled, or unreconciled asset, certified annually, so the loose ends the beneficiaries would otherwise discover by accident appear in the trustee’s own document. And item (15) polices the last refuge — anything withheld from disclosure must appear in a redaction log with the legal basis stated, so even secrecy leaves a public record of itself. The comparative-figures requirement makes trends visible to anyone with a ruler. Elsewhere in the same article, the act requires the underlying data in machine-readable form — so districts, journalists, and researchers can do their own arithmetic — and forbids satisfying the duty with general-purpose state financial reports, which is precisely where the information gets buried today.</w:t>
      </w:r>
    </w:p>
    <w:p>
      <w:pPr>
        <w:pStyle w:val="BodyText"/>
      </w:pPr>
      <w:r>
        <w:rPr>
          <w:i/>
        </w:rPr>
        <w:t xml:space="preserve">The dials.</w:t>
      </w:r>
      <w:r>
        <w:t xml:space="preserve"> </w:t>
      </w:r>
      <w:r>
        <w:t xml:space="preserve">The number of prior periods shown for comparison (the draft brackets four), and the publication and retention windows next door in Section 303 (the draft brackets twenty years).</w:t>
      </w:r>
    </w:p>
    <w:p>
      <w:r>
        <w:pict>
          <v:rect style="width:0;height:1.5pt" o:hralign="center" o:hrstd="t" o:hr="t"/>
        </w:pict>
      </w:r>
    </w:p>
    <w:p>
      <w:pPr>
        <w:pStyle w:val="Heading2"/>
      </w:pPr>
      <w:bookmarkStart w:id="130" w:name="X834ebfe3356d47de45b8b9195a9f62a43a5e159"/>
      <w:r>
        <w:t xml:space="preserve">Section 305. Effect of Failure to Account.</w:t>
      </w:r>
      <w:bookmarkEnd w:id="130"/>
    </w:p>
    <w:p>
      <w:pPr>
        <w:numPr>
          <w:ilvl w:val="0"/>
          <w:numId w:val="1009"/>
        </w:numPr>
        <w:pStyle w:val="PullQuote"/>
      </w:pPr>
      <w:r>
        <w:t xml:space="preserve">If a state trustee fails to render a materially complete accounting required by this Article, the trustee bears the burden of proving that challenged expenditures, transfers, dispositions, losses, or omissions were lawful and faithful to the trust.</w:t>
      </w:r>
    </w:p>
    <w:p>
      <w:pPr>
        <w:numPr>
          <w:ilvl w:val="0"/>
          <w:numId w:val="1009"/>
        </w:numPr>
        <w:pStyle w:val="PullQuote"/>
      </w:pPr>
      <w:r>
        <w:t xml:space="preserve">A limitation period, laches defense, notice period, or similar time-based defense may not begin to run against a trust claim until the state trustee has made a materially complete disclosure sufficient to put a beneficiary representative on reasonable notice of the claim, except as otherwise required by [state constitution], federal law, or the governing trust instrument.</w:t>
      </w:r>
    </w:p>
    <w:p>
      <w:pPr>
        <w:numPr>
          <w:ilvl w:val="0"/>
          <w:numId w:val="1009"/>
        </w:numPr>
        <w:pStyle w:val="PullQuote"/>
      </w:pPr>
      <w:r>
        <w:t xml:space="preserve">Failure to account does not itself establish breach of trust for every transaction during the accounting period, but it authorizes appropriate equitable relief to obtain information and protect the trust.</w:t>
      </w:r>
    </w:p>
    <w:p>
      <w:pPr>
        <w:pStyle w:val="FirstParagraph"/>
      </w:pPr>
      <w:r>
        <w:rPr>
          <w:i/>
        </w:rPr>
        <w:t xml:space="preserve">The problem this fixes.</w:t>
      </w:r>
      <w:r>
        <w:t xml:space="preserve"> </w:t>
      </w:r>
      <w:r>
        <w:t xml:space="preserve">Toothless reporting mandates. Governments are full of reports that statutes require and nobody files. An accounting requirement with no consequence is a suggestion.</w:t>
      </w:r>
    </w:p>
    <w:p>
      <w:pPr>
        <w:pStyle w:val="BodyText"/>
      </w:pPr>
      <w:r>
        <w:rPr>
          <w:i/>
        </w:rPr>
        <w:t xml:space="preserve">Why it is drafted this way.</w:t>
      </w:r>
      <w:r>
        <w:t xml:space="preserve"> </w:t>
      </w:r>
      <w:r>
        <w:t xml:space="preserve">The tooth is the burden shift in subsection (a). A trustee that fails to account does not merely owe a late report — it litigates the unaccounted period with the burden of proving that its own transactions were lawful and faithful to the trust. This is not an innovation; it is hornbook private-trust law, built on the sensible theory that the party who controls the records should bear the cost of their absence. The act simply declines to give public trustees a gentler rule than any bank trustee has ever lived under. Subsection (b) adds the companion rule that makes the first one matter across decades: the limitations clock does not start against a trust claim until the trustee has disclosed enough to put a beneficiary on reasonable notice of it. A trustee cannot withhold the statement for twenty years and then plead that the complaint came too late. And subsection (c) keeps the rule honest in the other direction: failure to account is not itself a verdict on every transaction — it opens the books and shifts the burden; it does not skip the trial. Keeping clean books becomes the cheap option — which is the whole idea.</w:t>
      </w:r>
    </w:p>
    <w:p>
      <w:pPr>
        <w:pStyle w:val="BodyText"/>
      </w:pPr>
      <w:r>
        <w:rPr>
          <w:i/>
        </w:rPr>
        <w:t xml:space="preserve">The dials.</w:t>
      </w:r>
      <w:r>
        <w:t xml:space="preserve"> </w:t>
      </w:r>
      <w:r>
        <w:t xml:space="preserve">The tolling rule in subsection (b) is the act’s most legally aggressive timing provision; the act’s own counsel flag directs state-by-state testing against limitation, repose, laches, and finality doctrine.</w:t>
      </w:r>
    </w:p>
    <w:p>
      <w:r>
        <w:pict>
          <v:rect style="width:0;height:1.5pt" o:hralign="center" o:hrstd="t" o:hr="t"/>
        </w:pict>
      </w:r>
    </w:p>
    <w:p>
      <w:pPr>
        <w:pStyle w:val="Heading2"/>
      </w:pPr>
      <w:bookmarkStart w:id="131" w:name="X90a4d7fdf55138169ad1a2a9e191586fb8b04f3"/>
      <w:r>
        <w:t xml:space="preserve">Section 401. Standing to Enforce Public Educational Trusts.</w:t>
      </w:r>
      <w:bookmarkEnd w:id="131"/>
    </w:p>
    <w:p>
      <w:pPr>
        <w:numPr>
          <w:ilvl w:val="0"/>
          <w:numId w:val="1010"/>
        </w:numPr>
        <w:pStyle w:val="Compact"/>
      </w:pPr>
      <w:r>
        <w:t xml:space="preserve">The following may bring a civil action in court to enforce a public educational trust:</w:t>
      </w:r>
    </w:p>
    <w:p>
      <w:pPr>
        <w:pStyle w:val="PullQuote"/>
      </w:pPr>
      <w:r>
        <w:t xml:space="preserve">  (1) a beneficiary institution;</w:t>
      </w:r>
    </w:p>
    <w:p>
      <w:pPr>
        <w:pStyle w:val="PullQuote"/>
      </w:pPr>
      <w:r>
        <w:t xml:space="preserve">  (2) a beneficiary representative;</w:t>
      </w:r>
    </w:p>
    <w:p>
      <w:pPr>
        <w:pStyle w:val="PullQuote"/>
      </w:pPr>
      <w:r>
        <w:t xml:space="preserve">  (3) a future-beneficiary representative appointed under Section 402;</w:t>
      </w:r>
    </w:p>
    <w:p>
      <w:pPr>
        <w:pStyle w:val="PullQuote"/>
      </w:pPr>
      <w:r>
        <w:t xml:space="preserve">  (4) the Independent Enforcement Officer;</w:t>
      </w:r>
    </w:p>
    <w:p>
      <w:pPr>
        <w:pStyle w:val="PullQuote"/>
      </w:pPr>
      <w:r>
        <w:t xml:space="preserve">  (5) the [Attorney General], if the [Attorney General] does not have a conflict of interest under Section 504;</w:t>
      </w:r>
    </w:p>
    <w:p>
      <w:pPr>
        <w:pStyle w:val="PullQuote"/>
      </w:pPr>
      <w:r>
        <w:t xml:space="preserve">  (6) the [State Auditor], [Inspector General], or other public officer expressly authorized by [state law];</w:t>
      </w:r>
    </w:p>
    <w:p>
      <w:pPr>
        <w:pStyle w:val="PullQuote"/>
      </w:pPr>
      <w:r>
        <w:t xml:space="preserve">  (7) [optional: a taxpayer of [State], if the action is brought in good faith for relief to the trust, the plaintiff first gives notice to the Independent Enforcement Officer, and the court may require consolidation, lead counsel, or security only on a finding of bad faith or substantial duplication]; and</w:t>
      </w:r>
    </w:p>
    <w:p>
      <w:pPr>
        <w:pStyle w:val="PullQuote"/>
      </w:pPr>
      <w:r>
        <w:t xml:space="preserve">  (8) any other person or entity granted standing by [the Admission Act], [state constitution], federal law, statute, common law, or equity.</w:t>
      </w:r>
    </w:p>
    <w:p>
      <w:pPr>
        <w:numPr>
          <w:ilvl w:val="0"/>
          <w:numId w:val="1011"/>
        </w:numPr>
        <w:pStyle w:val="PullQuote"/>
      </w:pPr>
      <w:r>
        <w:t xml:space="preserve">A person or entity with standing under subsection (a) need not show injury different in kind from the injury suffered by other beneficiaries or members of the public if the action seeks relief for the trust and not private damages.</w:t>
      </w:r>
    </w:p>
    <w:p>
      <w:pPr>
        <w:numPr>
          <w:ilvl w:val="0"/>
          <w:numId w:val="1011"/>
        </w:numPr>
        <w:pStyle w:val="PullQuote"/>
      </w:pPr>
      <w:r>
        <w:t xml:space="preserve">Standing may not be denied because beneficiaries are numerous, indefinite, distributed across institutions, represented through public educational purposes, not yet born, not yet enrolled, or not presently receiving trust distributions.</w:t>
      </w:r>
    </w:p>
    <w:p>
      <w:pPr>
        <w:numPr>
          <w:ilvl w:val="0"/>
          <w:numId w:val="1011"/>
        </w:numPr>
        <w:pStyle w:val="PullQuote"/>
      </w:pPr>
      <w:r>
        <w:t xml:space="preserve">A court may consolidate duplicative actions, appoint lead counsel, stay a later-filed action, require coordination with the Independent Enforcement Officer, or enter other case-management orders necessary to protect the trust and avoid wasteful litigation.</w:t>
      </w:r>
    </w:p>
    <w:p>
      <w:pPr>
        <w:pStyle w:val="FirstParagraph"/>
      </w:pPr>
      <w:r>
        <w:rPr>
          <w:i/>
        </w:rPr>
        <w:t xml:space="preserve">The problem this fixes.</w:t>
      </w:r>
      <w:r>
        <w:t xml:space="preserve"> </w:t>
      </w:r>
      <w:r>
        <w:t xml:space="preserve">Before a court can ask whether a trust was breached, it must decide whether the person at the courthouse door is allowed to ask. In state after state, that threshold question has consumed years that never reached the merits. In Oregon, it took an appellate fight, decided in 2026, just to establish that the trust’s advocates could be heard at all. Every year spent litigating</w:t>
      </w:r>
      <w:r>
        <w:t xml:space="preserve"> </w:t>
      </w:r>
      <w:r>
        <w:rPr>
          <w:i/>
        </w:rPr>
        <w:t xml:space="preserve">who may sue</w:t>
      </w:r>
      <w:r>
        <w:t xml:space="preserve"> </w:t>
      </w:r>
      <w:r>
        <w:t xml:space="preserve">is a year the question</w:t>
      </w:r>
      <w:r>
        <w:t xml:space="preserve"> </w:t>
      </w:r>
      <w:r>
        <w:rPr>
          <w:i/>
        </w:rPr>
        <w:t xml:space="preserve">was the trust honored</w:t>
      </w:r>
      <w:r>
        <w:t xml:space="preserve"> </w:t>
      </w:r>
      <w:r>
        <w:t xml:space="preserve">goes unexamined — and trustees know it.</w:t>
      </w:r>
    </w:p>
    <w:p>
      <w:pPr>
        <w:pStyle w:val="BodyText"/>
      </w:pPr>
      <w:r>
        <w:rPr>
          <w:i/>
        </w:rPr>
        <w:t xml:space="preserve">Why it is drafted this way.</w:t>
      </w:r>
      <w:r>
        <w:t xml:space="preserve"> </w:t>
      </w:r>
      <w:r>
        <w:t xml:space="preserve">The list in subsection (a) answers the standing question once, in a paragraph, for everyone with a real stake: the beneficiary institution; the beneficiary representative — a defined term that sweeps in school boards and superintendents, district associations, parents and guardians of current students, and membership organizations, so watchdog groups need not parade individual children as plaintiffs; the appointed voice for future beneficiaries; the independent enforcer created in Article 5; the attorney general when unconflicted; and the state’s auditing officers. Subsection (b) forecloses the special-injury argument: a plaintiff suing for the trust need not show a wound different from everyone else’s. Subsection (c) then retires the rest of the standard toolkit for keeping trust cases out of court: standing cannot be denied because the beneficiaries are numerous, indefinite,</w:t>
      </w:r>
      <w:r>
        <w:t xml:space="preserve"> </w:t>
      </w:r>
      <w:r>
        <w:rPr>
          <w:i/>
        </w:rPr>
        <w:t xml:space="preserve">not yet born</w:t>
      </w:r>
      <w:r>
        <w:t xml:space="preserve">, or not presently receiving distributions. And subsection (d) answers the floodgates objection in advance with case-management tools — consolidation, lead counsel, coordination — rather than a locked door. The incentives stay clean throughout: under Section 705, quoted below, any recovery goes to the trust, not to the plaintiff’s pocket. This is not a bounty system. It is a key to a door.</w:t>
      </w:r>
    </w:p>
    <w:p>
      <w:pPr>
        <w:pStyle w:val="BodyText"/>
      </w:pPr>
      <w:r>
        <w:rPr>
          <w:i/>
        </w:rPr>
        <w:t xml:space="preserve">The dials.</w:t>
      </w:r>
      <w:r>
        <w:t xml:space="preserve"> </w:t>
      </w:r>
      <w:r>
        <w:t xml:space="preserve">The taxpayer provision in (a)(7) is entirely optional — the act’s biggest single dial. It maximizes enforcement but reliably draws</w:t>
      </w:r>
      <w:r>
        <w:t xml:space="preserve"> </w:t>
      </w:r>
      <w:r>
        <w:t xml:space="preserve">“</w:t>
      </w:r>
      <w:r>
        <w:t xml:space="preserve">floodgates</w:t>
      </w:r>
      <w:r>
        <w:t xml:space="preserve">”</w:t>
      </w:r>
      <w:r>
        <w:t xml:space="preserve"> </w:t>
      </w:r>
      <w:r>
        <w:t xml:space="preserve">objections; the good-faith screen, notice requirement, and consolidation power are the drafted answer. States also choose which auditing or inspector-general officers join the list in (a)(6).</w:t>
      </w:r>
    </w:p>
    <w:p>
      <w:r>
        <w:pict>
          <v:rect style="width:0;height:1.5pt" o:hralign="center" o:hrstd="t" o:hr="t"/>
        </w:pict>
      </w:r>
    </w:p>
    <w:p>
      <w:pPr>
        <w:pStyle w:val="Heading2"/>
      </w:pPr>
      <w:bookmarkStart w:id="132" w:name="X8b6587be88587e3c361adc3ce8561b992a95b33"/>
      <w:r>
        <w:t xml:space="preserve">Section 402. Representation of Future and Unrepresented Beneficiaries.</w:t>
      </w:r>
      <w:bookmarkEnd w:id="132"/>
    </w:p>
    <w:p>
      <w:pPr>
        <w:numPr>
          <w:ilvl w:val="0"/>
          <w:numId w:val="1012"/>
        </w:numPr>
        <w:pStyle w:val="PullQuote"/>
      </w:pPr>
      <w:r>
        <w:t xml:space="preserve">Future beneficiaries have enforceable trust interests to the extent recognized by the governing trust instrument and existing law.</w:t>
      </w:r>
    </w:p>
    <w:p>
      <w:pPr>
        <w:numPr>
          <w:ilvl w:val="0"/>
          <w:numId w:val="1012"/>
        </w:numPr>
        <w:pStyle w:val="PullQuote"/>
      </w:pPr>
      <w:r>
        <w:t xml:space="preserve">In any action under this [Act], the court shall determine whether future beneficiaries and otherwise unrepresented beneficiary interests are adequately represented.</w:t>
      </w:r>
    </w:p>
    <w:p>
      <w:pPr>
        <w:numPr>
          <w:ilvl w:val="0"/>
          <w:numId w:val="1012"/>
        </w:numPr>
        <w:pStyle w:val="PullQuote"/>
      </w:pPr>
      <w:r>
        <w:t xml:space="preserve">If the court finds inadequate representation, the court shall appoint a future-beneficiary representative, guardian ad litem, special fiduciary, or other representative to protect those interests.</w:t>
      </w:r>
    </w:p>
    <w:p>
      <w:pPr>
        <w:numPr>
          <w:ilvl w:val="0"/>
          <w:numId w:val="1012"/>
        </w:numPr>
        <w:pStyle w:val="PullQuote"/>
      </w:pPr>
      <w:r>
        <w:t xml:space="preserve">A state trustee, trustee agency, or the [Attorney General] may not be deemed an adequate representative of future beneficiaries on a matter in which the trustee, trustee agency, or [Attorney General] has a conflict of interest.</w:t>
      </w:r>
    </w:p>
    <w:p>
      <w:pPr>
        <w:numPr>
          <w:ilvl w:val="0"/>
          <w:numId w:val="1012"/>
        </w:numPr>
        <w:pStyle w:val="PullQuote"/>
      </w:pPr>
      <w:r>
        <w:t xml:space="preserve">A judgment, settlement, release, consent decree, or remedial plan that materially affects future beneficiaries binds future beneficiaries only if the court finds that:</w:t>
      </w:r>
    </w:p>
    <w:p>
      <w:pPr>
        <w:pStyle w:val="PullQuote"/>
      </w:pPr>
      <w:r>
        <w:t xml:space="preserve">  (1) future beneficiaries received adequate representation;</w:t>
      </w:r>
    </w:p>
    <w:p>
      <w:pPr>
        <w:pStyle w:val="PullQuote"/>
      </w:pPr>
      <w:r>
        <w:t xml:space="preserve">  (2) notice was reasonably calculated to inform beneficiary institutions and beneficiary representatives;</w:t>
      </w:r>
    </w:p>
    <w:p>
      <w:pPr>
        <w:pStyle w:val="PullQuote"/>
      </w:pPr>
      <w:r>
        <w:t xml:space="preserve">  (3) the relief is fair, reasonable, and faithful to the trust; and</w:t>
      </w:r>
    </w:p>
    <w:p>
      <w:pPr>
        <w:pStyle w:val="PullQuote"/>
      </w:pPr>
      <w:r>
        <w:t xml:space="preserve">  (4) the record includes a sufficient accounting or factual basis to evaluate the effect on trust corpus and trust income.</w:t>
      </w:r>
    </w:p>
    <w:p>
      <w:pPr>
        <w:pStyle w:val="BodyText"/>
      </w:pPr>
      <w:r>
        <w:rPr>
          <w:i/>
        </w:rPr>
        <w:t xml:space="preserve">The problem this fixes.</w:t>
      </w:r>
      <w:r>
        <w:t xml:space="preserve"> </w:t>
      </w:r>
      <w:r>
        <w:t xml:space="preserve">The beneficiaries with the largest aggregate stake in a perpetual trust — all the generations still to come — are the only ones who can never appear in court. Without a mechanism to give them a voice, even honest litigation can betray them: a settlement or consent decree can lawfully trade away future value to resolve present claims, with every party at the table satisfied and the real losers not yet born.</w:t>
      </w:r>
    </w:p>
    <w:p>
      <w:pPr>
        <w:pStyle w:val="BodyText"/>
      </w:pPr>
      <w:r>
        <w:rPr>
          <w:i/>
        </w:rPr>
        <w:t xml:space="preserve">Why it is drafted this way.</w:t>
      </w:r>
      <w:r>
        <w:t xml:space="preserve"> </w:t>
      </w:r>
      <w:r>
        <w:t xml:space="preserve">The court-appointment model is borrowed from machinery the law already trusts — guardian ad litem practice and the virtual-representation doctrine, which have given the unborn a seat at the table in private trusts for generations; the act extends the same courtesy to the children of the public ones. Two additions sharpen it. Subsection (d) names the disqualification that should be obvious and never has been: the trustee being sued, and a conflicted attorney general, cannot be deemed the unborn’s adequate representative. And subsection (e) is the clause that protects future beneficiaries from the settlement itself: no judgment, release, or consent decree that materially affects them binds them unless the court finds, on a real record, that they were genuinely represented, that notice went out, that the relief is faithful to the trust, and that the accounting before the court is sufficient to evaluate what the deal does to corpus and income. Section 707, quoted below, builds the same gate into every material settlement.</w:t>
      </w:r>
    </w:p>
    <w:p>
      <w:pPr>
        <w:pStyle w:val="BodyText"/>
      </w:pPr>
      <w:r>
        <w:rPr>
          <w:i/>
        </w:rPr>
        <w:t xml:space="preserve">The dials.</w:t>
      </w:r>
      <w:r>
        <w:t xml:space="preserve"> </w:t>
      </w:r>
      <w:r>
        <w:t xml:space="preserve">Who may serve as the representative. The draft leaves the representative’s compensation to the court and state law.</w:t>
      </w:r>
    </w:p>
    <w:p>
      <w:r>
        <w:pict>
          <v:rect style="width:0;height:1.5pt" o:hralign="center" o:hrstd="t" o:hr="t"/>
        </w:pict>
      </w:r>
    </w:p>
    <w:p>
      <w:pPr>
        <w:pStyle w:val="Heading2"/>
      </w:pPr>
      <w:bookmarkStart w:id="133" w:name="X87007630208a4940dd1fdb520916b6016aa582e"/>
      <w:r>
        <w:t xml:space="preserve">Section 504. Attorney-General Conflict — with Section 505’s rule on defense costs.</w:t>
      </w:r>
      <w:bookmarkEnd w:id="133"/>
    </w:p>
    <w:p>
      <w:pPr>
        <w:pStyle w:val="FirstParagraph"/>
      </w:pPr>
      <w:r>
        <w:rPr>
          <w:i/>
        </w:rPr>
        <w:t xml:space="preserve">From Section 504, Attorney-General Conflict — in full:</w:t>
      </w:r>
    </w:p>
    <w:p>
      <w:pPr>
        <w:numPr>
          <w:ilvl w:val="0"/>
          <w:numId w:val="1013"/>
        </w:numPr>
        <w:pStyle w:val="Compact"/>
      </w:pPr>
      <w:r>
        <w:t xml:space="preserve">The [Attorney General] has a conflict of interest for purposes of this [Act] when the [Attorney General] or the [Attorney General’s office]:</w:t>
      </w:r>
    </w:p>
    <w:p>
      <w:pPr>
        <w:pStyle w:val="PullQuote"/>
      </w:pPr>
      <w:r>
        <w:t xml:space="preserve">  (1) represents, advises, or defends a state trustee, trustee agency, board member, officer, or employee concerning conduct alleged to be a breach of trust;</w:t>
      </w:r>
    </w:p>
    <w:p>
      <w:pPr>
        <w:pStyle w:val="PullQuote"/>
      </w:pPr>
      <w:r>
        <w:t xml:space="preserve">  (2) has approved, defended, or materially participated in the challenged transaction or policy;</w:t>
      </w:r>
    </w:p>
    <w:p>
      <w:pPr>
        <w:pStyle w:val="PullQuote"/>
      </w:pPr>
      <w:r>
        <w:t xml:space="preserve">  (3) is paid from public trust property to defend the challenged conduct; or</w:t>
      </w:r>
    </w:p>
    <w:p>
      <w:pPr>
        <w:pStyle w:val="PullQuote"/>
      </w:pPr>
      <w:r>
        <w:t xml:space="preserve">  (4) otherwise cannot represent the trust and its beneficiaries with undivided loyalty.</w:t>
      </w:r>
    </w:p>
    <w:p>
      <w:pPr>
        <w:numPr>
          <w:ilvl w:val="0"/>
          <w:numId w:val="1014"/>
        </w:numPr>
        <w:pStyle w:val="PullQuote"/>
      </w:pPr>
      <w:r>
        <w:t xml:space="preserve">When a conflict exists, the [Attorney General] may represent the state trustee or other state defendant to the extent permitted by law, but may not represent the trust, control enforcement of trust claims, settle trust claims, or oppose the Independent Enforcement Officer on behalf of the trust.</w:t>
      </w:r>
    </w:p>
    <w:p>
      <w:pPr>
        <w:numPr>
          <w:ilvl w:val="0"/>
          <w:numId w:val="1014"/>
        </w:numPr>
        <w:pStyle w:val="PullQuote"/>
      </w:pPr>
      <w:r>
        <w:t xml:space="preserve">The Independent Enforcement Officer, or court-appointed special counsel under Section 501(e), has authority to represent the trust’s enforcement interest when the [Attorney General] is conflicted.</w:t>
      </w:r>
    </w:p>
    <w:p>
      <w:pPr>
        <w:pStyle w:val="FirstParagraph"/>
      </w:pPr>
      <w:r>
        <w:rPr>
          <w:i/>
        </w:rPr>
        <w:t xml:space="preserve">From Section 505, Funding; No Trustee Defense From Trust Assets — subsections (b) and (c):</w:t>
      </w:r>
    </w:p>
    <w:p>
      <w:pPr>
        <w:numPr>
          <w:ilvl w:val="0"/>
          <w:numId w:val="1015"/>
        </w:numPr>
        <w:pStyle w:val="PullQuote"/>
      </w:pPr>
      <w:r>
        <w:t xml:space="preserve">Public trust property may not be used to pay the legal defense costs of a state trustee, trustee agency, board member, officer, employee, or other defendant accused of breach of trust, except as expressly authorized by the governing trust instrument and existing law and approved by the court as consistent with fiduciary duties.</w:t>
      </w:r>
    </w:p>
    <w:p>
      <w:pPr>
        <w:numPr>
          <w:ilvl w:val="0"/>
          <w:numId w:val="1015"/>
        </w:numPr>
        <w:pStyle w:val="PullQuote"/>
      </w:pPr>
      <w:r>
        <w:t xml:space="preserve">A court may permit reimbursement from an appropriate non-trust source, or from trust administration funds only if permitted by the governing trust instrument and existing law, after final determination that the defended conduct was faithful to the trust.</w:t>
      </w:r>
    </w:p>
    <w:p>
      <w:pPr>
        <w:pStyle w:val="FirstParagraph"/>
      </w:pPr>
      <w:r>
        <w:rPr>
          <w:i/>
        </w:rPr>
        <w:t xml:space="preserve">The problem this fixes.</w:t>
      </w:r>
      <w:r>
        <w:t xml:space="preserve"> </w:t>
      </w:r>
      <w:r>
        <w:t xml:space="preserve">In most states, the officer charged by law with enforcing public and charitable trusts — the attorney general — is also the lawyer who defends the trustee when its administration is challenged. The beneficiaries’ statutory protector sits at the defense table. And the defense is often paid from the trust itself, which means beneficiaries who sue to protect their trust finance both sides of their own lawsuit. No private trust system on earth would tolerate the arrangement; the public ones inherited it by accident and kept it by inertia.</w:t>
      </w:r>
    </w:p>
    <w:p>
      <w:pPr>
        <w:pStyle w:val="BodyText"/>
      </w:pPr>
      <w:r>
        <w:rPr>
          <w:i/>
        </w:rPr>
        <w:t xml:space="preserve">Why it is drafted this way.</w:t>
      </w:r>
      <w:r>
        <w:t xml:space="preserve"> </w:t>
      </w:r>
      <w:r>
        <w:t xml:space="preserve">The conflict is defined by objective facts — representing or defending the trustee on the challenged conduct, having approved or participated in the challenged transaction, being paid from trust property to defend it — not by anyone’s motion or discretion. That avoids case-by-case recusal fights and spares everyone the spectacle of the attorney general ruling on the attorney general’s own conflict. The conflict, the act insists, is structural, not personal: no bad faith is required, which is exactly why good intentions cannot cure it. The division of labor in subsection (b) is the careful part: a conflicted attorney general may still defend the state — every defendant gets a lawyer — but may not represent the trust, control its claims, settle them, or oppose the trust’s enforcer in the trust’s name. Subsection (c) ensures no enforcement vacuum: the authority sits with the Independent Enforcement Officer or court-appointed special counsel. And Section 505 closes the trust’s purse to the trustee’s defense bills, while its reimbursement pathway for a finally vindicated trustee answers the fairness objection without reopening the purse.</w:t>
      </w:r>
    </w:p>
    <w:p>
      <w:pPr>
        <w:pStyle w:val="BodyText"/>
      </w:pPr>
      <w:r>
        <w:rPr>
          <w:i/>
        </w:rPr>
        <w:t xml:space="preserve">The dials.</w:t>
      </w:r>
      <w:r>
        <w:t xml:space="preserve"> </w:t>
      </w:r>
      <w:r>
        <w:t xml:space="preserve">Where the Independent Enforcement Officer lives — the auditor’s office, the legislative branch, an independent executive office, or a court-appointed special fiduciary (Section 501 brackets all four) — and the non-trust funding source for the office.</w:t>
      </w:r>
    </w:p>
    <w:p>
      <w:r>
        <w:pict>
          <v:rect style="width:0;height:1.5pt" o:hralign="center" o:hrstd="t" o:hr="t"/>
        </w:pict>
      </w:r>
    </w:p>
    <w:p>
      <w:pPr>
        <w:pStyle w:val="Heading2"/>
      </w:pPr>
      <w:bookmarkStart w:id="134" w:name="Xd56ff9e759891486ff77d7f5dd286d1e1888cd3"/>
      <w:r>
        <w:t xml:space="preserve">Sections 601–605. Dispositions, Valuation, and Self-Dealing.</w:t>
      </w:r>
      <w:bookmarkEnd w:id="134"/>
    </w:p>
    <w:p>
      <w:pPr>
        <w:pStyle w:val="FirstParagraph"/>
      </w:pPr>
      <w:r>
        <w:rPr>
          <w:i/>
        </w:rPr>
        <w:t xml:space="preserve">From Section 603, Competitive Disposition Default — subsections (a) and (b):</w:t>
      </w:r>
    </w:p>
    <w:p>
      <w:pPr>
        <w:numPr>
          <w:ilvl w:val="0"/>
          <w:numId w:val="1016"/>
        </w:numPr>
        <w:pStyle w:val="PullQuote"/>
      </w:pPr>
      <w:r>
        <w:t xml:space="preserve">A disposition must be conducted as a competitive disposition unless an exception in subsection (c) applies.</w:t>
      </w:r>
    </w:p>
    <w:p>
      <w:pPr>
        <w:numPr>
          <w:ilvl w:val="0"/>
          <w:numId w:val="1016"/>
        </w:numPr>
        <w:pStyle w:val="PullQuote"/>
      </w:pPr>
      <w:r>
        <w:t xml:space="preserve">A competitive disposition must use procedures reasonably designed to obtain fair market value or the best fiduciary value available for the trust, including public notice, objective selection criteria, adequate response time, and public disclosure of the result.</w:t>
      </w:r>
    </w:p>
    <w:p>
      <w:pPr>
        <w:pStyle w:val="FirstParagraph"/>
      </w:pPr>
      <w:r>
        <w:rPr>
          <w:i/>
        </w:rPr>
        <w:t xml:space="preserve">From Section 602, Valuation Safeguards — subsections (b) and (c):</w:t>
      </w:r>
    </w:p>
    <w:p>
      <w:pPr>
        <w:numPr>
          <w:ilvl w:val="0"/>
          <w:numId w:val="1017"/>
        </w:numPr>
        <w:pStyle w:val="PullQuote"/>
      </w:pPr>
      <w:r>
        <w:t xml:space="preserve">A self-interested transaction under Section 604 must be supported by at least two independent appraisals unless the court finds that another valuation method provides equal or greater protection to the trust.</w:t>
      </w:r>
    </w:p>
    <w:p>
      <w:pPr>
        <w:numPr>
          <w:ilvl w:val="0"/>
          <w:numId w:val="1017"/>
        </w:numPr>
        <w:pStyle w:val="PullQuote"/>
      </w:pPr>
      <w:r>
        <w:t xml:space="preserve">An appraisal, valuation, market study, or fairness opinion procured or controlled by a proposed purchaser, lessee, exchange partner, or other counterparty may not be the sole valuation or controlling valuation relied upon by a state trustee.</w:t>
      </w:r>
    </w:p>
    <w:p>
      <w:pPr>
        <w:pStyle w:val="FirstParagraph"/>
      </w:pPr>
      <w:r>
        <w:rPr>
          <w:i/>
        </w:rPr>
        <w:t xml:space="preserve">From Section 604, Self-Interested Transactions — in full:</w:t>
      </w:r>
    </w:p>
    <w:p>
      <w:pPr>
        <w:numPr>
          <w:ilvl w:val="0"/>
          <w:numId w:val="1018"/>
        </w:numPr>
        <w:pStyle w:val="PullQuote"/>
      </w:pPr>
      <w:r>
        <w:t xml:space="preserve">A disposition is self-interested if [State] in a nonfiduciary capacity, a nonbeneficiary state agency, a local government, a trustee, an officer, an employee, a related party, or a person participating in trust administration acquires public trust property or receives a benefit from the disposition other than a benefit shared by the trust beneficiaries.</w:t>
      </w:r>
    </w:p>
    <w:p>
      <w:pPr>
        <w:numPr>
          <w:ilvl w:val="0"/>
          <w:numId w:val="1018"/>
        </w:numPr>
        <w:pStyle w:val="PullQuote"/>
      </w:pPr>
      <w:r>
        <w:t xml:space="preserve">A self-interested transaction is voidable unless the state trustee proves that:</w:t>
      </w:r>
    </w:p>
    <w:p>
      <w:pPr>
        <w:pStyle w:val="PullQuote"/>
      </w:pPr>
      <w:r>
        <w:t xml:space="preserve">  (1) the transaction was authorized by the governing trust instrument and existing law;</w:t>
      </w:r>
    </w:p>
    <w:p>
      <w:pPr>
        <w:pStyle w:val="PullQuote"/>
      </w:pPr>
      <w:r>
        <w:t xml:space="preserve">  (2) the transaction was fair to the trust;</w:t>
      </w:r>
    </w:p>
    <w:p>
      <w:pPr>
        <w:pStyle w:val="PullQuote"/>
      </w:pPr>
      <w:r>
        <w:t xml:space="preserve">  (3) the trust received fair market value or equivalent fiduciary value;</w:t>
      </w:r>
    </w:p>
    <w:p>
      <w:pPr>
        <w:pStyle w:val="PullQuote"/>
      </w:pPr>
      <w:r>
        <w:t xml:space="preserve">  (4) conflicts were disclosed and managed before approval;</w:t>
      </w:r>
    </w:p>
    <w:p>
      <w:pPr>
        <w:pStyle w:val="PullQuote"/>
      </w:pPr>
      <w:r>
        <w:t xml:space="preserve">  (5) the requirements of Sections 601, 602, and 603 were satisfied; and</w:t>
      </w:r>
    </w:p>
    <w:p>
      <w:pPr>
        <w:pStyle w:val="PullQuote"/>
      </w:pPr>
      <w:r>
        <w:t xml:space="preserve">  (6) present and future beneficiaries were adequately protected.</w:t>
      </w:r>
    </w:p>
    <w:p>
      <w:pPr>
        <w:pStyle w:val="BodyText"/>
      </w:pPr>
      <w:r>
        <w:rPr>
          <w:i/>
        </w:rPr>
        <w:t xml:space="preserve">From Section 605, Review and Voidability — subsections (b) and (c):</w:t>
      </w:r>
    </w:p>
    <w:p>
      <w:pPr>
        <w:numPr>
          <w:ilvl w:val="0"/>
          <w:numId w:val="1019"/>
        </w:numPr>
        <w:pStyle w:val="PullQuote"/>
      </w:pPr>
      <w:r>
        <w:t xml:space="preserve">A disposition approved in material violation of this Article is voidable in equity.</w:t>
      </w:r>
    </w:p>
    <w:p>
      <w:pPr>
        <w:numPr>
          <w:ilvl w:val="0"/>
          <w:numId w:val="1019"/>
        </w:numPr>
        <w:pStyle w:val="PullQuote"/>
      </w:pPr>
      <w:r>
        <w:t xml:space="preserve">In an action under this Section, the court may enjoin a proposed disposition, suspend closing pending review, require additional accounting or valuation, rescind or reform a disposition to the extent permitted by law, impose a constructive trust or equitable lien, surcharge a breaching fiduciary, require restoration to the trust, order disgorgement from a knowing participant, or grant any other equitable relief authorized by Article 7.</w:t>
      </w:r>
    </w:p>
    <w:p>
      <w:pPr>
        <w:pStyle w:val="FirstParagraph"/>
      </w:pPr>
      <w:r>
        <w:rPr>
          <w:i/>
        </w:rPr>
        <w:t xml:space="preserve">The problem this fixes.</w:t>
      </w:r>
      <w:r>
        <w:t xml:space="preserve"> </w:t>
      </w:r>
      <w:r>
        <w:t xml:space="preserve">State-to-state self-dealing: one arm of the state acquiring trust assets from another arm, with the state effectively setting the price it pays itself. The pattern is current, not historical. In Oregon, the adequacy of the consideration in the decoupling of the Elliott State Forest from the Common School Fund is contested in active litigation; in other trust-land states, legislatures have directed noncompetitive sales of trust land to sister agencies. Section 602(c) names the pattern’s favorite instrument: the buyer-procured appraisal, the price of a trust asset set by a valuation commissioned, paid for, or scoped by the very party acquiring it. In private fiduciary work, pricing a sale off the buyer’s appraisal would be malpractice.</w:t>
      </w:r>
    </w:p>
    <w:p>
      <w:pPr>
        <w:pStyle w:val="BodyText"/>
      </w:pPr>
      <w:r>
        <w:rPr>
          <w:i/>
        </w:rPr>
        <w:t xml:space="preserve">Why it is drafted this way.</w:t>
      </w:r>
      <w:r>
        <w:t xml:space="preserve"> </w:t>
      </w:r>
      <w:r>
        <w:t xml:space="preserve">The act does not flatly prohibit the state from acquiring trust assets — sometimes the state genuinely is the best buyer. It makes such acquisitions</w:t>
      </w:r>
      <w:r>
        <w:t xml:space="preserve"> </w:t>
      </w:r>
      <w:r>
        <w:rPr>
          <w:i/>
        </w:rPr>
        <w:t xml:space="preserve">provable</w:t>
      </w:r>
      <w:r>
        <w:t xml:space="preserve">. A self-interested transaction is voidable unless the trustee proves it was fair, that the trust received fair value, that conflicts were disclosed and managed before approval, and that every safeguard in the article was satisfied — the burden of proof on the trustee throughout, which is the classical private-trust treatment of self-dealing, applied without discount to the public context. The appraisal rules require the trustee’s own independent valuation — by an appraiser the trustee or a neutral procurement selects, never the counterparty, and paid through a mechanism that preserves independence — and a buyer’s number may never be the sole or controlling one; a self-interested deal needs two. The fights surface early by design: Section 601 requires published fiduciary findings before any major disposition is approved, and a noncompetitive deal must be published at least thirty days before final approval, so valuation disputes happen while they can still change the price, not years later in a courtroom. One change from the earlier draft deserves note: where the first draft charged a state-agency acquirer with notice of the act — foreclosing the innocent-buyer defense in terms — the merged act leaves bona fide purchaser rights to state law, while preserving every remedy against the breaching trustee, against knowing participants, and against the proceeds and substitute property still in the state’s hands.</w:t>
      </w:r>
    </w:p>
    <w:p>
      <w:pPr>
        <w:pStyle w:val="BodyText"/>
      </w:pPr>
      <w:r>
        <w:rPr>
          <w:i/>
        </w:rPr>
        <w:t xml:space="preserve">The dials.</w:t>
      </w:r>
      <w:r>
        <w:t xml:space="preserve"> </w:t>
      </w:r>
      <w:r>
        <w:t xml:space="preserve">The major-disposition threshold (a bracketed dollar amount and lease length); the de minimis floor; the bracketed thirty-day pre-approval publication window for noncompetitive deals; and the number of appraisals for a self-interested transaction (the draft requires two).</w:t>
      </w:r>
    </w:p>
    <w:p>
      <w:r>
        <w:pict>
          <v:rect style="width:0;height:1.5pt" o:hralign="center" o:hrstd="t" o:hr="t"/>
        </w:pict>
      </w:r>
    </w:p>
    <w:p>
      <w:pPr>
        <w:pStyle w:val="Heading2"/>
      </w:pPr>
      <w:bookmarkStart w:id="135" w:name="X39666cee1bbb40e17dd8abf43393037653405ea"/>
      <w:r>
        <w:t xml:space="preserve">Sections 702 and 703. The Immunity Waiver and the Claims Statutes.</w:t>
      </w:r>
      <w:bookmarkEnd w:id="135"/>
    </w:p>
    <w:p>
      <w:pPr>
        <w:pStyle w:val="FirstParagraph"/>
      </w:pPr>
      <w:r>
        <w:rPr>
          <w:i/>
        </w:rPr>
        <w:t xml:space="preserve">From Section 702, Limited Waiver of Sovereign and Governmental Immunity — in full:</w:t>
      </w:r>
    </w:p>
    <w:p>
      <w:pPr>
        <w:numPr>
          <w:ilvl w:val="0"/>
          <w:numId w:val="1020"/>
        </w:numPr>
        <w:pStyle w:val="PullQuote"/>
      </w:pPr>
      <w:r>
        <w:t xml:space="preserve">[State] waives sovereign immunity, governmental immunity, official-capacity immunity, and statutory immunity to the limited extent necessary for a court to hear and decide an action under this [Act] and grant equitable relief for a public educational trust.</w:t>
      </w:r>
    </w:p>
    <w:p>
      <w:pPr>
        <w:numPr>
          <w:ilvl w:val="0"/>
          <w:numId w:val="1020"/>
        </w:numPr>
        <w:pStyle w:val="PullQuote"/>
      </w:pPr>
      <w:r>
        <w:t xml:space="preserve">The waiver in subsection (a) applies to [State], a state trustee, trustee agency, state officer, state employee, board, commission, or public body in an official capacity.</w:t>
      </w:r>
    </w:p>
    <w:p>
      <w:pPr>
        <w:numPr>
          <w:ilvl w:val="0"/>
          <w:numId w:val="1020"/>
        </w:numPr>
        <w:pStyle w:val="PullQuote"/>
      </w:pPr>
      <w:r>
        <w:t xml:space="preserve">The waiver in subsection (a) is limited to equitable trust remedies and does not authorize:</w:t>
      </w:r>
    </w:p>
    <w:p>
      <w:pPr>
        <w:pStyle w:val="PullQuote"/>
      </w:pPr>
      <w:r>
        <w:t xml:space="preserve">  (1) private compensatory damages;</w:t>
      </w:r>
    </w:p>
    <w:p>
      <w:pPr>
        <w:pStyle w:val="PullQuote"/>
      </w:pPr>
      <w:r>
        <w:t xml:space="preserve">  (2) punitive damages;</w:t>
      </w:r>
    </w:p>
    <w:p>
      <w:pPr>
        <w:pStyle w:val="PullQuote"/>
      </w:pPr>
      <w:r>
        <w:t xml:space="preserve">  (3) tort damages;</w:t>
      </w:r>
    </w:p>
    <w:p>
      <w:pPr>
        <w:pStyle w:val="PullQuote"/>
      </w:pPr>
      <w:r>
        <w:t xml:space="preserve">  (4) damages for emotional distress, personal injury, or private economic loss;</w:t>
      </w:r>
    </w:p>
    <w:p>
      <w:pPr>
        <w:pStyle w:val="PullQuote"/>
      </w:pPr>
      <w:r>
        <w:t xml:space="preserve">  (5) a civil penalty unless separately authorized by [state law];</w:t>
      </w:r>
    </w:p>
    <w:p>
      <w:pPr>
        <w:pStyle w:val="PullQuote"/>
      </w:pPr>
      <w:r>
        <w:t xml:space="preserve">  (6) execution against unrestricted state assets except as ordered for restoration of public trust property or recovery owed to the trust;</w:t>
      </w:r>
    </w:p>
    <w:p>
      <w:pPr>
        <w:pStyle w:val="PullQuote"/>
      </w:pPr>
      <w:r>
        <w:t xml:space="preserve">  (7) a jury trial; or</w:t>
      </w:r>
    </w:p>
    <w:p>
      <w:pPr>
        <w:pStyle w:val="PullQuote"/>
      </w:pPr>
      <w:r>
        <w:t xml:space="preserve">  (8) relief inconsistent with [the Admission Act], [state constitution], federal law, or the governing trust instrument.</w:t>
      </w:r>
    </w:p>
    <w:p>
      <w:pPr>
        <w:numPr>
          <w:ilvl w:val="0"/>
          <w:numId w:val="1021"/>
        </w:numPr>
        <w:pStyle w:val="Compact"/>
      </w:pPr>
      <w:r>
        <w:t xml:space="preserve">The waiver in subsection (a) does not waive personal-capacity immunity of an officer or employee except to the extent an equitable surcharge, restitution, disgorgement, constructive trust, or other equitable remedy is available under existing fiduciary law for knowing breach, bad faith, self-dealing, or knowing participation in a breach of trust.</w:t>
      </w:r>
    </w:p>
    <w:p>
      <w:pPr>
        <w:pStyle w:val="FirstParagraph"/>
      </w:pPr>
      <w:r>
        <w:rPr>
          <w:i/>
        </w:rPr>
        <w:t xml:space="preserve">From Section 703, Claims-Statute Inapplicability — in full:</w:t>
      </w:r>
    </w:p>
    <w:p>
      <w:pPr>
        <w:numPr>
          <w:ilvl w:val="0"/>
          <w:numId w:val="1022"/>
        </w:numPr>
        <w:pStyle w:val="PullQuote"/>
      </w:pPr>
      <w:r>
        <w:t xml:space="preserve">An action under this [Act] is an action to enforce a public educational trust and obtain equitable trust relief. It is not a tort claim, contract claim, or private damages claim against [State].</w:t>
      </w:r>
    </w:p>
    <w:p>
      <w:pPr>
        <w:numPr>
          <w:ilvl w:val="0"/>
          <w:numId w:val="1022"/>
        </w:numPr>
        <w:pStyle w:val="PullQuote"/>
      </w:pPr>
      <w:r>
        <w:t xml:space="preserve">[State Tort Claims Act], notice-of-claim requirements, damages caps, presentment requirements, and tort-claim limitation provisions do not apply to an action under this [Act], except to the extent [state constitution] or superior law requires otherwise.</w:t>
      </w:r>
    </w:p>
    <w:p>
      <w:pPr>
        <w:pStyle w:val="FirstParagraph"/>
      </w:pPr>
      <w:r>
        <w:rPr>
          <w:i/>
        </w:rPr>
        <w:t xml:space="preserve">The problem this fixes.</w:t>
      </w:r>
      <w:r>
        <w:t xml:space="preserve"> </w:t>
      </w:r>
      <w:r>
        <w:t xml:space="preserve">Sovereign immunity and tort-claims acts were built for car crashes and contract disputes — short notice windows, presentment formalities, damage caps. States have invoked that machinery to defeat the equitable remedies by which beneficiaries have enforced trusts at common law for centuries, as if a demand that the trustee restore the trust were a fender-bender claim filed late.</w:t>
      </w:r>
    </w:p>
    <w:p>
      <w:pPr>
        <w:pStyle w:val="BodyText"/>
      </w:pPr>
      <w:r>
        <w:rPr>
          <w:i/>
        </w:rPr>
        <w:t xml:space="preserve">Why it is drafted this way.</w:t>
      </w:r>
      <w:r>
        <w:t xml:space="preserve"> </w:t>
      </w:r>
      <w:r>
        <w:t xml:space="preserve">The waiver is deliberately narrow, and the narrowness is both the politics and the doctrine. It opens the courthouse to equitable trust relief and nothing else, and subsection (c)’s exclusion list says so eight ways: no compensatory damages, no punitive damages, no tort damages, no personal payday — the only money at stake is money that already belongs to the trust. That is the politically passable scope, and the doctrinally honest one: surcharge runs to the trust, not to the people who sued. Subsection (d) reaches individual officers only where fiduciary law always has — equitable remedies for knowing breach, bad faith, self-dealing, or knowing participation. Section 703 then unhooks these proceedings from the tort-claims machinery entirely: they are trust enforcement, not tort claims, and the notice windows, presentment rituals, and damage caps built for fender-benders do not apply. The timing rule lives back in the accounting article: under Section 305(b), quoted above, no limitation period or laches defense starts running against a trust claim until the trustee has disclosed enough to put a beneficiary on reasonable notice. For a trust meant to last forever, the claim to the corpus should not quietly expire while the books stay closed.</w:t>
      </w:r>
    </w:p>
    <w:p>
      <w:pPr>
        <w:pStyle w:val="BodyText"/>
      </w:pPr>
      <w:r>
        <w:rPr>
          <w:i/>
        </w:rPr>
        <w:t xml:space="preserve">The dials.</w:t>
      </w:r>
      <w:r>
        <w:t xml:space="preserve"> </w:t>
      </w:r>
      <w:r>
        <w:t xml:space="preserve">The act’s own counsel flag names this article as the first stop for drafting counsel: immunity waivers and tort-claims displacement are constitutionally sensitive in every state, and the bracketed civil-penalty carve-out in (c)(5) is a deliberate non-decision.</w:t>
      </w:r>
    </w:p>
    <w:p>
      <w:r>
        <w:pict>
          <v:rect style="width:0;height:1.5pt" o:hralign="center" o:hrstd="t" o:hr="t"/>
        </w:pict>
      </w:r>
    </w:p>
    <w:p>
      <w:pPr>
        <w:pStyle w:val="Heading2"/>
      </w:pPr>
      <w:bookmarkStart w:id="136" w:name="section-704.-equitable-remedies."/>
      <w:r>
        <w:t xml:space="preserve">Section 704. Equitable Remedies.</w:t>
      </w:r>
      <w:bookmarkEnd w:id="136"/>
    </w:p>
    <w:p>
      <w:pPr>
        <w:numPr>
          <w:ilvl w:val="0"/>
          <w:numId w:val="1023"/>
        </w:numPr>
        <w:pStyle w:val="Compact"/>
      </w:pPr>
      <w:r>
        <w:t xml:space="preserve">In an action under this [Act], the court may order any equitable remedy necessary to enforce the public educational trust, including:</w:t>
      </w:r>
    </w:p>
    <w:p>
      <w:pPr>
        <w:pStyle w:val="PullQuote"/>
      </w:pPr>
      <w:r>
        <w:t xml:space="preserve">  (1) accounting, supplemental accounting, historical accounting, forensic accounting, or judicial accounting;</w:t>
      </w:r>
    </w:p>
    <w:p>
      <w:pPr>
        <w:pStyle w:val="PullQuote"/>
      </w:pPr>
      <w:r>
        <w:t xml:space="preserve">  (2) declaratory relief;</w:t>
      </w:r>
    </w:p>
    <w:p>
      <w:pPr>
        <w:pStyle w:val="PullQuote"/>
      </w:pPr>
      <w:r>
        <w:t xml:space="preserve">  (3) temporary, preliminary, or permanent injunction;</w:t>
      </w:r>
    </w:p>
    <w:p>
      <w:pPr>
        <w:pStyle w:val="PullQuote"/>
      </w:pPr>
      <w:r>
        <w:t xml:space="preserve">  (4) mandamus, specific performance, or an order compelling fiduciary action required by law;</w:t>
      </w:r>
    </w:p>
    <w:p>
      <w:pPr>
        <w:pStyle w:val="PullQuote"/>
      </w:pPr>
      <w:r>
        <w:t xml:space="preserve">  (5) surcharge;</w:t>
      </w:r>
    </w:p>
    <w:p>
      <w:pPr>
        <w:pStyle w:val="PullQuote"/>
      </w:pPr>
      <w:r>
        <w:t xml:space="preserve">  (6) restoration of money, land, proceeds, income, appreciation, lost income, or other value to the trust;</w:t>
      </w:r>
    </w:p>
    <w:p>
      <w:pPr>
        <w:pStyle w:val="PullQuote"/>
      </w:pPr>
      <w:r>
        <w:t xml:space="preserve">  (7) disgorgement;</w:t>
      </w:r>
    </w:p>
    <w:p>
      <w:pPr>
        <w:pStyle w:val="PullQuote"/>
      </w:pPr>
      <w:r>
        <w:t xml:space="preserve">  (8) restitution;</w:t>
      </w:r>
    </w:p>
    <w:p>
      <w:pPr>
        <w:pStyle w:val="PullQuote"/>
      </w:pPr>
      <w:r>
        <w:t xml:space="preserve">  (9) constructive trust;</w:t>
      </w:r>
    </w:p>
    <w:p>
      <w:pPr>
        <w:pStyle w:val="PullQuote"/>
      </w:pPr>
      <w:r>
        <w:t xml:space="preserve">  (10) equitable lien;</w:t>
      </w:r>
    </w:p>
    <w:p>
      <w:pPr>
        <w:pStyle w:val="PullQuote"/>
      </w:pPr>
      <w:r>
        <w:t xml:space="preserve">  (11) tracing;</w:t>
      </w:r>
    </w:p>
    <w:p>
      <w:pPr>
        <w:pStyle w:val="PullQuote"/>
      </w:pPr>
      <w:r>
        <w:t xml:space="preserve">  (12) rescission, reformation, or conditioning of a transaction;</w:t>
      </w:r>
    </w:p>
    <w:p>
      <w:pPr>
        <w:pStyle w:val="PullQuote"/>
      </w:pPr>
      <w:r>
        <w:t xml:space="preserve">  (13) removal, suspension, recusal, or disqualification of a trustee, officer, employee, agent, contractor, or fiduciary from public trust administration, to the extent permitted by [state constitution] and [state law];</w:t>
      </w:r>
    </w:p>
    <w:p>
      <w:pPr>
        <w:pStyle w:val="PullQuote"/>
      </w:pPr>
      <w:r>
        <w:t xml:space="preserve">  (14) appointment of a special fiduciary, receiver, monitor, master, auditor, or future-beneficiary representative;</w:t>
      </w:r>
    </w:p>
    <w:p>
      <w:pPr>
        <w:pStyle w:val="PullQuote"/>
      </w:pPr>
      <w:r>
        <w:t xml:space="preserve">  (15) approval, modification, or rejection of a remedial plan;</w:t>
      </w:r>
    </w:p>
    <w:p>
      <w:pPr>
        <w:pStyle w:val="PullQuote"/>
      </w:pPr>
      <w:r>
        <w:t xml:space="preserve">  (16) preservation of records;</w:t>
      </w:r>
    </w:p>
    <w:p>
      <w:pPr>
        <w:pStyle w:val="PullQuote"/>
      </w:pPr>
      <w:r>
        <w:t xml:space="preserve">  (17) prospective compliance reporting; and</w:t>
      </w:r>
    </w:p>
    <w:p>
      <w:pPr>
        <w:pStyle w:val="PullQuote"/>
      </w:pPr>
      <w:r>
        <w:t xml:space="preserve">  (18) attorney fees, expert fees, and costs under Section 706.</w:t>
      </w:r>
    </w:p>
    <w:p>
      <w:pPr>
        <w:numPr>
          <w:ilvl w:val="0"/>
          <w:numId w:val="1024"/>
        </w:numPr>
        <w:pStyle w:val="Compact"/>
      </w:pPr>
      <w:r>
        <w:t xml:space="preserve">Remedies under this Section must be tailored to the trust and may not be used to award private damages to a plaintiff.</w:t>
      </w:r>
    </w:p>
    <w:p>
      <w:pPr>
        <w:pStyle w:val="FirstParagraph"/>
      </w:pPr>
      <w:r>
        <w:rPr>
          <w:i/>
        </w:rPr>
        <w:t xml:space="preserve">The problem this fixes.</w:t>
      </w:r>
      <w:r>
        <w:t xml:space="preserve"> </w:t>
      </w:r>
      <w:r>
        <w:t xml:space="preserve">Beneficiaries who win on liability and recover nothing have not enforced a trust; they have written an essay. The equitable arsenal — accounting, surcharge, restoration, disgorgement — has existed at common law for centuries, but procedural barriers have kept courts handing public-trust plaintiffs declarations and little else.</w:t>
      </w:r>
    </w:p>
    <w:p>
      <w:pPr>
        <w:pStyle w:val="BodyText"/>
      </w:pPr>
      <w:r>
        <w:rPr>
          <w:i/>
        </w:rPr>
        <w:t xml:space="preserve">Why it is drafted this way.</w:t>
      </w:r>
      <w:r>
        <w:t xml:space="preserve"> </w:t>
      </w:r>
      <w:r>
        <w:t xml:space="preserve">The menu restates the standard equitable toolkit, and the opening words state the principle behind the whole list: the court may order</w:t>
      </w:r>
      <w:r>
        <w:t xml:space="preserve"> </w:t>
      </w:r>
      <w:r>
        <w:rPr>
          <w:i/>
        </w:rPr>
        <w:t xml:space="preserve">any</w:t>
      </w:r>
      <w:r>
        <w:t xml:space="preserve"> </w:t>
      </w:r>
      <w:r>
        <w:t xml:space="preserve">equitable remedy necessary to enforce the trust — the eighteen named items are illustrations, not a fence. Public trustees get the private trustee’s rulebook, not a gentler public one. Item (13) handles the hard case with honesty: removal of a trustee runs only</w:t>
      </w:r>
      <w:r>
        <w:t xml:space="preserve"> </w:t>
      </w:r>
      <w:r>
        <w:t xml:space="preserve">“</w:t>
      </w:r>
      <w:r>
        <w:t xml:space="preserve">to the extent permitted by</w:t>
      </w:r>
      <w:r>
        <w:t xml:space="preserve">”</w:t>
      </w:r>
      <w:r>
        <w:t xml:space="preserve"> </w:t>
      </w:r>
      <w:r>
        <w:t xml:space="preserve">the state constitution — a statute cannot unseat constitutionally entrenched officers, as where elected officials sit as the trust’s board, and this one does not pretend to. But item (14)’s special fiduciary, receiver, monitor, or master preserves the function: even an unremovable trustee can be made to administer the trust lawfully. And subsection (b) is the discipline that keeps the arsenal honest — every remedy must be tailored to the trust, and none may be converted into private damages.</w:t>
      </w:r>
    </w:p>
    <w:p>
      <w:r>
        <w:pict>
          <v:rect style="width:0;height:1.5pt" o:hralign="center" o:hrstd="t" o:hr="t"/>
        </w:pict>
      </w:r>
    </w:p>
    <w:p>
      <w:pPr>
        <w:pStyle w:val="Heading2"/>
      </w:pPr>
      <w:bookmarkStart w:id="137" w:name="Xbbdd7368d19a4e98a335b7a636dc84673cf61a9"/>
      <w:r>
        <w:t xml:space="preserve">Section 705. Recoveries Belong to the Trust.</w:t>
      </w:r>
      <w:bookmarkEnd w:id="137"/>
    </w:p>
    <w:p>
      <w:pPr>
        <w:pStyle w:val="FirstParagraph"/>
      </w:pPr>
      <w:r>
        <w:rPr>
          <w:i/>
        </w:rPr>
        <w:t xml:space="preserve">From Section 704(a), the restoration remedy:</w:t>
      </w:r>
    </w:p>
    <w:p>
      <w:pPr>
        <w:numPr>
          <w:ilvl w:val="0"/>
          <w:numId w:val="1025"/>
        </w:numPr>
        <w:pStyle w:val="Compact"/>
      </w:pPr>
      <w:r>
        <w:t xml:space="preserve">restoration of money, land, proceeds, income, appreciation, lost income, or other value to the trust;</w:t>
      </w:r>
    </w:p>
    <w:p>
      <w:pPr>
        <w:pStyle w:val="FirstParagraph"/>
      </w:pPr>
      <w:r>
        <w:rPr>
          <w:i/>
        </w:rPr>
        <w:t xml:space="preserve">From Section 705, Recoveries Belong to the Trust — in full:</w:t>
      </w:r>
    </w:p>
    <w:p>
      <w:pPr>
        <w:numPr>
          <w:ilvl w:val="0"/>
          <w:numId w:val="1026"/>
        </w:numPr>
        <w:pStyle w:val="PullQuote"/>
      </w:pPr>
      <w:r>
        <w:t xml:space="preserve">A recovery obtained under this [Act] belongs to the public educational trust whose property, income, proceeds, or rights were affected.</w:t>
      </w:r>
    </w:p>
    <w:p>
      <w:pPr>
        <w:numPr>
          <w:ilvl w:val="0"/>
          <w:numId w:val="1026"/>
        </w:numPr>
        <w:pStyle w:val="PullQuote"/>
      </w:pPr>
      <w:r>
        <w:t xml:space="preserve">A recovery must be restored to trust corpus, trust income, a beneficiary distribution account, or another trust account as the court orders according to the governing trust instrument and existing law.</w:t>
      </w:r>
    </w:p>
    <w:p>
      <w:pPr>
        <w:numPr>
          <w:ilvl w:val="0"/>
          <w:numId w:val="1026"/>
        </w:numPr>
        <w:pStyle w:val="PullQuote"/>
      </w:pPr>
      <w:r>
        <w:t xml:space="preserve">A plaintiff, relator, public officer, attorney, expert, or agency may not receive a percentage of a recovery unless expressly authorized by [state law] and approved by the court as consistent with the trust.</w:t>
      </w:r>
    </w:p>
    <w:p>
      <w:pPr>
        <w:pStyle w:val="FirstParagraph"/>
      </w:pPr>
      <w:r>
        <w:rPr>
          <w:i/>
        </w:rPr>
        <w:t xml:space="preserve">The problem this fixes.</w:t>
      </w:r>
      <w:r>
        <w:t xml:space="preserve"> </w:t>
      </w:r>
      <w:r>
        <w:t xml:space="preserve">Hollow restoration. If a breach discovered decades later costs the trustee only the original sum — no lost income, no lost growth — then breach plus delay is a winning strategy, and the slower the wrongdoer’s lawyers move, the better the deal gets. For a perpetual trust, where breaches can sit undiscovered for a generation, that arithmetic is fatal. And there is a second hollowness behind the first: a recovery that lands in an account the state controls, or that leaks away in percentages to the people who obtained it, restores nothing.</w:t>
      </w:r>
    </w:p>
    <w:p>
      <w:pPr>
        <w:pStyle w:val="BodyText"/>
      </w:pPr>
      <w:r>
        <w:rPr>
          <w:i/>
        </w:rPr>
        <w:t xml:space="preserve">Why it is drafted this way.</w:t>
      </w:r>
      <w:r>
        <w:t xml:space="preserve"> </w:t>
      </w:r>
      <w:r>
        <w:t xml:space="preserve">The restoration remedy names what must come back: not just the money, but the proceeds, the income, the appreciation, and the lost income — the growth the trust would have had if the breach had never happened. Delay therefore adds to the bill instead of shrinking it. Section 705 then closes the circle on where the recovery lands: it belongs to the trust, restored to corpus, income, or a distribution account as the court orders under the trust instrument — and subsection (c) bars the bounty, so no plaintiff, lawyer, expert, or agency takes a percentage without express statutory authority and court approval. This is a key to a door, not a bounty system, and the act says so in terms. One earlier-draft provision did not survive the merge: the first draft fixed the interest measure for restoration at the greater of the trust’s actual rate of return or the statutory judgment rate; the merged act names lost income and appreciation as restorable and leaves the rate to equity. [CONFORM: decide at counsel review whether the greater-of measure returns as a bracketed state option.]</w:t>
      </w:r>
    </w:p>
    <w:p>
      <w:pPr>
        <w:pStyle w:val="BodyText"/>
      </w:pPr>
      <w:r>
        <w:rPr>
          <w:i/>
        </w:rPr>
        <w:t xml:space="preserve">The dials.</w:t>
      </w:r>
      <w:r>
        <w:t xml:space="preserve"> </w:t>
      </w:r>
      <w:r>
        <w:t xml:space="preserve">Whether an enacting state specifies an interest measure for restoration, and the account — corpus, income, or distribution — to which particular recoveries return.</w:t>
      </w:r>
    </w:p>
    <w:p>
      <w:r>
        <w:pict>
          <v:rect style="width:0;height:1.5pt" o:hralign="center" o:hrstd="t" o:hr="t"/>
        </w:pict>
      </w:r>
    </w:p>
    <w:p>
      <w:pPr>
        <w:pStyle w:val="Heading2"/>
      </w:pPr>
      <w:bookmarkStart w:id="138" w:name="X70332adb60a32b206079fdf563d278ee83d8c90"/>
      <w:bookmarkEnd w:id="138"/>
      <w:r>
        <w:t>Section 706. Attorney Fees, Expert Fees, Costs, and Litigation Expenses.</w:t>
      </w:r>
    </w:p>
    <w:p>
      <w:pPr>
        <w:numPr>
          <w:ilvl w:val="0"/>
          <w:numId w:val="1027"/>
        </w:numPr>
        <w:pStyle w:val="PullQuote"/>
      </w:pPr>
      <w:r>
        <w:t>(a) Award. In an action under this [Act], the court shall award reasonable attorney fees, expert fees, forensic-accounting and appraisal fees, litigation expenses, and costs to a plaintiff or intervenor that substantially prevails or whose action is a substantial factor in conferring a substantial benefit on a public educational trust, unless the court finds that special circumstances would make an award unjust.</w:t>
      </w:r>
    </w:p>
    <w:p>
      <w:pPr>
        <w:numPr>
          <w:ilvl w:val="0"/>
          <w:numId w:val="1027"/>
        </w:numPr>
        <w:pStyle w:val="PullQuote"/>
      </w:pPr>
      <w:r>
        <w:t>(b) Substantial benefit; catalyst. An action is a substantial factor in conferring a substantial benefit whether the benefit is obtained by judgment, by a court-approved settlement or consent decree, or by voluntary accounting, restoration, corrective action, or policy change that the action was a substantial factor in producing, even without a final judgment on the merits.</w:t>
      </w:r>
    </w:p>
    <w:p>
      <w:pPr>
        <w:pStyle w:val="PullQuote"/>
      </w:pPr>
      <w:r>
        <w:t>(c) Source; trust protected. Fees, costs, and expenses awarded under this Section shall be paid, in the following order of preference, by:</w:t>
      </w:r>
    </w:p>
    <w:p>
      <w:pPr>
        <w:pStyle w:val="PullQuote"/>
      </w:pPr>
      <w:r>
        <w:t>(1) a fiduciary, officer, employee, agent, or knowing participant who committed or knowingly participated in the breach, by surcharge or otherwise, to the extent equity and existing law permit; and</w:t>
      </w:r>
    </w:p>
    <w:p>
      <w:pPr>
        <w:pStyle w:val="PullQuote"/>
      </w:pPr>
      <w:r>
        <w:t>(2) the responsible [State], state trustee, trustee agency, or public body, from funds other than public trust property, the immunity for which is waived under Section 702.</w:t>
      </w:r>
    </w:p>
    <w:p>
      <w:pPr>
        <w:pStyle w:val="PullQuote"/>
      </w:pPr>
      <w:r>
        <w:t>Fees, costs, and expenses awarded under this Section shall not be paid from, charged against, deducted from, or satisfied out of trust corpus, trust income, or any recovery belonging to a public educational trust.</w:t>
      </w:r>
    </w:p>
    <w:p>
      <w:pPr>
        <w:numPr>
          <w:ilvl w:val="0"/>
          <w:numId w:val="1028"/>
        </w:numPr>
        <w:pStyle w:val="Compact"/>
      </w:pPr>
      <w:r>
        <w:t>(d) Measure. Reasonable attorney fees under this Section equal the hours reasonably expended multiplied by the prevailing market hourly rate for comparable complex fiduciary or public-interest litigation in the relevant legal community; the court may adjust for the contingent risk of the action and for exceptional results. Fees are measured at prevailing market rates and may not be reduced because counsel is salaried, is employed by a nonprofit, public-interest, or governmental organization, or served at a reduced rate or without charge.</w:t>
      </w:r>
    </w:p>
    <CT_P>
      <w:pPr/>
      <w:r>
        <w:t>(e) Additional to recovery. An award under this Section is in addition to, and shall not reduce, any recovery restored to the trust under Section 705.</w:t>
      </w:r>
    </CT_P>
    <CT_P>
      <w:pPr/>
      <w:r>
        <w:t>(f) No charge against good-faith beneficiaries. A beneficiary institution, beneficiary representative, future-beneficiary representative, or member organization bringing or intervening in an action in good faith for relief to the trust may not be required to post a bond and may not be ordered to pay the fees, costs, or expenses of a state trustee or other defendant unless the court finds the action was frivolous, brought in bad faith, or brought for an improper purpose.</w:t>
      </w:r>
    </CT_P>
    <w:p>
      <w:pPr>
        <w:pStyle w:val="FirstParagraph"/>
      </w:pPr>
      <w:r>
        <w:rPr>
          <w:i/>
        </w:rPr>
        <w:t xml:space="preserve">The problem this fixes.</w:t>
      </w:r>
      <w:r>
        <w:t xml:space="preserve"> </w:t>
      </w:r>
      <w:r>
        <w:t xml:space="preserve">Economic deterrence. A school district weighing a trust suit faces a defendant with effectively free counsel — sometimes paid from the trust itself — plus the risk that a loss means paying the state’s costs too. A rational district declines every time; the price of asking is too high.</w:t>
      </w:r>
    </w:p>
    <w:p>
      <w:pPr>
        <w:pStyle w:val="BodyText"/>
      </w:pPr>
      <w:r>
        <w:t>Why it is drafted this way. The structure is deliberately one-way, on the pattern of private-attorney-general statutes: a good-faith beneficiary plaintiff never posts a bond and never pays the state's costs - the only exceptions are the ones no honest plaintiff fears: frivolousness, bad faith, improper purpose - while a plaintiff whose action substantially prevails or substantially benefits the trust recovers its fees, expert costs, and expenses. The revised payment rule separates recovery and fees permanently. The trust keeps every dollar restored to it; the fee award is paid first by the breaching fiduciary or knowing participant where equity permits, and then by the responsible state, trustee agency, or public body from funds other than trust property. The market-rate measure matters because the point is not just to reimburse a lawyer after the fact. It is to make enforcement fundable before the case begins, including by nonprofit, public-interest, reduced-rate, and pro bono counsel. The no-bond rule matters most in injunction practice, where a required undertaking can price beneficiaries out of the provisional relief that stops a disposition before it closes - which is precisely when stopping it still helps.</w:t>
      </w:r>
    </w:p>
    <w:p>
      <w:pPr>
        <w:pStyle w:val="BodyText"/>
      </w:pPr>
      <w:r>
        <w:t>The dials. How an enacting state implements the non-trust payment source, how the substantial-benefit and catalyst standards interact with existing fee doctrine, and how counsel calibrates surcharge, indemnification, and appropriation mechanics without charging corpus, income, or recoveries.</w:t>
      </w:r>
    </w:p>
    <w:p>
      <w:r>
        <w:pict>
          <v:rect style="width:0;height:1.5pt" o:hralign="center" o:hrstd="t" o:hr="t"/>
        </w:pict>
      </w:r>
    </w:p>
    <w:p>
      <w:pPr>
        <w:pStyle w:val="Heading2"/>
      </w:pPr>
      <w:bookmarkStart w:id="139" w:name="section-707.-settlements-and-releases."/>
      <w:r>
        <w:t xml:space="preserve">Section 707. Settlements and Releases.</w:t>
      </w:r>
      <w:bookmarkEnd w:id="139"/>
    </w:p>
    <w:p>
      <w:pPr>
        <w:numPr>
          <w:ilvl w:val="0"/>
          <w:numId w:val="1029"/>
        </w:numPr>
        <w:pStyle w:val="PullQuote"/>
      </w:pPr>
      <w:r>
        <w:t xml:space="preserve">A settlement, release, consent decree, or remedial plan resolving a material claim under this [Act] requires court approval if it affects trust corpus, future beneficiaries, a major disposition, or claims for restoration exceeding [$state threshold].</w:t>
      </w:r>
    </w:p>
    <w:p>
      <w:pPr>
        <w:numPr>
          <w:ilvl w:val="0"/>
          <w:numId w:val="1029"/>
        </w:numPr>
        <w:pStyle w:val="PullQuote"/>
      </w:pPr>
      <w:r>
        <w:t xml:space="preserve">The court may approve a settlement only after finding that:</w:t>
      </w:r>
    </w:p>
    <w:p>
      <w:pPr>
        <w:pStyle w:val="PullQuote"/>
      </w:pPr>
      <w:r>
        <w:t xml:space="preserve">  (1) the settlement is fair, reasonable, and faithful to the trust;</w:t>
      </w:r>
    </w:p>
    <w:p>
      <w:pPr>
        <w:pStyle w:val="PullQuote"/>
      </w:pPr>
      <w:r>
        <w:t xml:space="preserve">  (2) beneficiary institutions and beneficiary representatives received adequate notice;</w:t>
      </w:r>
    </w:p>
    <w:p>
      <w:pPr>
        <w:pStyle w:val="PullQuote"/>
      </w:pPr>
      <w:r>
        <w:t xml:space="preserve">  (3) future beneficiaries were adequately represented;</w:t>
      </w:r>
    </w:p>
    <w:p>
      <w:pPr>
        <w:pStyle w:val="PullQuote"/>
      </w:pPr>
      <w:r>
        <w:t xml:space="preserve">  (4) the record includes sufficient accounting and valuation information; and</w:t>
      </w:r>
    </w:p>
    <w:p>
      <w:pPr>
        <w:pStyle w:val="PullQuote"/>
      </w:pPr>
      <w:r>
        <w:t xml:space="preserve">  (5) the settlement directs any recovery to the trust.</w:t>
      </w:r>
    </w:p>
    <w:p>
      <w:pPr>
        <w:numPr>
          <w:ilvl w:val="0"/>
          <w:numId w:val="1030"/>
        </w:numPr>
        <w:pStyle w:val="Compact"/>
      </w:pPr>
      <w:r>
        <w:t xml:space="preserve">A release may not waive unknown claims arising from facts not reasonably disclosed in an accounting, unless the court expressly finds that the release is necessary, narrowly tailored, and consistent with the trust.</w:t>
      </w:r>
    </w:p>
    <w:p>
      <w:pPr>
        <w:pStyle w:val="FirstParagraph"/>
      </w:pPr>
      <w:r>
        <w:rPr>
          <w:i/>
        </w:rPr>
        <w:t xml:space="preserve">The problem this fixes.</w:t>
      </w:r>
      <w:r>
        <w:t xml:space="preserve"> </w:t>
      </w:r>
      <w:r>
        <w:t xml:space="preserve">The quiet settlement. Litigation about a trust can become the breach’s final act: present parties, present lawyers, and present budget pressures resolve a claim on terms that trade away future value — and every signature at the table is satisfied, because the losers are not born yet. A release drafted broadly enough can even waive claims no one at the table knew existed, extinguishing in a paragraph what the accounting article was built to surface.</w:t>
      </w:r>
    </w:p>
    <w:p>
      <w:pPr>
        <w:pStyle w:val="BodyText"/>
      </w:pPr>
      <w:r>
        <w:rPr>
          <w:i/>
        </w:rPr>
        <w:t xml:space="preserve">Why it is drafted this way.</w:t>
      </w:r>
      <w:r>
        <w:t xml:space="preserve"> </w:t>
      </w:r>
      <w:r>
        <w:t xml:space="preserve">Court approval, with findings, is the discipline equity has always applied to settlements that bind the absent — class members, minors, unborn heirs — and the act applies it to the beneficiaries least able to object. The five findings in subsection (b) are the act’s whole architecture in miniature: fairness to the trust, notice to the institutions, real representation for future beneficiaries, an accounting adequate to evaluate the deal, and a recovery that goes to the trust. Subsection (c) is the sleeper provision: a release cannot waive unknown claims arising from facts the trustee never disclosed in an accounting. The trustee cannot buy peace for what it kept hidden — which means the accounting duty and the settlement gate enforce each other.</w:t>
      </w:r>
    </w:p>
    <w:p>
      <w:pPr>
        <w:pStyle w:val="BodyText"/>
      </w:pPr>
      <w:r>
        <w:rPr>
          <w:i/>
        </w:rPr>
        <w:t xml:space="preserve">The dials.</w:t>
      </w:r>
      <w:r>
        <w:t xml:space="preserve"> </w:t>
      </w:r>
      <w:r>
        <w:t xml:space="preserve">The dollar threshold above which a restoration settlement requires court approval.</w:t>
      </w:r>
    </w:p>
    <w:p>
      <w:r>
        <w:pict>
          <v:rect style="width:0;height:1.5pt" o:hralign="center" o:hrstd="t" o:hr="t"/>
        </w:pict>
      </w:r>
    </w:p>
    <w:p>
      <w:pPr>
        <w:pStyle w:val="Heading2"/>
      </w:pPr>
      <w:bookmarkStart w:id="140" w:name="X6d83dd30a375ccee70c3c76d2cdce9f960f7602"/>
      <w:r>
        <w:t xml:space="preserve">Section 801. Required Fiduciary Education.</w:t>
      </w:r>
      <w:bookmarkEnd w:id="140"/>
    </w:p>
    <w:p>
      <w:pPr>
        <w:numPr>
          <w:ilvl w:val="0"/>
          <w:numId w:val="1031"/>
        </w:numPr>
        <w:pStyle w:val="PullQuote"/>
      </w:pPr>
      <w:r>
        <w:t xml:space="preserve">Each state trustee, voting member of a trustee board, trustee-agency director, senior land manager, senior investment officer, chief financial officer, chief legal officer, and other officer or employee with material authority over public trust property shall complete fiduciary education under this Article.</w:t>
      </w:r>
    </w:p>
    <w:p>
      <w:pPr>
        <w:numPr>
          <w:ilvl w:val="0"/>
          <w:numId w:val="1031"/>
        </w:numPr>
        <w:pStyle w:val="PullQuote"/>
      </w:pPr>
      <w:r>
        <w:t xml:space="preserve">A person subject to this Section shall complete:</w:t>
      </w:r>
    </w:p>
    <w:p>
      <w:pPr>
        <w:pStyle w:val="PullQuote"/>
      </w:pPr>
      <w:r>
        <w:t xml:space="preserve">  (1) initial education of at least [six] hours within [90] days after assuming the position; and</w:t>
      </w:r>
    </w:p>
    <w:p>
      <w:pPr>
        <w:pStyle w:val="PullQuote"/>
      </w:pPr>
      <w:r>
        <w:t xml:space="preserve">  (2) continuing education of at least [two] hours each year thereafter.</w:t>
      </w:r>
    </w:p>
    <w:p>
      <w:pPr>
        <w:numPr>
          <w:ilvl w:val="0"/>
          <w:numId w:val="1032"/>
        </w:numPr>
        <w:pStyle w:val="PullQuote"/>
      </w:pPr>
      <w:r>
        <w:t xml:space="preserve">The Independent Enforcement Officer, in consultation with [State Auditor], [state ethics commission], beneficiary institutions, and qualified fiduciary-law educators, shall approve curriculum standards and providers.</w:t>
      </w:r>
    </w:p>
    <w:p>
      <w:pPr>
        <w:numPr>
          <w:ilvl w:val="0"/>
          <w:numId w:val="1032"/>
        </w:numPr>
        <w:pStyle w:val="PullQuote"/>
      </w:pPr>
      <w:r>
        <w:t xml:space="preserve">A person who fails to complete required education may not vote on, approve, or materially participate in a major disposition until the requirement is satisfied.</w:t>
      </w:r>
    </w:p>
    <w:p>
      <w:pPr>
        <w:numPr>
          <w:ilvl w:val="0"/>
          <w:numId w:val="1032"/>
        </w:numPr>
        <w:pStyle w:val="PullQuote"/>
      </w:pPr>
      <w:r>
        <w:t xml:space="preserve">An action taken with the decisive participation of a person barred under subsection (f) is voidable if the failure to complete education materially affected the process or deprived the trust of informed fiduciary judgment.</w:t>
      </w:r>
    </w:p>
    <w:p>
      <w:pPr>
        <w:pStyle w:val="FirstParagraph"/>
      </w:pPr>
      <w:r>
        <w:rPr>
          <w:i/>
        </w:rPr>
        <w:t xml:space="preserve">The problem this fixes.</w:t>
      </w:r>
      <w:r>
        <w:t xml:space="preserve"> </w:t>
      </w:r>
      <w:r>
        <w:t xml:space="preserve">The trustees of school trusts are typically elected constitutional officers — governors, treasurers, secretaries of state — whose trusteeship arrives as an afterthought to the political office they actually ran for. Many serve full terms without ever being told that they are fiduciaries, or what that word obligates them to do. Drift does not require bad actors; it only requires uninstructed ones.</w:t>
      </w:r>
    </w:p>
    <w:p>
      <w:pPr>
        <w:pStyle w:val="BodyText"/>
      </w:pPr>
      <w:r>
        <w:rPr>
          <w:i/>
        </w:rPr>
        <w:t xml:space="preserve">Why it is drafted this way.</w:t>
      </w:r>
      <w:r>
        <w:t xml:space="preserve"> </w:t>
      </w:r>
      <w:r>
        <w:t xml:space="preserve">Once instruction is mandatory and documented,</w:t>
      </w:r>
      <w:r>
        <w:t xml:space="preserve"> </w:t>
      </w:r>
      <w:r>
        <w:t xml:space="preserve">“</w:t>
      </w:r>
      <w:r>
        <w:t xml:space="preserve">I did not understand the trust</w:t>
      </w:r>
      <w:r>
        <w:t xml:space="preserve">”</w:t>
      </w:r>
      <w:r>
        <w:t xml:space="preserve"> </w:t>
      </w:r>
      <w:r>
        <w:t xml:space="preserve">is no longer available. Two design details do quiet work. The curriculum standards and providers are approved by the Independent Enforcement Officer in consultation with auditors, ethics officials, beneficiary institutions, and outside fiduciary-law educators — so the administering agency cannot teach its own litigating positions as settled law — and completion records are published with the annual accounting, name by name. And the sanction has real weight: an untrained official is barred from the trust’s largest decisions — voting on or approving a major disposition — until the education is complete, and a deal pushed through on the decisive participation of a barred official is voidable where the gap actually mattered. The act’s own counsel flag concedes the remedy is politically and legally sensitive, and offers states softer settings — a cure period, a recusal rule, public noncompliance notice, an evidentiary burden. The dial is real; the default is plain: learn the office before exercising its biggest powers.</w:t>
      </w:r>
    </w:p>
    <w:p>
      <w:pPr>
        <w:pStyle w:val="BodyText"/>
      </w:pPr>
      <w:r>
        <w:rPr>
          <w:i/>
        </w:rPr>
        <w:t xml:space="preserve">The dials.</w:t>
      </w:r>
      <w:r>
        <w:t xml:space="preserve"> </w:t>
      </w:r>
      <w:r>
        <w:t xml:space="preserve">The hours and deadlines (the draft brackets six initial hours within ninety days, then two hours yearly), and the sanction design — participation bar plus voidability in the draft; cure period, recusal, public notice, or burden shift as the flagged alternatives.</w:t>
      </w:r>
    </w:p>
    <w:p>
      <w:r>
        <w:pict>
          <v:rect style="width:0;height:1.5pt" o:hralign="center" o:hrstd="t" o:hr="t"/>
        </w:pict>
      </w:r>
    </w:p>
    <w:p>
      <w:pPr>
        <w:pStyle w:val="Heading2"/>
      </w:pPr>
      <w:bookmarkStart w:id="141" w:name="X213f97cb8a4bdcc035033dc9b31307d5b06cea2"/>
      <w:r>
        <w:t xml:space="preserve">Sections 901–903. Periodic Independent Review.</w:t>
      </w:r>
      <w:bookmarkEnd w:id="141"/>
    </w:p>
    <w:p>
      <w:pPr>
        <w:pStyle w:val="FirstParagraph"/>
      </w:pPr>
      <w:r>
        <w:rPr>
          <w:i/>
        </w:rPr>
        <w:t xml:space="preserve">From Section 901, Independent Review Required — subsections (a) and (b):</w:t>
      </w:r>
    </w:p>
    <w:p>
      <w:pPr>
        <w:numPr>
          <w:ilvl w:val="0"/>
          <w:numId w:val="1033"/>
        </w:numPr>
        <w:pStyle w:val="PullQuote"/>
      </w:pPr>
      <w:r>
        <w:t xml:space="preserve">At least once every [five] [ten] years, each public educational trust must undergo an independent fiduciary review.</w:t>
      </w:r>
    </w:p>
    <w:p>
      <w:pPr>
        <w:numPr>
          <w:ilvl w:val="0"/>
          <w:numId w:val="1033"/>
        </w:numPr>
        <w:pStyle w:val="PullQuote"/>
      </w:pPr>
      <w:r>
        <w:t xml:space="preserve">The review must be conducted by [State Auditor] or by an independent reviewer selected through a public procurement process administered by [State Auditor] or another officer independent of the state trustee.</w:t>
      </w:r>
    </w:p>
    <w:p>
      <w:pPr>
        <w:pStyle w:val="FirstParagraph"/>
      </w:pPr>
      <w:r>
        <w:rPr>
          <w:i/>
        </w:rPr>
        <w:t xml:space="preserve">From Section 903, Report, Response, and Corrective Action — in full:</w:t>
      </w:r>
    </w:p>
    <w:p>
      <w:pPr>
        <w:numPr>
          <w:ilvl w:val="0"/>
          <w:numId w:val="1034"/>
        </w:numPr>
        <w:pStyle w:val="PullQuote"/>
      </w:pPr>
      <w:r>
        <w:t xml:space="preserve">The reviewer shall publish a written report with findings, supporting analysis, recommendations, and any identified breaches, risks, or accounting deficiencies.</w:t>
      </w:r>
    </w:p>
    <w:p>
      <w:pPr>
        <w:numPr>
          <w:ilvl w:val="0"/>
          <w:numId w:val="1034"/>
        </w:numPr>
        <w:pStyle w:val="PullQuote"/>
      </w:pPr>
      <w:r>
        <w:t xml:space="preserve">The report must be provided to the state trustee, Independent Enforcement Officer, [Attorney General], [Governor], [Legislature], beneficiary institutions, and the public.</w:t>
      </w:r>
    </w:p>
    <w:p>
      <w:pPr>
        <w:numPr>
          <w:ilvl w:val="0"/>
          <w:numId w:val="1034"/>
        </w:numPr>
        <w:pStyle w:val="PullQuote"/>
      </w:pPr>
      <w:r>
        <w:t xml:space="preserve">Within [90] days after publication, the state trustee shall publish a written response and corrective-action plan.</w:t>
      </w:r>
    </w:p>
    <w:p>
      <w:pPr>
        <w:numPr>
          <w:ilvl w:val="0"/>
          <w:numId w:val="1034"/>
        </w:numPr>
        <w:pStyle w:val="PullQuote"/>
      </w:pPr>
      <w:r>
        <w:t xml:space="preserve">The [Legislature] or [legislative committee] shall hold a public hearing on the report and corrective-action plan within [180] days after publication unless the report contains no material findings.</w:t>
      </w:r>
    </w:p>
    <w:p>
      <w:pPr>
        <w:numPr>
          <w:ilvl w:val="0"/>
          <w:numId w:val="1034"/>
        </w:numPr>
        <w:pStyle w:val="PullQuote"/>
      </w:pPr>
      <w:r>
        <w:t xml:space="preserve">The Independent Enforcement Officer may use the report as a basis for investigation or enforcement.</w:t>
      </w:r>
    </w:p>
    <w:p>
      <w:pPr>
        <w:pStyle w:val="FirstParagraph"/>
      </w:pPr>
      <w:r>
        <w:rPr>
          <w:i/>
        </w:rPr>
        <w:t xml:space="preserve">The problem this fixes.</w:t>
      </w:r>
      <w:r>
        <w:t xml:space="preserve"> </w:t>
      </w:r>
      <w:r>
        <w:t xml:space="preserve">Institutions reviewed only by themselves drift. Nothing dramatic — a purpose bends a few degrees per decade, a revenue stream quietly underperforms — and because no scheduled moment ever forces an outside examination, the drift compounds in the dark. For an institution designed to run forever, slow drift is the most dangerous failure of all, precisely because no single year of it is alarming.</w:t>
      </w:r>
    </w:p>
    <w:p>
      <w:pPr>
        <w:pStyle w:val="BodyText"/>
      </w:pPr>
      <w:r>
        <w:rPr>
          <w:i/>
        </w:rPr>
        <w:t xml:space="preserve">Why it is drafted this way.</w:t>
      </w:r>
      <w:r>
        <w:t xml:space="preserve"> </w:t>
      </w:r>
      <w:r>
        <w:t xml:space="preserve">The review is the scheduled moment. An independent reviewer with conflicts screened by statute; a public report delivered to everyone — trustee, enforcement officer, attorney general, governor, legislature, beneficiary institutions, the public; a trustee response</w:t>
      </w:r>
      <w:r>
        <w:t xml:space="preserve"> </w:t>
      </w:r>
      <w:r>
        <w:rPr>
          <w:i/>
        </w:rPr>
        <w:t xml:space="preserve">with a corrective-action plan</w:t>
      </w:r>
      <w:r>
        <w:t xml:space="preserve"> </w:t>
      </w:r>
      <w:r>
        <w:t xml:space="preserve">within ninety days; a legislative hearing within six months; and an enforcement officer expressly authorized to treat the report as the opening of a case. The scope in Section 902 runs fifteen items deep — the completeness of the accountings, the segregation of corpus and income, disposition and valuation compliance, investment practices and expenses, related-party transactions, the treatment of present against future beneficiaries, and whether the last review’s corrective plan was actually honored. It is the institutional self-comparison trust administrators least enjoy and most need, and the gaps it can surface are staggering. Utah’s permanent school fund grew from roughly $50 million in the early 1990s to about $3.3 to 3.4 billion in 2024 — a roughly sixty-six-fold increase [VERIFY] — driven in large part by governance reforms of exactly the kind a periodic review is designed to surface. A state whose fund crawled while a neighbor’s compounded deserves to see both lines on the same chart, in public, on a schedule.</w:t>
      </w:r>
    </w:p>
    <w:p>
      <w:pPr>
        <w:pStyle w:val="BodyText"/>
      </w:pPr>
      <w:r>
        <w:rPr>
          <w:i/>
        </w:rPr>
        <w:t xml:space="preserve">The dials.</w:t>
      </w:r>
      <w:r>
        <w:t xml:space="preserve"> </w:t>
      </w:r>
      <w:r>
        <w:t xml:space="preserve">The interval — the draft brackets five and ten years, and its own counsel flag states the trade plainly: five is stronger, ten is easier to defend fiscally. Also: who administers the reviewer procurement, and whether the review’s cost is paid from non-trust funds or from trust administration funds only to the extent the trust instrument permits (Section 904).</w:t>
      </w:r>
    </w:p>
    <w:p>
      <w:r>
        <w:pict>
          <v:rect style="width:0;height:1.5pt" o:hralign="center" o:hrstd="t" o:hr="t"/>
        </w:pict>
      </w:r>
    </w:p>
    <w:p>
      <w:pPr>
        <w:pStyle w:val="Heading2"/>
      </w:pPr>
      <w:bookmarkStart w:id="142" w:name="X1d507db2b9bcd8b9f509503402e0c83b109e7f1"/>
      <w:r>
        <w:t xml:space="preserve">Section 1004. Transition — the application rule.</w:t>
      </w:r>
      <w:bookmarkEnd w:id="142"/>
    </w:p>
    <w:p>
      <w:pPr>
        <w:numPr>
          <w:ilvl w:val="0"/>
          <w:numId w:val="1035"/>
        </w:numPr>
        <w:pStyle w:val="PullQuote"/>
      </w:pPr>
      <w:r>
        <w:t xml:space="preserve">This [Act] applies to actions filed on or after the effective date and to ongoing administration of public educational trusts. It does not reopen a final judgment entered before the effective date.</w:t>
      </w:r>
    </w:p>
    <w:p>
      <w:pPr>
        <w:numPr>
          <w:ilvl w:val="0"/>
          <w:numId w:val="1035"/>
        </w:numPr>
        <w:pStyle w:val="PullQuote"/>
      </w:pPr>
      <w:r>
        <w:t xml:space="preserve">For conduct predating the effective date, this [Act] supplies forum, procedure, accounting, representation, and remedies to the extent the underlying fiduciary duty existed when the conduct occurred and the claim is not barred by a final judgment.</w:t>
      </w:r>
    </w:p>
    <w:p>
      <w:pPr>
        <w:pStyle w:val="FirstParagraph"/>
      </w:pPr>
      <w:r>
        <w:rPr>
          <w:i/>
        </w:rPr>
        <w:t xml:space="preserve">The problem this fixes.</w:t>
      </w:r>
      <w:r>
        <w:t xml:space="preserve"> </w:t>
      </w:r>
      <w:r>
        <w:t xml:space="preserve">An act that applied only to future conduct would quietly ratify the past — and the breaches that most need a remedy have, by definition, already happened. A clumsy retroactivity clause, though, would hand opponents a genuine constitutional objection. These two subsections thread the needle — and operationalize the promise Section 103 made at the front of the act.</w:t>
      </w:r>
    </w:p>
    <w:p>
      <w:pPr>
        <w:pStyle w:val="BodyText"/>
      </w:pPr>
      <w:r>
        <w:rPr>
          <w:i/>
        </w:rPr>
        <w:t xml:space="preserve">Why it is drafted this way.</w:t>
      </w:r>
      <w:r>
        <w:t xml:space="preserve"> </w:t>
      </w:r>
      <w:r>
        <w:t xml:space="preserve">The line they draw is the settled one for remedial legislation. The genuinely new machinery — accounting cycles, disposition procedures, trustee education, scheduled review — phases in prospectively, on the timetable the rest of the section sets. But for conduct that predates the act, subsection (h) supplies what remedial statutes have always been allowed to supply: forum, procedure, accounting, representation, and remedies — conditioned, in terms, on the underlying duty having existed</w:t>
      </w:r>
      <w:r>
        <w:t xml:space="preserve"> </w:t>
      </w:r>
      <w:r>
        <w:rPr>
          <w:i/>
        </w:rPr>
        <w:t xml:space="preserve">when the conduct occurred</w:t>
      </w:r>
      <w:r>
        <w:t xml:space="preserve">. That condition is not a concession; it is the act’s whole theory restated as a timing rule. The duties did exist; Section 103 forbids reading the act as evidence they did not; and subsection (g)’s refusal to reopen final judgments keeps the rule inside the lines courts police most strictly. The act’s own counsel flag marks this as the place opponents will press hardest — arguing that pre-enactment duties are being conceded away — and directs counsel to preserve the no-admission language exactly here.</w:t>
      </w:r>
    </w:p>
    <w:p>
      <w:r>
        <w:pict>
          <v:rect style="width:0;height:1.5pt" o:hralign="center" o:hrstd="t" o:hr="t"/>
        </w:pict>
      </w:r>
    </w:p>
    <w:p>
      <w:pPr>
        <w:pStyle w:val="Heading2"/>
      </w:pPr>
      <w:bookmarkStart w:id="143" w:name="a-closing-word"/>
      <w:r>
        <w:t xml:space="preserve">A closing word</w:t>
      </w:r>
      <w:bookmarkEnd w:id="143"/>
    </w:p>
    <w:p>
      <w:pPr>
        <w:pStyle w:val="FirstParagraph"/>
      </w:pPr>
      <w:r>
        <w:t xml:space="preserve">Eighteen entries; perhaps a third of the act. The rest is the connective tissue a working statute needs — definitions, the savings clause, the design of the Independent Enforcement Officer’s office and its court-appointed alternative, venue, rulemaking, the public schedule of trusts, severability — all covered in the act’s article notes and counsel flags. The test is still the headnote’s two questions:</w:t>
      </w:r>
      <w:r>
        <w:t xml:space="preserve"> </w:t>
      </w:r>
      <w:r>
        <w:rPr>
          <w:i/>
        </w:rPr>
        <w:t xml:space="preserve">is this already my state’s obligation?</w:t>
      </w:r>
      <w:r>
        <w:t xml:space="preserve"> </w:t>
      </w:r>
      <w:r>
        <w:t xml:space="preserve">and</w:t>
      </w:r>
      <w:r>
        <w:t xml:space="preserve"> </w:t>
      </w:r>
      <w:r>
        <w:rPr>
          <w:i/>
        </w:rPr>
        <w:t xml:space="preserve">can my state’s children currently enforce it?</w:t>
      </w:r>
      <w:r>
        <w:t xml:space="preserve"> </w:t>
      </w:r>
      <w:r>
        <w:t xml:space="preserve">The first answer, this book has argued, is yes everywhere. The second, almost everywhere, is no. The distance between those answers is the act.</w:t>
      </w:r>
    </w:p>
    <w:p>
      <w:r>
        <w:br w:type="page"/>
      </w:r>
    </w:p>
    <w:p>
      <w:pPr>
        <w:pStyle w:val="Heading1"/>
      </w:pPr>
      <w:bookmarkStart w:id="144" w:name="contributions"/>
      <w:r>
        <w:t xml:space="preserve">Contributions</w:t>
      </w:r>
      <w:bookmarkEnd w:id="144"/>
    </w:p>
    <w:p>
      <w:pPr>
        <w:pStyle w:val="FirstParagraph"/>
      </w:pPr>
      <w:r>
        <w:t xml:space="preserve">This book is the work of named people and named tools. David Sullivan directed, judged, and reviewed. Claude (Anthropic) drafted and assembled under that direction. Verification of individual claims is credited by name, claim by claim, in the Library’s public register at schooltrusts.net — the verifier column is the ledger. Readers who supply or correct a source join it.</w:t>
      </w:r>
    </w:p>
    <w:p>
      <w:r>
        <w:br w:type="page"/>
      </w:r>
    </w:p>
    <w:p>
      <w:pPr>
        <w:pStyle w:val="Heading1"/>
      </w:pPr>
      <w:bookmarkStart w:id="145" w:name="about-americas-school-trust-library"/>
      <w:r>
        <w:t xml:space="preserve">About America’s School Trust Library</w:t>
      </w:r>
      <w:bookmarkEnd w:id="145"/>
    </w:p>
    <w:p>
      <w:pPr>
        <w:pStyle w:val="FirstParagraph"/>
      </w:pPr>
      <w:r>
        <w:t xml:space="preserve">America’s School Trust Library collects, verifies, and keeps current the record of the lands and permanent funds the United States set aside for its public schools — the oldest continuously operating fiduciary undertaking in American public life. The Library’s record is public, citable, and correctable: every claim traces to a primary source, every verification carries its verifier’s name, and readers who can supply or correct a source are invited to do so. The books in this family are doorways into that record, not the record itself.</w:t>
      </w:r>
    </w:p>
    <w:p>
      <w:pPr>
        <w:pStyle w:val="BodyText"/>
      </w:pPr>
      <w:r>
        <w:drawing>
          <wp:inline>
            <wp:extent cx="914400" cy="914400"/>
            <wp:effectExtent b="0" l="0" r="0" t="0"/>
            <wp:docPr descr="" title="" id="1" name="Picture"/>
            <a:graphic>
              <a:graphicData uri="http://schemas.openxmlformats.org/drawingml/2006/picture">
                <pic:pic>
                  <pic:nvPicPr>
                    <pic:cNvPr descr="/sessions/affectionate-stoic-pasteur/mnt/Claude%20Cowork/_tools/_web_cache/qr_hub_884487fd4ee0_1200x_q90.jpg" id="0" name="Picture"/>
                    <pic:cNvPicPr>
                      <a:picLocks noChangeArrowheads="1" noChangeAspect="1"/>
                    </pic:cNvPicPr>
                  </pic:nvPicPr>
                  <pic:blipFill>
                    <a:blip r:embed="rId146"/>
                    <a:stretch>
                      <a:fillRect/>
                    </a:stretch>
                  </pic:blipFill>
                  <pic:spPr bwMode="auto">
                    <a:xfrm>
                      <a:off x="0" y="0"/>
                      <a:ext cx="914400" cy="914400"/>
                    </a:xfrm>
                    <a:prstGeom prst="rect">
                      <a:avLst/>
                    </a:prstGeom>
                    <a:noFill/>
                    <a:ln w="9525">
                      <a:noFill/>
                      <a:headEnd/>
                      <a:tailEnd/>
                    </a:ln>
                  </pic:spPr>
                </pic:pic>
              </a:graphicData>
            </a:graphic>
          </wp:inline>
        </w:drawing>
      </w:r>
    </w:p>
    <w:p>
      <w:pPr>
        <w:pStyle w:val="BodyText"/>
      </w:pPr>
      <w:r>
        <w:rPr>
          <w:i/>
        </w:rPr>
        <w:t xml:space="preserve">Scan to visit schooltrusts.net.</w:t>
      </w:r>
    </w:p>
    <w:sectPr>
      <w:headerReference w:type="default" r:id="rId9"/>
      <w:footerReference w:type="default" r:id="rId10"/>
      <w:pgSz w:w="8640" w:h="12960"/>
      <w:pgMar w:top="864" w:right="720" w:bottom="864" w:left="864" w:header="576" w:footer="432" w:gutter="144"/>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Google Sans Text">
    <w:altName w:val="Calibri"/>
    <w:charset w:val="00"/>
    <w:family w:val="auto"/>
    <w:pitch w:val="default"/>
  </w:font>
  <w:font w:name="Aptos">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 w:name="Lato">
    <w:charset w:val="00"/>
    <w:family w:val="swiss"/>
    <w:pitch w:val="variable"/>
    <w:sig w:usb0="E10002FF" w:usb1="5000ECFF" w:usb2="00000021" w:usb3="00000000" w:csb0="0000019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http://schemas.openxmlformats.org/wordprocessingml/2006/main" xmlns:r="http://schemas.openxmlformats.org/officeDocument/2006/relationships">
  <w:p>
    <w:pPr>
      <w:pStyle w:val="Footer"/>
      <w:jc w:val="center"/>
      <w:rPr>
        <w:color w:val="595959"/>
        <w:sz w:val="16"/>
      </w:rPr>
    </w:pPr>
    <w:r>
      <w:rPr>
        <w:color w:val="595959"/>
        <w:sz w:val="16"/>
      </w:rPr>
      <w:t xml:space="preserve">Stewards of the Republic · Working edition · Page </w:t>
    </w:r>
    <w:r>
      <w:rPr>
        <w:color w:val="595959"/>
        <w:sz w:val="16"/>
      </w:rPr>
      <w:fldChar w:fldCharType="begin"/>
    </w:r>
    <w:r>
      <w:rPr>
        <w:color w:val="595959"/>
        <w:sz w:val="16"/>
      </w:rPr>
      <w:instrText xml:space="preserve"> PAGE </w:instrText>
    </w:r>
    <w:r>
      <w:rPr>
        <w:color w:val="595959"/>
        <w:sz w:val="16"/>
      </w:rPr>
      <w:fldChar w:fldCharType="end"/>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http://schemas.openxmlformats.org/wordprocessingml/2006/main" xmlns:r="http://schemas.openxmlformats.org/officeDocument/2006/relationships">
  <w:p>
    <w:pPr>
      <w:pStyle w:val="Header"/>
      <w:jc w:val="center"/>
      <w:rPr>
        <w:i/>
        <w:color w:val="595959"/>
        <w:sz w:val="18"/>
      </w:rPr>
    </w:pPr>
    <w:r>
      <w:rPr>
        <w:i/>
        <w:color w:val="595959"/>
        <w:sz w:val="18"/>
      </w:rPr>
      <w:t xml:space="preserve">Stewards of the Republic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3489"/>
    <w:multiLevelType w:val="multilevel"/>
    <w:tmpl w:val="6E787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5225A4"/>
    <w:multiLevelType w:val="multilevel"/>
    <w:tmpl w:val="66C4CAE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2B46019"/>
    <w:multiLevelType w:val="multilevel"/>
    <w:tmpl w:val="B3E62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BF499E"/>
    <w:multiLevelType w:val="multilevel"/>
    <w:tmpl w:val="D098E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973402"/>
    <w:multiLevelType w:val="multilevel"/>
    <w:tmpl w:val="D7488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67569F0"/>
    <w:multiLevelType w:val="multilevel"/>
    <w:tmpl w:val="CBF0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E41006"/>
    <w:multiLevelType w:val="multilevel"/>
    <w:tmpl w:val="D8D2A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70D20AD"/>
    <w:multiLevelType w:val="multilevel"/>
    <w:tmpl w:val="6776A79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07126A7A"/>
    <w:multiLevelType w:val="hybridMultilevel"/>
    <w:tmpl w:val="41AE44A6"/>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9" w15:restartNumberingAfterBreak="0">
    <w:nsid w:val="078640D5"/>
    <w:multiLevelType w:val="multilevel"/>
    <w:tmpl w:val="C4A8D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89327AC"/>
    <w:multiLevelType w:val="multilevel"/>
    <w:tmpl w:val="45C85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8D914CD"/>
    <w:multiLevelType w:val="multilevel"/>
    <w:tmpl w:val="5590D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8E44A82"/>
    <w:multiLevelType w:val="multilevel"/>
    <w:tmpl w:val="21808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8F83062"/>
    <w:multiLevelType w:val="hybridMultilevel"/>
    <w:tmpl w:val="A17ED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9467879"/>
    <w:multiLevelType w:val="multilevel"/>
    <w:tmpl w:val="2732E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9CC01CD"/>
    <w:multiLevelType w:val="multilevel"/>
    <w:tmpl w:val="732860E8"/>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A993E95"/>
    <w:multiLevelType w:val="multilevel"/>
    <w:tmpl w:val="53881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AD707CC"/>
    <w:multiLevelType w:val="multilevel"/>
    <w:tmpl w:val="BAB06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B3F1236"/>
    <w:multiLevelType w:val="multilevel"/>
    <w:tmpl w:val="8CD68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D035787"/>
    <w:multiLevelType w:val="multilevel"/>
    <w:tmpl w:val="1A1AD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E0E682D"/>
    <w:multiLevelType w:val="multilevel"/>
    <w:tmpl w:val="93409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E4064F4"/>
    <w:multiLevelType w:val="multilevel"/>
    <w:tmpl w:val="7ED2C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FC23FDF"/>
    <w:multiLevelType w:val="multilevel"/>
    <w:tmpl w:val="3DB26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29D3BAF"/>
    <w:multiLevelType w:val="multilevel"/>
    <w:tmpl w:val="D78E0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2A868DF"/>
    <w:multiLevelType w:val="multilevel"/>
    <w:tmpl w:val="F2F6635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2DF3196"/>
    <w:multiLevelType w:val="multilevel"/>
    <w:tmpl w:val="22E03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3206C53"/>
    <w:multiLevelType w:val="multilevel"/>
    <w:tmpl w:val="0AEAF4D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15:restartNumberingAfterBreak="0">
    <w:nsid w:val="13706FC4"/>
    <w:multiLevelType w:val="multilevel"/>
    <w:tmpl w:val="1B003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4A23E40"/>
    <w:multiLevelType w:val="multilevel"/>
    <w:tmpl w:val="B770D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577283A"/>
    <w:multiLevelType w:val="multilevel"/>
    <w:tmpl w:val="E422670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15C273F8"/>
    <w:multiLevelType w:val="multilevel"/>
    <w:tmpl w:val="9EFCB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5E100FB"/>
    <w:multiLevelType w:val="multilevel"/>
    <w:tmpl w:val="A132A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7FB1EDA"/>
    <w:multiLevelType w:val="multilevel"/>
    <w:tmpl w:val="812E5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83262E5"/>
    <w:multiLevelType w:val="multilevel"/>
    <w:tmpl w:val="91E8E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9353F6B"/>
    <w:multiLevelType w:val="multilevel"/>
    <w:tmpl w:val="617A1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95C0BD3"/>
    <w:multiLevelType w:val="multilevel"/>
    <w:tmpl w:val="8228BC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9D52E58"/>
    <w:multiLevelType w:val="multilevel"/>
    <w:tmpl w:val="3280C76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4"/>
      <w:numFmt w:val="decimal"/>
      <w:lvlText w:val="%3."/>
      <w:lvlJc w:val="left"/>
      <w:pPr>
        <w:ind w:left="2160" w:hanging="360"/>
      </w:pPr>
      <w:rPr>
        <w:rFonts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A65385D"/>
    <w:multiLevelType w:val="multilevel"/>
    <w:tmpl w:val="EA2C1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A7F2A8E"/>
    <w:multiLevelType w:val="multilevel"/>
    <w:tmpl w:val="811C9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AC10337"/>
    <w:multiLevelType w:val="multilevel"/>
    <w:tmpl w:val="1C2C3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AD6415F"/>
    <w:multiLevelType w:val="multilevel"/>
    <w:tmpl w:val="29B6B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CF9261D"/>
    <w:multiLevelType w:val="multilevel"/>
    <w:tmpl w:val="9FC6E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DDA7AC5"/>
    <w:multiLevelType w:val="multilevel"/>
    <w:tmpl w:val="6AD61BB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3" w15:restartNumberingAfterBreak="0">
    <w:nsid w:val="20AC10D0"/>
    <w:multiLevelType w:val="multilevel"/>
    <w:tmpl w:val="61ECF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146409A"/>
    <w:multiLevelType w:val="multilevel"/>
    <w:tmpl w:val="12F46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1BA25DE"/>
    <w:multiLevelType w:val="multilevel"/>
    <w:tmpl w:val="E272F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270510C"/>
    <w:multiLevelType w:val="multilevel"/>
    <w:tmpl w:val="DF4CE3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2821C6A"/>
    <w:multiLevelType w:val="multilevel"/>
    <w:tmpl w:val="AE3E3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30E10B7"/>
    <w:multiLevelType w:val="multilevel"/>
    <w:tmpl w:val="E2D24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40C0EE5"/>
    <w:multiLevelType w:val="multilevel"/>
    <w:tmpl w:val="49BE4A6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0" w15:restartNumberingAfterBreak="0">
    <w:nsid w:val="256B211C"/>
    <w:multiLevelType w:val="multilevel"/>
    <w:tmpl w:val="D5B046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2582382B"/>
    <w:multiLevelType w:val="multilevel"/>
    <w:tmpl w:val="F7065FA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2" w15:restartNumberingAfterBreak="0">
    <w:nsid w:val="25851C1C"/>
    <w:multiLevelType w:val="multilevel"/>
    <w:tmpl w:val="28E06B8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3" w15:restartNumberingAfterBreak="0">
    <w:nsid w:val="258A4C0E"/>
    <w:multiLevelType w:val="multilevel"/>
    <w:tmpl w:val="EED85A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5EB65F7"/>
    <w:multiLevelType w:val="multilevel"/>
    <w:tmpl w:val="E36AE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703633F"/>
    <w:multiLevelType w:val="multilevel"/>
    <w:tmpl w:val="528C4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7F233F9"/>
    <w:multiLevelType w:val="multilevel"/>
    <w:tmpl w:val="37926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82D7BEA"/>
    <w:multiLevelType w:val="multilevel"/>
    <w:tmpl w:val="46D00D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8434A80"/>
    <w:multiLevelType w:val="multilevel"/>
    <w:tmpl w:val="B56ED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28916CB1"/>
    <w:multiLevelType w:val="multilevel"/>
    <w:tmpl w:val="2220B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AEF5880"/>
    <w:multiLevelType w:val="multilevel"/>
    <w:tmpl w:val="040A4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B5B0E77"/>
    <w:multiLevelType w:val="multilevel"/>
    <w:tmpl w:val="3D569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BD547BE"/>
    <w:multiLevelType w:val="multilevel"/>
    <w:tmpl w:val="EC0C0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2BF04CA4"/>
    <w:multiLevelType w:val="multilevel"/>
    <w:tmpl w:val="0C2653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2C1A0AE9"/>
    <w:multiLevelType w:val="multilevel"/>
    <w:tmpl w:val="6CB28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2C67257F"/>
    <w:multiLevelType w:val="multilevel"/>
    <w:tmpl w:val="4724804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6" w15:restartNumberingAfterBreak="0">
    <w:nsid w:val="2D4E486A"/>
    <w:multiLevelType w:val="multilevel"/>
    <w:tmpl w:val="83F02C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2D6B1191"/>
    <w:multiLevelType w:val="multilevel"/>
    <w:tmpl w:val="38D46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D886EAD"/>
    <w:multiLevelType w:val="multilevel"/>
    <w:tmpl w:val="5764F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DC22A7D"/>
    <w:multiLevelType w:val="multilevel"/>
    <w:tmpl w:val="52B0A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2DC356F8"/>
    <w:multiLevelType w:val="multilevel"/>
    <w:tmpl w:val="855C99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2E007F60"/>
    <w:multiLevelType w:val="multilevel"/>
    <w:tmpl w:val="CB506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2E0D726E"/>
    <w:multiLevelType w:val="multilevel"/>
    <w:tmpl w:val="91747CB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3" w15:restartNumberingAfterBreak="0">
    <w:nsid w:val="2E9423C8"/>
    <w:multiLevelType w:val="multilevel"/>
    <w:tmpl w:val="BD48E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EB63878"/>
    <w:multiLevelType w:val="multilevel"/>
    <w:tmpl w:val="3F52B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2F24471D"/>
    <w:multiLevelType w:val="multilevel"/>
    <w:tmpl w:val="ACA4A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F772FCA"/>
    <w:multiLevelType w:val="multilevel"/>
    <w:tmpl w:val="4C9AF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30EF0700"/>
    <w:multiLevelType w:val="multilevel"/>
    <w:tmpl w:val="6532C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31542B99"/>
    <w:multiLevelType w:val="multilevel"/>
    <w:tmpl w:val="A5E4BC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3214752D"/>
    <w:multiLevelType w:val="multilevel"/>
    <w:tmpl w:val="0544756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0" w15:restartNumberingAfterBreak="0">
    <w:nsid w:val="32D96254"/>
    <w:multiLevelType w:val="multilevel"/>
    <w:tmpl w:val="DF067CA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1" w15:restartNumberingAfterBreak="0">
    <w:nsid w:val="32F22D74"/>
    <w:multiLevelType w:val="multilevel"/>
    <w:tmpl w:val="F5545000"/>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333357C3"/>
    <w:multiLevelType w:val="multilevel"/>
    <w:tmpl w:val="13167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3341054F"/>
    <w:multiLevelType w:val="multilevel"/>
    <w:tmpl w:val="9B7A3C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34072499"/>
    <w:multiLevelType w:val="multilevel"/>
    <w:tmpl w:val="922E992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5" w15:restartNumberingAfterBreak="0">
    <w:nsid w:val="34887E3E"/>
    <w:multiLevelType w:val="multilevel"/>
    <w:tmpl w:val="C99AB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351C418F"/>
    <w:multiLevelType w:val="multilevel"/>
    <w:tmpl w:val="BA8C03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35AA772E"/>
    <w:multiLevelType w:val="multilevel"/>
    <w:tmpl w:val="EC3E9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35C05556"/>
    <w:multiLevelType w:val="multilevel"/>
    <w:tmpl w:val="172EA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69D734E"/>
    <w:multiLevelType w:val="multilevel"/>
    <w:tmpl w:val="9ABA7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6F50B74"/>
    <w:multiLevelType w:val="multilevel"/>
    <w:tmpl w:val="557E1C08"/>
    <w:lvl w:ilvl="0">
      <w:start w:val="1"/>
      <w:numFmt w:val="bullet"/>
      <w:pStyle w:val="Box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7B43038"/>
    <w:multiLevelType w:val="multilevel"/>
    <w:tmpl w:val="0B74D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38096A17"/>
    <w:multiLevelType w:val="multilevel"/>
    <w:tmpl w:val="6BD8A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8711365"/>
    <w:multiLevelType w:val="multilevel"/>
    <w:tmpl w:val="5FE40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8891BE5"/>
    <w:multiLevelType w:val="multilevel"/>
    <w:tmpl w:val="896C5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3A2D0C0F"/>
    <w:multiLevelType w:val="multilevel"/>
    <w:tmpl w:val="B20C208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6" w15:restartNumberingAfterBreak="0">
    <w:nsid w:val="3B6D768D"/>
    <w:multiLevelType w:val="multilevel"/>
    <w:tmpl w:val="B5DC7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3BB54721"/>
    <w:multiLevelType w:val="multilevel"/>
    <w:tmpl w:val="1C62253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8" w15:restartNumberingAfterBreak="0">
    <w:nsid w:val="3BC53099"/>
    <w:multiLevelType w:val="multilevel"/>
    <w:tmpl w:val="4E0CB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3BCB20FE"/>
    <w:multiLevelType w:val="multilevel"/>
    <w:tmpl w:val="10307388"/>
    <w:lvl w:ilvl="0">
      <w:start w:val="1"/>
      <w:numFmt w:val="decimal"/>
      <w:pStyle w:val="BulletNumbeered"/>
      <w:lvlText w:val="%1."/>
      <w:lvlJc w:val="left"/>
      <w:pPr>
        <w:tabs>
          <w:tab w:val="num" w:pos="720"/>
        </w:tabs>
        <w:ind w:left="720" w:hanging="360"/>
      </w:pPr>
      <w:rPr>
        <w:rFonts w:ascii="Palatino Linotype" w:hAnsi="Palatino Linotype" w:hint="default"/>
        <w:color w:val="000000"/>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3C2B06DE"/>
    <w:multiLevelType w:val="hybridMultilevel"/>
    <w:tmpl w:val="DC262F3C"/>
    <w:lvl w:ilvl="0" w:tplc="02E6B3A8">
      <w:numFmt w:val="bullet"/>
      <w:lvlText w:val=""/>
      <w:lvlJc w:val="left"/>
      <w:pPr>
        <w:ind w:left="570" w:hanging="360"/>
      </w:pPr>
      <w:rPr>
        <w:rFonts w:ascii="Wingdings" w:eastAsia="Google Sans Text" w:hAnsi="Wingdings" w:cs="Google Sans Text" w:hint="default"/>
      </w:rPr>
    </w:lvl>
    <w:lvl w:ilvl="1" w:tplc="04090003" w:tentative="1">
      <w:start w:val="1"/>
      <w:numFmt w:val="bullet"/>
      <w:lvlText w:val="o"/>
      <w:lvlJc w:val="left"/>
      <w:pPr>
        <w:ind w:left="1290" w:hanging="360"/>
      </w:pPr>
      <w:rPr>
        <w:rFonts w:ascii="Courier New" w:hAnsi="Courier New" w:cs="Courier New" w:hint="default"/>
      </w:rPr>
    </w:lvl>
    <w:lvl w:ilvl="2" w:tplc="04090005" w:tentative="1">
      <w:start w:val="1"/>
      <w:numFmt w:val="bullet"/>
      <w:lvlText w:val=""/>
      <w:lvlJc w:val="left"/>
      <w:pPr>
        <w:ind w:left="2010" w:hanging="360"/>
      </w:pPr>
      <w:rPr>
        <w:rFonts w:ascii="Wingdings" w:hAnsi="Wingdings" w:hint="default"/>
      </w:rPr>
    </w:lvl>
    <w:lvl w:ilvl="3" w:tplc="04090001" w:tentative="1">
      <w:start w:val="1"/>
      <w:numFmt w:val="bullet"/>
      <w:lvlText w:val=""/>
      <w:lvlJc w:val="left"/>
      <w:pPr>
        <w:ind w:left="2730" w:hanging="360"/>
      </w:pPr>
      <w:rPr>
        <w:rFonts w:ascii="Symbol" w:hAnsi="Symbol" w:hint="default"/>
      </w:rPr>
    </w:lvl>
    <w:lvl w:ilvl="4" w:tplc="04090003" w:tentative="1">
      <w:start w:val="1"/>
      <w:numFmt w:val="bullet"/>
      <w:lvlText w:val="o"/>
      <w:lvlJc w:val="left"/>
      <w:pPr>
        <w:ind w:left="3450" w:hanging="360"/>
      </w:pPr>
      <w:rPr>
        <w:rFonts w:ascii="Courier New" w:hAnsi="Courier New" w:cs="Courier New" w:hint="default"/>
      </w:rPr>
    </w:lvl>
    <w:lvl w:ilvl="5" w:tplc="04090005" w:tentative="1">
      <w:start w:val="1"/>
      <w:numFmt w:val="bullet"/>
      <w:lvlText w:val=""/>
      <w:lvlJc w:val="left"/>
      <w:pPr>
        <w:ind w:left="4170" w:hanging="360"/>
      </w:pPr>
      <w:rPr>
        <w:rFonts w:ascii="Wingdings" w:hAnsi="Wingdings" w:hint="default"/>
      </w:rPr>
    </w:lvl>
    <w:lvl w:ilvl="6" w:tplc="04090001" w:tentative="1">
      <w:start w:val="1"/>
      <w:numFmt w:val="bullet"/>
      <w:lvlText w:val=""/>
      <w:lvlJc w:val="left"/>
      <w:pPr>
        <w:ind w:left="4890" w:hanging="360"/>
      </w:pPr>
      <w:rPr>
        <w:rFonts w:ascii="Symbol" w:hAnsi="Symbol" w:hint="default"/>
      </w:rPr>
    </w:lvl>
    <w:lvl w:ilvl="7" w:tplc="04090003" w:tentative="1">
      <w:start w:val="1"/>
      <w:numFmt w:val="bullet"/>
      <w:lvlText w:val="o"/>
      <w:lvlJc w:val="left"/>
      <w:pPr>
        <w:ind w:left="5610" w:hanging="360"/>
      </w:pPr>
      <w:rPr>
        <w:rFonts w:ascii="Courier New" w:hAnsi="Courier New" w:cs="Courier New" w:hint="default"/>
      </w:rPr>
    </w:lvl>
    <w:lvl w:ilvl="8" w:tplc="04090005" w:tentative="1">
      <w:start w:val="1"/>
      <w:numFmt w:val="bullet"/>
      <w:lvlText w:val=""/>
      <w:lvlJc w:val="left"/>
      <w:pPr>
        <w:ind w:left="6330" w:hanging="360"/>
      </w:pPr>
      <w:rPr>
        <w:rFonts w:ascii="Wingdings" w:hAnsi="Wingdings" w:hint="default"/>
      </w:rPr>
    </w:lvl>
  </w:abstractNum>
  <w:abstractNum w:abstractNumId="101" w15:restartNumberingAfterBreak="0">
    <w:nsid w:val="3C555179"/>
    <w:multiLevelType w:val="multilevel"/>
    <w:tmpl w:val="CD249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C704ADB"/>
    <w:multiLevelType w:val="multilevel"/>
    <w:tmpl w:val="E534B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3C82108F"/>
    <w:multiLevelType w:val="multilevel"/>
    <w:tmpl w:val="CA20C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DCD2D9E"/>
    <w:multiLevelType w:val="multilevel"/>
    <w:tmpl w:val="8EA02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EB306FC"/>
    <w:multiLevelType w:val="multilevel"/>
    <w:tmpl w:val="64C2C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EC37C2D"/>
    <w:multiLevelType w:val="multilevel"/>
    <w:tmpl w:val="616008F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7" w15:restartNumberingAfterBreak="0">
    <w:nsid w:val="401E7C60"/>
    <w:multiLevelType w:val="multilevel"/>
    <w:tmpl w:val="6BB2E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40276AA6"/>
    <w:multiLevelType w:val="multilevel"/>
    <w:tmpl w:val="6AACA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40891277"/>
    <w:multiLevelType w:val="multilevel"/>
    <w:tmpl w:val="0DCEF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409A090C"/>
    <w:multiLevelType w:val="multilevel"/>
    <w:tmpl w:val="A0067D5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1" w15:restartNumberingAfterBreak="0">
    <w:nsid w:val="41231A37"/>
    <w:multiLevelType w:val="multilevel"/>
    <w:tmpl w:val="D4F2CDD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2" w15:restartNumberingAfterBreak="0">
    <w:nsid w:val="41BC1395"/>
    <w:multiLevelType w:val="multilevel"/>
    <w:tmpl w:val="BC0EE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42823B80"/>
    <w:multiLevelType w:val="multilevel"/>
    <w:tmpl w:val="B12ECA3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4" w15:restartNumberingAfterBreak="0">
    <w:nsid w:val="429B79E7"/>
    <w:multiLevelType w:val="multilevel"/>
    <w:tmpl w:val="AFF84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42DF370F"/>
    <w:multiLevelType w:val="multilevel"/>
    <w:tmpl w:val="14B6D8E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6" w15:restartNumberingAfterBreak="0">
    <w:nsid w:val="430312F6"/>
    <w:multiLevelType w:val="multilevel"/>
    <w:tmpl w:val="274CD12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7" w15:restartNumberingAfterBreak="0">
    <w:nsid w:val="439310B2"/>
    <w:multiLevelType w:val="multilevel"/>
    <w:tmpl w:val="45AC2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44313B65"/>
    <w:multiLevelType w:val="multilevel"/>
    <w:tmpl w:val="7D70C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44386BF3"/>
    <w:multiLevelType w:val="multilevel"/>
    <w:tmpl w:val="546C0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45A177C8"/>
    <w:multiLevelType w:val="multilevel"/>
    <w:tmpl w:val="ECBEB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45A35442"/>
    <w:multiLevelType w:val="multilevel"/>
    <w:tmpl w:val="7474EDF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2" w15:restartNumberingAfterBreak="0">
    <w:nsid w:val="473A371D"/>
    <w:multiLevelType w:val="multilevel"/>
    <w:tmpl w:val="19E27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476D7637"/>
    <w:multiLevelType w:val="multilevel"/>
    <w:tmpl w:val="D708E61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4" w15:restartNumberingAfterBreak="0">
    <w:nsid w:val="477D53A2"/>
    <w:multiLevelType w:val="multilevel"/>
    <w:tmpl w:val="63ECAD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47D87F39"/>
    <w:multiLevelType w:val="multilevel"/>
    <w:tmpl w:val="F9CA4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489241BE"/>
    <w:multiLevelType w:val="multilevel"/>
    <w:tmpl w:val="8A987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48D8594D"/>
    <w:multiLevelType w:val="multilevel"/>
    <w:tmpl w:val="3C808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49D7063B"/>
    <w:multiLevelType w:val="multilevel"/>
    <w:tmpl w:val="729437E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9" w15:restartNumberingAfterBreak="0">
    <w:nsid w:val="49F03E6A"/>
    <w:multiLevelType w:val="multilevel"/>
    <w:tmpl w:val="3496A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4A05674B"/>
    <w:multiLevelType w:val="multilevel"/>
    <w:tmpl w:val="000050B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1" w15:restartNumberingAfterBreak="0">
    <w:nsid w:val="4B51181A"/>
    <w:multiLevelType w:val="multilevel"/>
    <w:tmpl w:val="903612D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2" w15:restartNumberingAfterBreak="0">
    <w:nsid w:val="4B6076AA"/>
    <w:multiLevelType w:val="multilevel"/>
    <w:tmpl w:val="44A6F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4BCD2E3D"/>
    <w:multiLevelType w:val="multilevel"/>
    <w:tmpl w:val="243A2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4C841C46"/>
    <w:multiLevelType w:val="multilevel"/>
    <w:tmpl w:val="DBE44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4D1B409F"/>
    <w:multiLevelType w:val="multilevel"/>
    <w:tmpl w:val="9D123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4E6135DC"/>
    <w:multiLevelType w:val="multilevel"/>
    <w:tmpl w:val="EAF43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4F401538"/>
    <w:multiLevelType w:val="multilevel"/>
    <w:tmpl w:val="5C3AB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4FDB46EB"/>
    <w:multiLevelType w:val="multilevel"/>
    <w:tmpl w:val="D83E71E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9" w15:restartNumberingAfterBreak="0">
    <w:nsid w:val="503D6F2A"/>
    <w:multiLevelType w:val="hybridMultilevel"/>
    <w:tmpl w:val="CD9A09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0" w15:restartNumberingAfterBreak="0">
    <w:nsid w:val="50771B82"/>
    <w:multiLevelType w:val="multilevel"/>
    <w:tmpl w:val="00A2A02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1" w15:restartNumberingAfterBreak="0">
    <w:nsid w:val="51475281"/>
    <w:multiLevelType w:val="multilevel"/>
    <w:tmpl w:val="E20446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517A0002"/>
    <w:multiLevelType w:val="multilevel"/>
    <w:tmpl w:val="EFBC9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51D477CD"/>
    <w:multiLevelType w:val="multilevel"/>
    <w:tmpl w:val="885258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528A3A5A"/>
    <w:multiLevelType w:val="multilevel"/>
    <w:tmpl w:val="9606E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52960679"/>
    <w:multiLevelType w:val="multilevel"/>
    <w:tmpl w:val="F964F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533B4062"/>
    <w:multiLevelType w:val="multilevel"/>
    <w:tmpl w:val="823843C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7" w15:restartNumberingAfterBreak="0">
    <w:nsid w:val="5374515C"/>
    <w:multiLevelType w:val="multilevel"/>
    <w:tmpl w:val="118A3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549E6689"/>
    <w:multiLevelType w:val="multilevel"/>
    <w:tmpl w:val="A5F06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54BA3144"/>
    <w:multiLevelType w:val="multilevel"/>
    <w:tmpl w:val="79460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54F044A2"/>
    <w:multiLevelType w:val="multilevel"/>
    <w:tmpl w:val="5942B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55670DD9"/>
    <w:multiLevelType w:val="multilevel"/>
    <w:tmpl w:val="C0446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56594C26"/>
    <w:multiLevelType w:val="multilevel"/>
    <w:tmpl w:val="09765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56F40D0E"/>
    <w:multiLevelType w:val="multilevel"/>
    <w:tmpl w:val="1F3A6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58C84356"/>
    <w:multiLevelType w:val="multilevel"/>
    <w:tmpl w:val="F8A43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59C52E87"/>
    <w:multiLevelType w:val="multilevel"/>
    <w:tmpl w:val="77B25C2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6" w15:restartNumberingAfterBreak="0">
    <w:nsid w:val="5ACE56FB"/>
    <w:multiLevelType w:val="multilevel"/>
    <w:tmpl w:val="39BA1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5BAD53A6"/>
    <w:multiLevelType w:val="multilevel"/>
    <w:tmpl w:val="78F025D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8" w15:restartNumberingAfterBreak="0">
    <w:nsid w:val="5CC070F0"/>
    <w:multiLevelType w:val="multilevel"/>
    <w:tmpl w:val="D4404E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5CD94485"/>
    <w:multiLevelType w:val="multilevel"/>
    <w:tmpl w:val="E612F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5DB25203"/>
    <w:multiLevelType w:val="multilevel"/>
    <w:tmpl w:val="FF6A2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5E430B5C"/>
    <w:multiLevelType w:val="multilevel"/>
    <w:tmpl w:val="0A0EF7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5EC15B4E"/>
    <w:multiLevelType w:val="multilevel"/>
    <w:tmpl w:val="22DCC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5F16094C"/>
    <w:multiLevelType w:val="multilevel"/>
    <w:tmpl w:val="8E26A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5F476DD3"/>
    <w:multiLevelType w:val="multilevel"/>
    <w:tmpl w:val="FC223E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5F5F0A36"/>
    <w:multiLevelType w:val="multilevel"/>
    <w:tmpl w:val="BFB61C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5FD67132"/>
    <w:multiLevelType w:val="multilevel"/>
    <w:tmpl w:val="939C614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7" w15:restartNumberingAfterBreak="0">
    <w:nsid w:val="60126244"/>
    <w:multiLevelType w:val="multilevel"/>
    <w:tmpl w:val="4856A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60846D45"/>
    <w:multiLevelType w:val="multilevel"/>
    <w:tmpl w:val="6E983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60A2725D"/>
    <w:multiLevelType w:val="multilevel"/>
    <w:tmpl w:val="3CFAA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62A63F6A"/>
    <w:multiLevelType w:val="multilevel"/>
    <w:tmpl w:val="05945D9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1" w15:restartNumberingAfterBreak="0">
    <w:nsid w:val="62A80EDA"/>
    <w:multiLevelType w:val="multilevel"/>
    <w:tmpl w:val="008EA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635163EA"/>
    <w:multiLevelType w:val="multilevel"/>
    <w:tmpl w:val="A9F23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6357506A"/>
    <w:multiLevelType w:val="multilevel"/>
    <w:tmpl w:val="4F945B2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4" w15:restartNumberingAfterBreak="0">
    <w:nsid w:val="638B09D6"/>
    <w:multiLevelType w:val="multilevel"/>
    <w:tmpl w:val="22322FD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5" w15:restartNumberingAfterBreak="0">
    <w:nsid w:val="64C53728"/>
    <w:multiLevelType w:val="multilevel"/>
    <w:tmpl w:val="8576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65095320"/>
    <w:multiLevelType w:val="multilevel"/>
    <w:tmpl w:val="90EE6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6568227F"/>
    <w:multiLevelType w:val="multilevel"/>
    <w:tmpl w:val="4DB21DE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8" w15:restartNumberingAfterBreak="0">
    <w:nsid w:val="66132AA6"/>
    <w:multiLevelType w:val="multilevel"/>
    <w:tmpl w:val="B90C9A8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67A43AFE"/>
    <w:multiLevelType w:val="multilevel"/>
    <w:tmpl w:val="9E8C1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67A867E0"/>
    <w:multiLevelType w:val="multilevel"/>
    <w:tmpl w:val="B4825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68735F5F"/>
    <w:multiLevelType w:val="multilevel"/>
    <w:tmpl w:val="2DE62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68EE44CA"/>
    <w:multiLevelType w:val="multilevel"/>
    <w:tmpl w:val="64C8A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694423F9"/>
    <w:multiLevelType w:val="multilevel"/>
    <w:tmpl w:val="82903C3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4" w15:restartNumberingAfterBreak="0">
    <w:nsid w:val="6A5929D9"/>
    <w:multiLevelType w:val="multilevel"/>
    <w:tmpl w:val="6B062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6AA45C92"/>
    <w:multiLevelType w:val="multilevel"/>
    <w:tmpl w:val="0E52C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6B270AE9"/>
    <w:multiLevelType w:val="multilevel"/>
    <w:tmpl w:val="9BCC8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6B421227"/>
    <w:multiLevelType w:val="multilevel"/>
    <w:tmpl w:val="0974E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6C0B320D"/>
    <w:multiLevelType w:val="multilevel"/>
    <w:tmpl w:val="ADD2FEC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9" w15:restartNumberingAfterBreak="0">
    <w:nsid w:val="6D6A3EDD"/>
    <w:multiLevelType w:val="multilevel"/>
    <w:tmpl w:val="CC64BB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0" w15:restartNumberingAfterBreak="0">
    <w:nsid w:val="705C5C3B"/>
    <w:multiLevelType w:val="multilevel"/>
    <w:tmpl w:val="00AE6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7066477D"/>
    <w:multiLevelType w:val="multilevel"/>
    <w:tmpl w:val="A3F8C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711802C8"/>
    <w:multiLevelType w:val="multilevel"/>
    <w:tmpl w:val="8DB03B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71E65512"/>
    <w:multiLevelType w:val="multilevel"/>
    <w:tmpl w:val="A192D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7255063F"/>
    <w:multiLevelType w:val="multilevel"/>
    <w:tmpl w:val="97CE2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73294A23"/>
    <w:multiLevelType w:val="multilevel"/>
    <w:tmpl w:val="D3BC5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73E56B79"/>
    <w:multiLevelType w:val="multilevel"/>
    <w:tmpl w:val="1A406078"/>
    <w:lvl w:ilvl="0">
      <w:start w:val="1"/>
      <w:numFmt w:val="decimal"/>
      <w:lvlText w:val="%1."/>
      <w:lvlJc w:val="left"/>
      <w:pPr>
        <w:ind w:left="720" w:hanging="360"/>
      </w:pPr>
    </w:lvl>
    <w:lvl w:ilvl="1">
      <w:start w:val="1"/>
      <w:numFmt w:val="upp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7" w15:restartNumberingAfterBreak="0">
    <w:nsid w:val="750517B4"/>
    <w:multiLevelType w:val="multilevel"/>
    <w:tmpl w:val="0512C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75284068"/>
    <w:multiLevelType w:val="multilevel"/>
    <w:tmpl w:val="17520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75EB7ECE"/>
    <w:multiLevelType w:val="multilevel"/>
    <w:tmpl w:val="F036D83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0" w15:restartNumberingAfterBreak="0">
    <w:nsid w:val="76A27427"/>
    <w:multiLevelType w:val="multilevel"/>
    <w:tmpl w:val="999A4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76AC6782"/>
    <w:multiLevelType w:val="multilevel"/>
    <w:tmpl w:val="43E88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76C53E48"/>
    <w:multiLevelType w:val="multilevel"/>
    <w:tmpl w:val="2FAE92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76D33B8C"/>
    <w:multiLevelType w:val="hybridMultilevel"/>
    <w:tmpl w:val="49D02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15:restartNumberingAfterBreak="0">
    <w:nsid w:val="77DD3312"/>
    <w:multiLevelType w:val="multilevel"/>
    <w:tmpl w:val="E6BA0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78036894"/>
    <w:multiLevelType w:val="multilevel"/>
    <w:tmpl w:val="A9941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78471EAC"/>
    <w:multiLevelType w:val="multilevel"/>
    <w:tmpl w:val="B47C92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787456D3"/>
    <w:multiLevelType w:val="multilevel"/>
    <w:tmpl w:val="46023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78883C65"/>
    <w:multiLevelType w:val="multilevel"/>
    <w:tmpl w:val="4C78F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15:restartNumberingAfterBreak="0">
    <w:nsid w:val="789700DA"/>
    <w:multiLevelType w:val="multilevel"/>
    <w:tmpl w:val="9916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792305A9"/>
    <w:multiLevelType w:val="multilevel"/>
    <w:tmpl w:val="9E18A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79365BF8"/>
    <w:multiLevelType w:val="multilevel"/>
    <w:tmpl w:val="EFCCF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793708FA"/>
    <w:multiLevelType w:val="multilevel"/>
    <w:tmpl w:val="3C981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794D501E"/>
    <w:multiLevelType w:val="multilevel"/>
    <w:tmpl w:val="BF9E9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79E77127"/>
    <w:multiLevelType w:val="multilevel"/>
    <w:tmpl w:val="65DAE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7A4443B6"/>
    <w:multiLevelType w:val="multilevel"/>
    <w:tmpl w:val="AC28F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7AA73D30"/>
    <w:multiLevelType w:val="multilevel"/>
    <w:tmpl w:val="215E9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7B0010AD"/>
    <w:multiLevelType w:val="multilevel"/>
    <w:tmpl w:val="501CB682"/>
    <w:lvl w:ilvl="0">
      <w:start w:val="1"/>
      <w:numFmt w:val="bullet"/>
      <w:pStyle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7BDB5ACA"/>
    <w:multiLevelType w:val="multilevel"/>
    <w:tmpl w:val="639E36C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9" w15:restartNumberingAfterBreak="0">
    <w:nsid w:val="7C7E3B92"/>
    <w:multiLevelType w:val="multilevel"/>
    <w:tmpl w:val="01EAB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15:restartNumberingAfterBreak="0">
    <w:nsid w:val="7C7F6CDD"/>
    <w:multiLevelType w:val="multilevel"/>
    <w:tmpl w:val="5F2A647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1" w15:restartNumberingAfterBreak="0">
    <w:nsid w:val="7D3D6381"/>
    <w:multiLevelType w:val="multilevel"/>
    <w:tmpl w:val="21680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2" w15:restartNumberingAfterBreak="0">
    <w:nsid w:val="7F5414AD"/>
    <w:multiLevelType w:val="hybridMultilevel"/>
    <w:tmpl w:val="4496C5C6"/>
    <w:lvl w:ilvl="0" w:tplc="8430AA3C">
      <w:numFmt w:val="bullet"/>
      <w:lvlText w:val=""/>
      <w:lvlJc w:val="left"/>
      <w:pPr>
        <w:ind w:left="720" w:hanging="360"/>
      </w:pPr>
      <w:rPr>
        <w:rFonts w:ascii="Wingdings" w:eastAsia="Google Sans Text" w:hAnsi="Wingdings" w:cs="Google Sans Tex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3" w15:restartNumberingAfterBreak="0">
    <w:nsid w:val="7FF64CDF"/>
    <w:multiLevelType w:val="multilevel"/>
    <w:tmpl w:val="9B802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411">
    <w:nsid w:val="ea454b4c"/>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99731">
    <w:nsid w:val="71315dca"/>
    <w:multiLevelType w:val="multilevel"/>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lvl w:ilvl="7">
      <w:start w:val="1"/>
      <w:numFmt w:val="lowerLetter"/>
      <w:lvlText w:val="(%8)"/>
      <w:lvlJc w:val="left"/>
      <w:pPr>
        <w:tabs>
          <w:tab w:val="num" w:pos="5040"/>
        </w:tabs>
        <w:ind w:left="5520" w:hanging="480"/>
      </w:pPr>
    </w:lvl>
    <w:lvl w:ilvl="8">
      <w:start w:val="1"/>
      <w:numFmt w:val="lowerLetter"/>
      <w:lvlText w:val="(%9)"/>
      <w:lvlJc w:val="left"/>
      <w:pPr>
        <w:tabs>
          <w:tab w:val="num" w:pos="5760"/>
        </w:tabs>
        <w:ind w:left="6240" w:hanging="480"/>
      </w:pPr>
    </w:lvl>
  </w:abstractNum>
  <w:abstractNum w:abstractNumId="99734">
    <w:nsid w:val="47261bad"/>
    <w:multiLevelType w:val="multilevel"/>
    <w:lvl w:ilvl="0">
      <w:start w:val="4"/>
      <w:numFmt w:val="lowerLetter"/>
      <w:lvlText w:val="(%1)"/>
      <w:lvlJc w:val="left"/>
      <w:pPr>
        <w:tabs>
          <w:tab w:val="num" w:pos="0"/>
        </w:tabs>
        <w:ind w:left="480" w:hanging="480"/>
      </w:pPr>
    </w:lvl>
    <w:lvl w:ilvl="1">
      <w:start w:val="4"/>
      <w:numFmt w:val="lowerLetter"/>
      <w:lvlText w:val="(%2)"/>
      <w:lvlJc w:val="left"/>
      <w:pPr>
        <w:tabs>
          <w:tab w:val="num" w:pos="720"/>
        </w:tabs>
        <w:ind w:left="1200" w:hanging="480"/>
      </w:pPr>
    </w:lvl>
    <w:lvl w:ilvl="2">
      <w:start w:val="4"/>
      <w:numFmt w:val="lowerLetter"/>
      <w:lvlText w:val="(%3)"/>
      <w:lvlJc w:val="left"/>
      <w:pPr>
        <w:tabs>
          <w:tab w:val="num" w:pos="1440"/>
        </w:tabs>
        <w:ind w:left="1920" w:hanging="480"/>
      </w:pPr>
    </w:lvl>
    <w:lvl w:ilvl="3">
      <w:start w:val="4"/>
      <w:numFmt w:val="lowerLetter"/>
      <w:lvlText w:val="(%4)"/>
      <w:lvlJc w:val="left"/>
      <w:pPr>
        <w:tabs>
          <w:tab w:val="num" w:pos="2160"/>
        </w:tabs>
        <w:ind w:left="2640" w:hanging="480"/>
      </w:pPr>
    </w:lvl>
    <w:lvl w:ilvl="4">
      <w:start w:val="4"/>
      <w:numFmt w:val="lowerLetter"/>
      <w:lvlText w:val="(%5)"/>
      <w:lvlJc w:val="left"/>
      <w:pPr>
        <w:tabs>
          <w:tab w:val="num" w:pos="2880"/>
        </w:tabs>
        <w:ind w:left="3360" w:hanging="480"/>
      </w:pPr>
    </w:lvl>
    <w:lvl w:ilvl="5">
      <w:start w:val="4"/>
      <w:numFmt w:val="lowerLetter"/>
      <w:lvlText w:val="(%6)"/>
      <w:lvlJc w:val="left"/>
      <w:pPr>
        <w:tabs>
          <w:tab w:val="num" w:pos="3600"/>
        </w:tabs>
        <w:ind w:left="4080" w:hanging="480"/>
      </w:pPr>
    </w:lvl>
    <w:lvl w:ilvl="6">
      <w:start w:val="4"/>
      <w:numFmt w:val="lowerLetter"/>
      <w:lvlText w:val="(%7)"/>
      <w:lvlJc w:val="left"/>
      <w:pPr>
        <w:tabs>
          <w:tab w:val="num" w:pos="4320"/>
        </w:tabs>
        <w:ind w:left="4800" w:hanging="480"/>
      </w:pPr>
    </w:lvl>
    <w:lvl w:ilvl="7">
      <w:start w:val="4"/>
      <w:numFmt w:val="lowerLetter"/>
      <w:lvlText w:val="(%8)"/>
      <w:lvlJc w:val="left"/>
      <w:pPr>
        <w:tabs>
          <w:tab w:val="num" w:pos="5040"/>
        </w:tabs>
        <w:ind w:left="5520" w:hanging="480"/>
      </w:pPr>
    </w:lvl>
    <w:lvl w:ilvl="8">
      <w:start w:val="4"/>
      <w:numFmt w:val="lowerLetter"/>
      <w:lvlText w:val="(%9)"/>
      <w:lvlJc w:val="left"/>
      <w:pPr>
        <w:tabs>
          <w:tab w:val="num" w:pos="5760"/>
        </w:tabs>
        <w:ind w:left="6240" w:hanging="480"/>
      </w:pPr>
    </w:lvl>
  </w:abstractNum>
  <w:abstractNum w:abstractNumId="99431">
    <w:nsid w:val="b3cbbdee"/>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99732">
    <w:nsid w:val="4fbe019a"/>
    <w:multiLevelType w:val="multilevel"/>
    <w:lvl w:ilvl="0">
      <w:start w:val="2"/>
      <w:numFmt w:val="lowerLetter"/>
      <w:lvlText w:val="(%1)"/>
      <w:lvlJc w:val="left"/>
      <w:pPr>
        <w:tabs>
          <w:tab w:val="num" w:pos="0"/>
        </w:tabs>
        <w:ind w:left="480" w:hanging="480"/>
      </w:pPr>
    </w:lvl>
    <w:lvl w:ilvl="1">
      <w:start w:val="2"/>
      <w:numFmt w:val="lowerLetter"/>
      <w:lvlText w:val="(%2)"/>
      <w:lvlJc w:val="left"/>
      <w:pPr>
        <w:tabs>
          <w:tab w:val="num" w:pos="720"/>
        </w:tabs>
        <w:ind w:left="1200" w:hanging="480"/>
      </w:pPr>
    </w:lvl>
    <w:lvl w:ilvl="2">
      <w:start w:val="2"/>
      <w:numFmt w:val="lowerLetter"/>
      <w:lvlText w:val="(%3)"/>
      <w:lvlJc w:val="left"/>
      <w:pPr>
        <w:tabs>
          <w:tab w:val="num" w:pos="1440"/>
        </w:tabs>
        <w:ind w:left="1920" w:hanging="480"/>
      </w:pPr>
    </w:lvl>
    <w:lvl w:ilvl="3">
      <w:start w:val="2"/>
      <w:numFmt w:val="lowerLetter"/>
      <w:lvlText w:val="(%4)"/>
      <w:lvlJc w:val="left"/>
      <w:pPr>
        <w:tabs>
          <w:tab w:val="num" w:pos="2160"/>
        </w:tabs>
        <w:ind w:left="2640" w:hanging="480"/>
      </w:pPr>
    </w:lvl>
    <w:lvl w:ilvl="4">
      <w:start w:val="2"/>
      <w:numFmt w:val="lowerLetter"/>
      <w:lvlText w:val="(%5)"/>
      <w:lvlJc w:val="left"/>
      <w:pPr>
        <w:tabs>
          <w:tab w:val="num" w:pos="2880"/>
        </w:tabs>
        <w:ind w:left="3360" w:hanging="480"/>
      </w:pPr>
    </w:lvl>
    <w:lvl w:ilvl="5">
      <w:start w:val="2"/>
      <w:numFmt w:val="lowerLetter"/>
      <w:lvlText w:val="(%6)"/>
      <w:lvlJc w:val="left"/>
      <w:pPr>
        <w:tabs>
          <w:tab w:val="num" w:pos="3600"/>
        </w:tabs>
        <w:ind w:left="4080" w:hanging="480"/>
      </w:pPr>
    </w:lvl>
    <w:lvl w:ilvl="6">
      <w:start w:val="2"/>
      <w:numFmt w:val="lowerLetter"/>
      <w:lvlText w:val="(%7)"/>
      <w:lvlJc w:val="left"/>
      <w:pPr>
        <w:tabs>
          <w:tab w:val="num" w:pos="4320"/>
        </w:tabs>
        <w:ind w:left="4800" w:hanging="480"/>
      </w:pPr>
    </w:lvl>
    <w:lvl w:ilvl="7">
      <w:start w:val="2"/>
      <w:numFmt w:val="lowerLetter"/>
      <w:lvlText w:val="(%8)"/>
      <w:lvlJc w:val="left"/>
      <w:pPr>
        <w:tabs>
          <w:tab w:val="num" w:pos="5040"/>
        </w:tabs>
        <w:ind w:left="5520" w:hanging="480"/>
      </w:pPr>
    </w:lvl>
    <w:lvl w:ilvl="8">
      <w:start w:val="2"/>
      <w:numFmt w:val="lowerLetter"/>
      <w:lvlText w:val="(%9)"/>
      <w:lvlJc w:val="left"/>
      <w:pPr>
        <w:tabs>
          <w:tab w:val="num" w:pos="5760"/>
        </w:tabs>
        <w:ind w:left="6240" w:hanging="480"/>
      </w:pPr>
    </w:lvl>
  </w:abstractNum>
  <w:abstractNum w:abstractNumId="99436">
    <w:nsid w:val="91a27d85"/>
    <w:multiLevelType w:val="multilevel"/>
    <w:lvl w:ilvl="0">
      <w:start w:val="6"/>
      <w:numFmt w:val="decimal"/>
      <w:lvlText w:val="(%1)"/>
      <w:lvlJc w:val="left"/>
      <w:pPr>
        <w:tabs>
          <w:tab w:val="num" w:pos="0"/>
        </w:tabs>
        <w:ind w:left="480" w:hanging="480"/>
      </w:pPr>
    </w:lvl>
    <w:lvl w:ilvl="1">
      <w:start w:val="6"/>
      <w:numFmt w:val="decimal"/>
      <w:lvlText w:val="(%2)"/>
      <w:lvlJc w:val="left"/>
      <w:pPr>
        <w:tabs>
          <w:tab w:val="num" w:pos="720"/>
        </w:tabs>
        <w:ind w:left="1200" w:hanging="480"/>
      </w:pPr>
    </w:lvl>
    <w:lvl w:ilvl="2">
      <w:start w:val="6"/>
      <w:numFmt w:val="decimal"/>
      <w:lvlText w:val="(%3)"/>
      <w:lvlJc w:val="left"/>
      <w:pPr>
        <w:tabs>
          <w:tab w:val="num" w:pos="1440"/>
        </w:tabs>
        <w:ind w:left="1920" w:hanging="480"/>
      </w:pPr>
    </w:lvl>
    <w:lvl w:ilvl="3">
      <w:start w:val="6"/>
      <w:numFmt w:val="decimal"/>
      <w:lvlText w:val="(%4)"/>
      <w:lvlJc w:val="left"/>
      <w:pPr>
        <w:tabs>
          <w:tab w:val="num" w:pos="2160"/>
        </w:tabs>
        <w:ind w:left="2640" w:hanging="480"/>
      </w:pPr>
    </w:lvl>
    <w:lvl w:ilvl="4">
      <w:start w:val="6"/>
      <w:numFmt w:val="decimal"/>
      <w:lvlText w:val="(%5)"/>
      <w:lvlJc w:val="left"/>
      <w:pPr>
        <w:tabs>
          <w:tab w:val="num" w:pos="2880"/>
        </w:tabs>
        <w:ind w:left="3360" w:hanging="480"/>
      </w:pPr>
    </w:lvl>
    <w:lvl w:ilvl="5">
      <w:start w:val="6"/>
      <w:numFmt w:val="decimal"/>
      <w:lvlText w:val="(%6)"/>
      <w:lvlJc w:val="left"/>
      <w:pPr>
        <w:tabs>
          <w:tab w:val="num" w:pos="3600"/>
        </w:tabs>
        <w:ind w:left="4080" w:hanging="480"/>
      </w:pPr>
    </w:lvl>
    <w:lvl w:ilvl="6">
      <w:start w:val="6"/>
      <w:numFmt w:val="decimal"/>
      <w:lvlText w:val="(%7)"/>
      <w:lvlJc w:val="left"/>
      <w:pPr>
        <w:tabs>
          <w:tab w:val="num" w:pos="4320"/>
        </w:tabs>
        <w:ind w:left="4800" w:hanging="480"/>
      </w:pPr>
    </w:lvl>
    <w:lvl w:ilvl="7">
      <w:start w:val="6"/>
      <w:numFmt w:val="decimal"/>
      <w:lvlText w:val="(%8)"/>
      <w:lvlJc w:val="left"/>
      <w:pPr>
        <w:tabs>
          <w:tab w:val="num" w:pos="5040"/>
        </w:tabs>
        <w:ind w:left="5520" w:hanging="480"/>
      </w:pPr>
    </w:lvl>
    <w:lvl w:ilvl="8">
      <w:start w:val="6"/>
      <w:numFmt w:val="decimal"/>
      <w:lvlText w:val="(%9)"/>
      <w:lvlJc w:val="left"/>
      <w:pPr>
        <w:tabs>
          <w:tab w:val="num" w:pos="5760"/>
        </w:tabs>
        <w:ind w:left="6240" w:hanging="480"/>
      </w:pPr>
    </w:lvl>
  </w:abstractNum>
  <w:abstractNum w:abstractNumId="99733">
    <w:nsid w:val="615f1ed2"/>
    <w:multiLevelType w:val="multilevel"/>
    <w:lvl w:ilvl="0">
      <w:start w:val="3"/>
      <w:numFmt w:val="lowerLetter"/>
      <w:lvlText w:val="(%1)"/>
      <w:lvlJc w:val="left"/>
      <w:pPr>
        <w:tabs>
          <w:tab w:val="num" w:pos="0"/>
        </w:tabs>
        <w:ind w:left="480" w:hanging="480"/>
      </w:pPr>
    </w:lvl>
    <w:lvl w:ilvl="1">
      <w:start w:val="3"/>
      <w:numFmt w:val="lowerLetter"/>
      <w:lvlText w:val="(%2)"/>
      <w:lvlJc w:val="left"/>
      <w:pPr>
        <w:tabs>
          <w:tab w:val="num" w:pos="720"/>
        </w:tabs>
        <w:ind w:left="1200" w:hanging="480"/>
      </w:pPr>
    </w:lvl>
    <w:lvl w:ilvl="2">
      <w:start w:val="3"/>
      <w:numFmt w:val="lowerLetter"/>
      <w:lvlText w:val="(%3)"/>
      <w:lvlJc w:val="left"/>
      <w:pPr>
        <w:tabs>
          <w:tab w:val="num" w:pos="1440"/>
        </w:tabs>
        <w:ind w:left="1920" w:hanging="480"/>
      </w:pPr>
    </w:lvl>
    <w:lvl w:ilvl="3">
      <w:start w:val="3"/>
      <w:numFmt w:val="lowerLetter"/>
      <w:lvlText w:val="(%4)"/>
      <w:lvlJc w:val="left"/>
      <w:pPr>
        <w:tabs>
          <w:tab w:val="num" w:pos="2160"/>
        </w:tabs>
        <w:ind w:left="2640" w:hanging="480"/>
      </w:pPr>
    </w:lvl>
    <w:lvl w:ilvl="4">
      <w:start w:val="3"/>
      <w:numFmt w:val="lowerLetter"/>
      <w:lvlText w:val="(%5)"/>
      <w:lvlJc w:val="left"/>
      <w:pPr>
        <w:tabs>
          <w:tab w:val="num" w:pos="2880"/>
        </w:tabs>
        <w:ind w:left="3360" w:hanging="480"/>
      </w:pPr>
    </w:lvl>
    <w:lvl w:ilvl="5">
      <w:start w:val="3"/>
      <w:numFmt w:val="lowerLetter"/>
      <w:lvlText w:val="(%6)"/>
      <w:lvlJc w:val="left"/>
      <w:pPr>
        <w:tabs>
          <w:tab w:val="num" w:pos="3600"/>
        </w:tabs>
        <w:ind w:left="4080" w:hanging="480"/>
      </w:pPr>
    </w:lvl>
    <w:lvl w:ilvl="6">
      <w:start w:val="3"/>
      <w:numFmt w:val="lowerLetter"/>
      <w:lvlText w:val="(%7)"/>
      <w:lvlJc w:val="left"/>
      <w:pPr>
        <w:tabs>
          <w:tab w:val="num" w:pos="4320"/>
        </w:tabs>
        <w:ind w:left="4800" w:hanging="480"/>
      </w:pPr>
    </w:lvl>
    <w:lvl w:ilvl="7">
      <w:start w:val="3"/>
      <w:numFmt w:val="lowerLetter"/>
      <w:lvlText w:val="(%8)"/>
      <w:lvlJc w:val="left"/>
      <w:pPr>
        <w:tabs>
          <w:tab w:val="num" w:pos="5040"/>
        </w:tabs>
        <w:ind w:left="5520" w:hanging="480"/>
      </w:pPr>
    </w:lvl>
    <w:lvl w:ilvl="8">
      <w:start w:val="3"/>
      <w:numFmt w:val="lowerLetter"/>
      <w:lvlText w:val="(%9)"/>
      <w:lvlJc w:val="left"/>
      <w:pPr>
        <w:tabs>
          <w:tab w:val="num" w:pos="5760"/>
        </w:tabs>
        <w:ind w:left="6240" w:hanging="480"/>
      </w:pPr>
    </w:lvl>
  </w:abstractNum>
  <w:abstractNum w:abstractNumId="99737">
    <w:nsid w:val="238d8174"/>
    <w:multiLevelType w:val="multilevel"/>
    <w:lvl w:ilvl="0">
      <w:start w:val="7"/>
      <w:numFmt w:val="lowerLetter"/>
      <w:lvlText w:val="(%1)"/>
      <w:lvlJc w:val="left"/>
      <w:pPr>
        <w:tabs>
          <w:tab w:val="num" w:pos="0"/>
        </w:tabs>
        <w:ind w:left="480" w:hanging="480"/>
      </w:pPr>
    </w:lvl>
    <w:lvl w:ilvl="1">
      <w:start w:val="7"/>
      <w:numFmt w:val="lowerLetter"/>
      <w:lvlText w:val="(%2)"/>
      <w:lvlJc w:val="left"/>
      <w:pPr>
        <w:tabs>
          <w:tab w:val="num" w:pos="720"/>
        </w:tabs>
        <w:ind w:left="1200" w:hanging="480"/>
      </w:pPr>
    </w:lvl>
    <w:lvl w:ilvl="2">
      <w:start w:val="7"/>
      <w:numFmt w:val="lowerLetter"/>
      <w:lvlText w:val="(%3)"/>
      <w:lvlJc w:val="left"/>
      <w:pPr>
        <w:tabs>
          <w:tab w:val="num" w:pos="1440"/>
        </w:tabs>
        <w:ind w:left="1920" w:hanging="480"/>
      </w:pPr>
    </w:lvl>
    <w:lvl w:ilvl="3">
      <w:start w:val="7"/>
      <w:numFmt w:val="lowerLetter"/>
      <w:lvlText w:val="(%4)"/>
      <w:lvlJc w:val="left"/>
      <w:pPr>
        <w:tabs>
          <w:tab w:val="num" w:pos="2160"/>
        </w:tabs>
        <w:ind w:left="2640" w:hanging="480"/>
      </w:pPr>
    </w:lvl>
    <w:lvl w:ilvl="4">
      <w:start w:val="7"/>
      <w:numFmt w:val="lowerLetter"/>
      <w:lvlText w:val="(%5)"/>
      <w:lvlJc w:val="left"/>
      <w:pPr>
        <w:tabs>
          <w:tab w:val="num" w:pos="2880"/>
        </w:tabs>
        <w:ind w:left="3360" w:hanging="480"/>
      </w:pPr>
    </w:lvl>
    <w:lvl w:ilvl="5">
      <w:start w:val="7"/>
      <w:numFmt w:val="lowerLetter"/>
      <w:lvlText w:val="(%6)"/>
      <w:lvlJc w:val="left"/>
      <w:pPr>
        <w:tabs>
          <w:tab w:val="num" w:pos="3600"/>
        </w:tabs>
        <w:ind w:left="4080" w:hanging="480"/>
      </w:pPr>
    </w:lvl>
    <w:lvl w:ilvl="6">
      <w:start w:val="7"/>
      <w:numFmt w:val="lowerLetter"/>
      <w:lvlText w:val="(%7)"/>
      <w:lvlJc w:val="left"/>
      <w:pPr>
        <w:tabs>
          <w:tab w:val="num" w:pos="4320"/>
        </w:tabs>
        <w:ind w:left="4800" w:hanging="480"/>
      </w:pPr>
    </w:lvl>
    <w:lvl w:ilvl="7">
      <w:start w:val="7"/>
      <w:numFmt w:val="lowerLetter"/>
      <w:lvlText w:val="(%8)"/>
      <w:lvlJc w:val="left"/>
      <w:pPr>
        <w:tabs>
          <w:tab w:val="num" w:pos="5040"/>
        </w:tabs>
        <w:ind w:left="5520" w:hanging="480"/>
      </w:pPr>
    </w:lvl>
    <w:lvl w:ilvl="8">
      <w:start w:val="7"/>
      <w:numFmt w:val="lowerLetter"/>
      <w:lvlText w:val="(%9)"/>
      <w:lvlJc w:val="left"/>
      <w:pPr>
        <w:tabs>
          <w:tab w:val="num" w:pos="5760"/>
        </w:tabs>
        <w:ind w:left="6240" w:hanging="480"/>
      </w:pPr>
    </w:lvl>
  </w:abstractNum>
  <w:num w:numId="1" w16cid:durableId="1747649596">
    <w:abstractNumId w:val="131"/>
  </w:num>
  <w:num w:numId="2" w16cid:durableId="883911778">
    <w:abstractNumId w:val="95"/>
  </w:num>
  <w:num w:numId="3" w16cid:durableId="551618336">
    <w:abstractNumId w:val="84"/>
  </w:num>
  <w:num w:numId="4" w16cid:durableId="1401296210">
    <w:abstractNumId w:val="140"/>
  </w:num>
  <w:num w:numId="5" w16cid:durableId="617958071">
    <w:abstractNumId w:val="26"/>
  </w:num>
  <w:num w:numId="6" w16cid:durableId="1880437804">
    <w:abstractNumId w:val="170"/>
  </w:num>
  <w:num w:numId="7" w16cid:durableId="361174028">
    <w:abstractNumId w:val="52"/>
  </w:num>
  <w:num w:numId="8" w16cid:durableId="1960448749">
    <w:abstractNumId w:val="115"/>
  </w:num>
  <w:num w:numId="9" w16cid:durableId="2098363378">
    <w:abstractNumId w:val="42"/>
  </w:num>
  <w:num w:numId="10" w16cid:durableId="1077435058">
    <w:abstractNumId w:val="157"/>
  </w:num>
  <w:num w:numId="11" w16cid:durableId="327710405">
    <w:abstractNumId w:val="130"/>
  </w:num>
  <w:num w:numId="12" w16cid:durableId="1449854649">
    <w:abstractNumId w:val="65"/>
  </w:num>
  <w:num w:numId="13" w16cid:durableId="167453876">
    <w:abstractNumId w:val="111"/>
  </w:num>
  <w:num w:numId="14" w16cid:durableId="188833294">
    <w:abstractNumId w:val="100"/>
  </w:num>
  <w:num w:numId="15" w16cid:durableId="872885304">
    <w:abstractNumId w:val="190"/>
  </w:num>
  <w:num w:numId="16" w16cid:durableId="229772076">
    <w:abstractNumId w:val="222"/>
  </w:num>
  <w:num w:numId="17" w16cid:durableId="6180342">
    <w:abstractNumId w:val="90"/>
  </w:num>
  <w:num w:numId="18" w16cid:durableId="2035112719">
    <w:abstractNumId w:val="31"/>
  </w:num>
  <w:num w:numId="19" w16cid:durableId="342361198">
    <w:abstractNumId w:val="75"/>
  </w:num>
  <w:num w:numId="20" w16cid:durableId="277031651">
    <w:abstractNumId w:val="109"/>
  </w:num>
  <w:num w:numId="21" w16cid:durableId="720052681">
    <w:abstractNumId w:val="37"/>
  </w:num>
  <w:num w:numId="22" w16cid:durableId="190803654">
    <w:abstractNumId w:val="4"/>
  </w:num>
  <w:num w:numId="23" w16cid:durableId="1334071851">
    <w:abstractNumId w:val="9"/>
  </w:num>
  <w:num w:numId="24" w16cid:durableId="1652640673">
    <w:abstractNumId w:val="195"/>
  </w:num>
  <w:num w:numId="25" w16cid:durableId="456874883">
    <w:abstractNumId w:val="68"/>
  </w:num>
  <w:num w:numId="26" w16cid:durableId="604506644">
    <w:abstractNumId w:val="137"/>
  </w:num>
  <w:num w:numId="27" w16cid:durableId="948010113">
    <w:abstractNumId w:val="148"/>
  </w:num>
  <w:num w:numId="28" w16cid:durableId="205262988">
    <w:abstractNumId w:val="172"/>
  </w:num>
  <w:num w:numId="29" w16cid:durableId="1969043435">
    <w:abstractNumId w:val="62"/>
  </w:num>
  <w:num w:numId="30" w16cid:durableId="631597432">
    <w:abstractNumId w:val="64"/>
  </w:num>
  <w:num w:numId="31" w16cid:durableId="1556429664">
    <w:abstractNumId w:val="221"/>
  </w:num>
  <w:num w:numId="32" w16cid:durableId="632832415">
    <w:abstractNumId w:val="39"/>
  </w:num>
  <w:num w:numId="33" w16cid:durableId="1395003120">
    <w:abstractNumId w:val="76"/>
  </w:num>
  <w:num w:numId="34" w16cid:durableId="34896189">
    <w:abstractNumId w:val="85"/>
  </w:num>
  <w:num w:numId="35" w16cid:durableId="429008878">
    <w:abstractNumId w:val="61"/>
  </w:num>
  <w:num w:numId="36" w16cid:durableId="1528762483">
    <w:abstractNumId w:val="12"/>
  </w:num>
  <w:num w:numId="37" w16cid:durableId="212086747">
    <w:abstractNumId w:val="125"/>
  </w:num>
  <w:num w:numId="38" w16cid:durableId="989136311">
    <w:abstractNumId w:val="175"/>
  </w:num>
  <w:num w:numId="39" w16cid:durableId="1379429444">
    <w:abstractNumId w:val="168"/>
  </w:num>
  <w:num w:numId="40" w16cid:durableId="570581103">
    <w:abstractNumId w:val="82"/>
  </w:num>
  <w:num w:numId="41" w16cid:durableId="890919220">
    <w:abstractNumId w:val="135"/>
  </w:num>
  <w:num w:numId="42" w16cid:durableId="48462462">
    <w:abstractNumId w:val="102"/>
  </w:num>
  <w:num w:numId="43" w16cid:durableId="1520923415">
    <w:abstractNumId w:val="50"/>
  </w:num>
  <w:num w:numId="44" w16cid:durableId="1588686787">
    <w:abstractNumId w:val="211"/>
  </w:num>
  <w:num w:numId="45" w16cid:durableId="393967326">
    <w:abstractNumId w:val="15"/>
  </w:num>
  <w:num w:numId="46" w16cid:durableId="438061699">
    <w:abstractNumId w:val="185"/>
  </w:num>
  <w:num w:numId="47" w16cid:durableId="1190754953">
    <w:abstractNumId w:val="81"/>
  </w:num>
  <w:num w:numId="48" w16cid:durableId="90248742">
    <w:abstractNumId w:val="181"/>
  </w:num>
  <w:num w:numId="49" w16cid:durableId="917178225">
    <w:abstractNumId w:val="165"/>
  </w:num>
  <w:num w:numId="50" w16cid:durableId="396244404">
    <w:abstractNumId w:val="20"/>
  </w:num>
  <w:num w:numId="51" w16cid:durableId="585001513">
    <w:abstractNumId w:val="16"/>
  </w:num>
  <w:num w:numId="52" w16cid:durableId="585965262">
    <w:abstractNumId w:val="169"/>
  </w:num>
  <w:num w:numId="53" w16cid:durableId="685837071">
    <w:abstractNumId w:val="210"/>
  </w:num>
  <w:num w:numId="54" w16cid:durableId="1576474405">
    <w:abstractNumId w:val="104"/>
  </w:num>
  <w:num w:numId="55" w16cid:durableId="633945348">
    <w:abstractNumId w:val="118"/>
  </w:num>
  <w:num w:numId="56" w16cid:durableId="294991950">
    <w:abstractNumId w:val="209"/>
  </w:num>
  <w:num w:numId="57" w16cid:durableId="61804189">
    <w:abstractNumId w:val="122"/>
  </w:num>
  <w:num w:numId="58" w16cid:durableId="1165320625">
    <w:abstractNumId w:val="117"/>
  </w:num>
  <w:num w:numId="59" w16cid:durableId="827089927">
    <w:abstractNumId w:val="25"/>
  </w:num>
  <w:num w:numId="60" w16cid:durableId="2043819265">
    <w:abstractNumId w:val="94"/>
  </w:num>
  <w:num w:numId="61" w16cid:durableId="708606461">
    <w:abstractNumId w:val="63"/>
  </w:num>
  <w:num w:numId="62" w16cid:durableId="1864438336">
    <w:abstractNumId w:val="108"/>
  </w:num>
  <w:num w:numId="63" w16cid:durableId="1345788721">
    <w:abstractNumId w:val="149"/>
  </w:num>
  <w:num w:numId="64" w16cid:durableId="960696726">
    <w:abstractNumId w:val="154"/>
  </w:num>
  <w:num w:numId="65" w16cid:durableId="1873609506">
    <w:abstractNumId w:val="160"/>
  </w:num>
  <w:num w:numId="66" w16cid:durableId="460268879">
    <w:abstractNumId w:val="153"/>
  </w:num>
  <w:num w:numId="67" w16cid:durableId="1858152858">
    <w:abstractNumId w:val="171"/>
  </w:num>
  <w:num w:numId="68" w16cid:durableId="83035268">
    <w:abstractNumId w:val="59"/>
  </w:num>
  <w:num w:numId="69" w16cid:durableId="1764715511">
    <w:abstractNumId w:val="147"/>
  </w:num>
  <w:num w:numId="70" w16cid:durableId="1237745521">
    <w:abstractNumId w:val="58"/>
  </w:num>
  <w:num w:numId="71" w16cid:durableId="669791037">
    <w:abstractNumId w:val="152"/>
  </w:num>
  <w:num w:numId="72" w16cid:durableId="2082557437">
    <w:abstractNumId w:val="18"/>
  </w:num>
  <w:num w:numId="73" w16cid:durableId="1841432104">
    <w:abstractNumId w:val="53"/>
  </w:num>
  <w:num w:numId="74" w16cid:durableId="1948850038">
    <w:abstractNumId w:val="73"/>
  </w:num>
  <w:num w:numId="75" w16cid:durableId="2109884301">
    <w:abstractNumId w:val="129"/>
  </w:num>
  <w:num w:numId="76" w16cid:durableId="1018241483">
    <w:abstractNumId w:val="93"/>
  </w:num>
  <w:num w:numId="77" w16cid:durableId="132062523">
    <w:abstractNumId w:val="34"/>
  </w:num>
  <w:num w:numId="78" w16cid:durableId="1863547834">
    <w:abstractNumId w:val="41"/>
  </w:num>
  <w:num w:numId="79" w16cid:durableId="1831361123">
    <w:abstractNumId w:val="87"/>
  </w:num>
  <w:num w:numId="80" w16cid:durableId="1726299848">
    <w:abstractNumId w:val="150"/>
  </w:num>
  <w:num w:numId="81" w16cid:durableId="1483044302">
    <w:abstractNumId w:val="136"/>
  </w:num>
  <w:num w:numId="82" w16cid:durableId="1479616947">
    <w:abstractNumId w:val="40"/>
  </w:num>
  <w:num w:numId="83" w16cid:durableId="947082019">
    <w:abstractNumId w:val="98"/>
  </w:num>
  <w:num w:numId="84" w16cid:durableId="1303778409">
    <w:abstractNumId w:val="96"/>
  </w:num>
  <w:num w:numId="85" w16cid:durableId="2100783447">
    <w:abstractNumId w:val="69"/>
  </w:num>
  <w:num w:numId="86" w16cid:durableId="70858142">
    <w:abstractNumId w:val="214"/>
  </w:num>
  <w:num w:numId="87" w16cid:durableId="859120519">
    <w:abstractNumId w:val="158"/>
  </w:num>
  <w:num w:numId="88" w16cid:durableId="1476987612">
    <w:abstractNumId w:val="78"/>
  </w:num>
  <w:num w:numId="89" w16cid:durableId="1762141280">
    <w:abstractNumId w:val="141"/>
  </w:num>
  <w:num w:numId="90" w16cid:durableId="1976909139">
    <w:abstractNumId w:val="66"/>
  </w:num>
  <w:num w:numId="91" w16cid:durableId="430398597">
    <w:abstractNumId w:val="223"/>
  </w:num>
  <w:num w:numId="92" w16cid:durableId="1173959403">
    <w:abstractNumId w:val="46"/>
  </w:num>
  <w:num w:numId="93" w16cid:durableId="434906350">
    <w:abstractNumId w:val="28"/>
  </w:num>
  <w:num w:numId="94" w16cid:durableId="662706413">
    <w:abstractNumId w:val="213"/>
  </w:num>
  <w:num w:numId="95" w16cid:durableId="1360276423">
    <w:abstractNumId w:val="14"/>
  </w:num>
  <w:num w:numId="96" w16cid:durableId="599145869">
    <w:abstractNumId w:val="86"/>
  </w:num>
  <w:num w:numId="97" w16cid:durableId="1570654677">
    <w:abstractNumId w:val="119"/>
  </w:num>
  <w:num w:numId="98" w16cid:durableId="362681795">
    <w:abstractNumId w:val="91"/>
  </w:num>
  <w:num w:numId="99" w16cid:durableId="441269114">
    <w:abstractNumId w:val="3"/>
  </w:num>
  <w:num w:numId="100" w16cid:durableId="1562204398">
    <w:abstractNumId w:val="202"/>
  </w:num>
  <w:num w:numId="101" w16cid:durableId="779378611">
    <w:abstractNumId w:val="164"/>
  </w:num>
  <w:num w:numId="102" w16cid:durableId="1784494982">
    <w:abstractNumId w:val="77"/>
  </w:num>
  <w:num w:numId="103" w16cid:durableId="1595743273">
    <w:abstractNumId w:val="124"/>
  </w:num>
  <w:num w:numId="104" w16cid:durableId="273904660">
    <w:abstractNumId w:val="54"/>
  </w:num>
  <w:num w:numId="105" w16cid:durableId="1976182414">
    <w:abstractNumId w:val="204"/>
  </w:num>
  <w:num w:numId="106" w16cid:durableId="1446851035">
    <w:abstractNumId w:val="216"/>
  </w:num>
  <w:num w:numId="107" w16cid:durableId="872379869">
    <w:abstractNumId w:val="191"/>
  </w:num>
  <w:num w:numId="108" w16cid:durableId="1020009137">
    <w:abstractNumId w:val="178"/>
  </w:num>
  <w:num w:numId="109" w16cid:durableId="1810896960">
    <w:abstractNumId w:val="27"/>
  </w:num>
  <w:num w:numId="110" w16cid:durableId="248320358">
    <w:abstractNumId w:val="207"/>
  </w:num>
  <w:num w:numId="111" w16cid:durableId="1000347546">
    <w:abstractNumId w:val="92"/>
  </w:num>
  <w:num w:numId="112" w16cid:durableId="1907837805">
    <w:abstractNumId w:val="60"/>
  </w:num>
  <w:num w:numId="113" w16cid:durableId="1805923039">
    <w:abstractNumId w:val="205"/>
  </w:num>
  <w:num w:numId="114" w16cid:durableId="1767336736">
    <w:abstractNumId w:val="193"/>
  </w:num>
  <w:num w:numId="115" w16cid:durableId="2134669207">
    <w:abstractNumId w:val="17"/>
  </w:num>
  <w:num w:numId="116" w16cid:durableId="727189156">
    <w:abstractNumId w:val="67"/>
  </w:num>
  <w:num w:numId="117" w16cid:durableId="233322434">
    <w:abstractNumId w:val="5"/>
  </w:num>
  <w:num w:numId="118" w16cid:durableId="2063097559">
    <w:abstractNumId w:val="103"/>
  </w:num>
  <w:num w:numId="119" w16cid:durableId="1742799338">
    <w:abstractNumId w:val="88"/>
  </w:num>
  <w:num w:numId="120" w16cid:durableId="1761415645">
    <w:abstractNumId w:val="151"/>
  </w:num>
  <w:num w:numId="121" w16cid:durableId="1687439585">
    <w:abstractNumId w:val="133"/>
  </w:num>
  <w:num w:numId="122" w16cid:durableId="431704298">
    <w:abstractNumId w:val="44"/>
  </w:num>
  <w:num w:numId="123" w16cid:durableId="255482916">
    <w:abstractNumId w:val="208"/>
  </w:num>
  <w:num w:numId="124" w16cid:durableId="1178806444">
    <w:abstractNumId w:val="33"/>
  </w:num>
  <w:num w:numId="125" w16cid:durableId="1847548474">
    <w:abstractNumId w:val="184"/>
  </w:num>
  <w:num w:numId="126" w16cid:durableId="350498717">
    <w:abstractNumId w:val="55"/>
  </w:num>
  <w:num w:numId="127" w16cid:durableId="2145155337">
    <w:abstractNumId w:val="145"/>
  </w:num>
  <w:num w:numId="128" w16cid:durableId="614404026">
    <w:abstractNumId w:val="30"/>
  </w:num>
  <w:num w:numId="129" w16cid:durableId="1205170905">
    <w:abstractNumId w:val="182"/>
  </w:num>
  <w:num w:numId="130" w16cid:durableId="1741444944">
    <w:abstractNumId w:val="197"/>
  </w:num>
  <w:num w:numId="131" w16cid:durableId="122040359">
    <w:abstractNumId w:val="83"/>
  </w:num>
  <w:num w:numId="132" w16cid:durableId="304970797">
    <w:abstractNumId w:val="35"/>
  </w:num>
  <w:num w:numId="133" w16cid:durableId="1755128469">
    <w:abstractNumId w:val="74"/>
  </w:num>
  <w:num w:numId="134" w16cid:durableId="542442443">
    <w:abstractNumId w:val="167"/>
  </w:num>
  <w:num w:numId="135" w16cid:durableId="78409045">
    <w:abstractNumId w:val="194"/>
  </w:num>
  <w:num w:numId="136" w16cid:durableId="383720759">
    <w:abstractNumId w:val="127"/>
  </w:num>
  <w:num w:numId="137" w16cid:durableId="451485696">
    <w:abstractNumId w:val="10"/>
  </w:num>
  <w:num w:numId="138" w16cid:durableId="1803688526">
    <w:abstractNumId w:val="217"/>
  </w:num>
  <w:num w:numId="139" w16cid:durableId="1014577321">
    <w:abstractNumId w:val="180"/>
  </w:num>
  <w:num w:numId="140" w16cid:durableId="387850445">
    <w:abstractNumId w:val="212"/>
  </w:num>
  <w:num w:numId="141" w16cid:durableId="743575082">
    <w:abstractNumId w:val="43"/>
  </w:num>
  <w:num w:numId="142" w16cid:durableId="2039888707">
    <w:abstractNumId w:val="45"/>
  </w:num>
  <w:num w:numId="143" w16cid:durableId="223638892">
    <w:abstractNumId w:val="22"/>
  </w:num>
  <w:num w:numId="144" w16cid:durableId="1260404991">
    <w:abstractNumId w:val="155"/>
  </w:num>
  <w:num w:numId="145" w16cid:durableId="1420831479">
    <w:abstractNumId w:val="138"/>
  </w:num>
  <w:num w:numId="146" w16cid:durableId="604266570">
    <w:abstractNumId w:val="183"/>
  </w:num>
  <w:num w:numId="147" w16cid:durableId="939728177">
    <w:abstractNumId w:val="220"/>
  </w:num>
  <w:num w:numId="148" w16cid:durableId="1851791108">
    <w:abstractNumId w:val="106"/>
  </w:num>
  <w:num w:numId="149" w16cid:durableId="1802646557">
    <w:abstractNumId w:val="110"/>
  </w:num>
  <w:num w:numId="150" w16cid:durableId="61224333">
    <w:abstractNumId w:val="173"/>
  </w:num>
  <w:num w:numId="151" w16cid:durableId="561259417">
    <w:abstractNumId w:val="199"/>
  </w:num>
  <w:num w:numId="152" w16cid:durableId="1758401630">
    <w:abstractNumId w:val="79"/>
  </w:num>
  <w:num w:numId="153" w16cid:durableId="908156862">
    <w:abstractNumId w:val="166"/>
  </w:num>
  <w:num w:numId="154" w16cid:durableId="1323583325">
    <w:abstractNumId w:val="7"/>
  </w:num>
  <w:num w:numId="155" w16cid:durableId="561017569">
    <w:abstractNumId w:val="128"/>
  </w:num>
  <w:num w:numId="156" w16cid:durableId="306250680">
    <w:abstractNumId w:val="113"/>
  </w:num>
  <w:num w:numId="157" w16cid:durableId="142476682">
    <w:abstractNumId w:val="49"/>
  </w:num>
  <w:num w:numId="158" w16cid:durableId="2130510687">
    <w:abstractNumId w:val="146"/>
  </w:num>
  <w:num w:numId="159" w16cid:durableId="1998610819">
    <w:abstractNumId w:val="189"/>
  </w:num>
  <w:num w:numId="160" w16cid:durableId="1897083838">
    <w:abstractNumId w:val="123"/>
  </w:num>
  <w:num w:numId="161" w16cid:durableId="2110814498">
    <w:abstractNumId w:val="72"/>
  </w:num>
  <w:num w:numId="162" w16cid:durableId="306516272">
    <w:abstractNumId w:val="51"/>
  </w:num>
  <w:num w:numId="163" w16cid:durableId="272129454">
    <w:abstractNumId w:val="188"/>
  </w:num>
  <w:num w:numId="164" w16cid:durableId="1988165822">
    <w:abstractNumId w:val="196"/>
  </w:num>
  <w:num w:numId="165" w16cid:durableId="2118671223">
    <w:abstractNumId w:val="116"/>
  </w:num>
  <w:num w:numId="166" w16cid:durableId="1229733423">
    <w:abstractNumId w:val="80"/>
  </w:num>
  <w:num w:numId="167" w16cid:durableId="1898123009">
    <w:abstractNumId w:val="29"/>
  </w:num>
  <w:num w:numId="168" w16cid:durableId="621108653">
    <w:abstractNumId w:val="218"/>
  </w:num>
  <w:num w:numId="169" w16cid:durableId="1759712268">
    <w:abstractNumId w:val="174"/>
  </w:num>
  <w:num w:numId="170" w16cid:durableId="381559796">
    <w:abstractNumId w:val="97"/>
  </w:num>
  <w:num w:numId="171" w16cid:durableId="839583911">
    <w:abstractNumId w:val="24"/>
  </w:num>
  <w:num w:numId="172" w16cid:durableId="638343574">
    <w:abstractNumId w:val="177"/>
  </w:num>
  <w:num w:numId="173" w16cid:durableId="1498114944">
    <w:abstractNumId w:val="121"/>
  </w:num>
  <w:num w:numId="174" w16cid:durableId="282221">
    <w:abstractNumId w:val="1"/>
  </w:num>
  <w:num w:numId="175" w16cid:durableId="795022705">
    <w:abstractNumId w:val="134"/>
  </w:num>
  <w:num w:numId="176" w16cid:durableId="1793330212">
    <w:abstractNumId w:val="219"/>
  </w:num>
  <w:num w:numId="177" w16cid:durableId="1938518194">
    <w:abstractNumId w:val="176"/>
  </w:num>
  <w:num w:numId="178" w16cid:durableId="14890569">
    <w:abstractNumId w:val="159"/>
  </w:num>
  <w:num w:numId="179" w16cid:durableId="591351588">
    <w:abstractNumId w:val="70"/>
  </w:num>
  <w:num w:numId="180" w16cid:durableId="1617181281">
    <w:abstractNumId w:val="23"/>
  </w:num>
  <w:num w:numId="181" w16cid:durableId="614016924">
    <w:abstractNumId w:val="161"/>
  </w:num>
  <w:num w:numId="182" w16cid:durableId="1333292323">
    <w:abstractNumId w:val="142"/>
  </w:num>
  <w:num w:numId="183" w16cid:durableId="615454769">
    <w:abstractNumId w:val="57"/>
  </w:num>
  <w:num w:numId="184" w16cid:durableId="748966063">
    <w:abstractNumId w:val="105"/>
  </w:num>
  <w:num w:numId="185" w16cid:durableId="356273885">
    <w:abstractNumId w:val="11"/>
  </w:num>
  <w:num w:numId="186" w16cid:durableId="1852723124">
    <w:abstractNumId w:val="163"/>
  </w:num>
  <w:num w:numId="187" w16cid:durableId="18120394">
    <w:abstractNumId w:val="206"/>
  </w:num>
  <w:num w:numId="188" w16cid:durableId="230623623">
    <w:abstractNumId w:val="186"/>
  </w:num>
  <w:num w:numId="189" w16cid:durableId="6950476">
    <w:abstractNumId w:val="47"/>
  </w:num>
  <w:num w:numId="190" w16cid:durableId="1227447919">
    <w:abstractNumId w:val="71"/>
  </w:num>
  <w:num w:numId="191" w16cid:durableId="983000034">
    <w:abstractNumId w:val="0"/>
  </w:num>
  <w:num w:numId="192" w16cid:durableId="1565948638">
    <w:abstractNumId w:val="126"/>
  </w:num>
  <w:num w:numId="193" w16cid:durableId="1156800600">
    <w:abstractNumId w:val="179"/>
  </w:num>
  <w:num w:numId="194" w16cid:durableId="1646157175">
    <w:abstractNumId w:val="187"/>
  </w:num>
  <w:num w:numId="195" w16cid:durableId="81727290">
    <w:abstractNumId w:val="89"/>
  </w:num>
  <w:num w:numId="196" w16cid:durableId="187062853">
    <w:abstractNumId w:val="120"/>
  </w:num>
  <w:num w:numId="197" w16cid:durableId="1971010502">
    <w:abstractNumId w:val="192"/>
  </w:num>
  <w:num w:numId="198" w16cid:durableId="910696221">
    <w:abstractNumId w:val="132"/>
  </w:num>
  <w:num w:numId="199" w16cid:durableId="120730720">
    <w:abstractNumId w:val="144"/>
  </w:num>
  <w:num w:numId="200" w16cid:durableId="1640064950">
    <w:abstractNumId w:val="99"/>
  </w:num>
  <w:num w:numId="201" w16cid:durableId="2025741294">
    <w:abstractNumId w:val="13"/>
  </w:num>
  <w:num w:numId="202" w16cid:durableId="1349016807">
    <w:abstractNumId w:val="201"/>
  </w:num>
  <w:num w:numId="203" w16cid:durableId="84571000">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16cid:durableId="508639595">
    <w:abstractNumId w:val="215"/>
  </w:num>
  <w:num w:numId="205" w16cid:durableId="1107703135">
    <w:abstractNumId w:val="6"/>
  </w:num>
  <w:num w:numId="206" w16cid:durableId="618339373">
    <w:abstractNumId w:val="198"/>
  </w:num>
  <w:num w:numId="207" w16cid:durableId="1250888040">
    <w:abstractNumId w:val="32"/>
  </w:num>
  <w:num w:numId="208" w16cid:durableId="1838761143">
    <w:abstractNumId w:val="38"/>
  </w:num>
  <w:num w:numId="209" w16cid:durableId="1559432910">
    <w:abstractNumId w:val="114"/>
  </w:num>
  <w:num w:numId="210" w16cid:durableId="486094217">
    <w:abstractNumId w:val="156"/>
  </w:num>
  <w:num w:numId="211" w16cid:durableId="1979797098">
    <w:abstractNumId w:val="56"/>
  </w:num>
  <w:num w:numId="212" w16cid:durableId="1629314137">
    <w:abstractNumId w:val="21"/>
  </w:num>
  <w:num w:numId="213" w16cid:durableId="1419329223">
    <w:abstractNumId w:val="112"/>
  </w:num>
  <w:num w:numId="214" w16cid:durableId="1961256641">
    <w:abstractNumId w:val="200"/>
  </w:num>
  <w:num w:numId="215" w16cid:durableId="927808271">
    <w:abstractNumId w:val="101"/>
  </w:num>
  <w:num w:numId="216" w16cid:durableId="1905752237">
    <w:abstractNumId w:val="139"/>
  </w:num>
  <w:num w:numId="217" w16cid:durableId="1445735079">
    <w:abstractNumId w:val="8"/>
  </w:num>
  <w:num w:numId="218" w16cid:durableId="1090738500">
    <w:abstractNumId w:val="143"/>
  </w:num>
  <w:num w:numId="219" w16cid:durableId="1248925017">
    <w:abstractNumId w:val="36"/>
  </w:num>
  <w:num w:numId="220" w16cid:durableId="364722671">
    <w:abstractNumId w:val="48"/>
  </w:num>
  <w:num w:numId="221" w16cid:durableId="985012261">
    <w:abstractNumId w:val="19"/>
  </w:num>
  <w:num w:numId="222" w16cid:durableId="1527255727">
    <w:abstractNumId w:val="203"/>
  </w:num>
  <w:num w:numId="223" w16cid:durableId="1874999020">
    <w:abstractNumId w:val="107"/>
  </w:num>
  <w:num w:numId="224" w16cid:durableId="2130203210">
    <w:abstractNumId w:val="162"/>
  </w:num>
  <w:num w:numId="225" w16cid:durableId="1772044163">
    <w:abstractNumId w:val="2"/>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73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5">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73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12">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4">
    <w:abstractNumId w:val="9973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15">
    <w:abstractNumId w:val="9973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16">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7">
    <w:abstractNumId w:val="9973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18">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9">
    <w:abstractNumId w:val="9973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20">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1">
    <w:abstractNumId w:val="9973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22">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3">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4">
    <w:abstractNumId w:val="9973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25">
    <w:abstractNumId w:val="9943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1026">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7">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8">
    <w:abstractNumId w:val="9973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29">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0">
    <w:abstractNumId w:val="9973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31">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2">
    <w:abstractNumId w:val="9973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33">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4">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5">
    <w:abstractNumId w:val="99737"/>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290"/>
    <w:rPr>
      <w:rFonts w:ascii="Palatino Linotype" w:hAnsi="Palatino Linotype"/>
      <w:sz w:val="22"/>
    </w:rPr>
  </w:style>
  <w:style w:type="paragraph" w:styleId="Heading1">
    <w:name w:val="heading 1"/>
    <w:basedOn w:val="Normal"/>
    <w:next w:val="Normal"/>
    <w:link w:val="Heading1Char"/>
    <w:uiPriority w:val="9"/>
    <w:qFormat/>
    <w:rsid w:val="00456CD0"/>
    <w:pPr>
      <w:keepNext/>
      <w:keepLines/>
      <w:spacing w:after="240"/>
      <w:outlineLvl w:val="0"/>
    </w:pPr>
    <w:rPr>
      <w:rFonts w:ascii="Source Sans Pro" w:eastAsiaTheme="majorEastAsia" w:hAnsi="Source Sans Pro" w:cstheme="majorBidi"/>
      <w:b/>
      <w:color w:val="164432"/>
      <w:sz w:val="40"/>
      <w:szCs w:val="40"/>
    </w:rPr>
  </w:style>
  <w:style w:type="paragraph" w:styleId="Heading2">
    <w:name w:val="heading 2"/>
    <w:basedOn w:val="Normal"/>
    <w:next w:val="Normal"/>
    <w:link w:val="Heading2Char"/>
    <w:uiPriority w:val="9"/>
    <w:unhideWhenUsed/>
    <w:qFormat/>
    <w:rsid w:val="00456CD0"/>
    <w:pPr>
      <w:keepNext/>
      <w:keepLines/>
      <w:spacing w:before="360" w:after="120"/>
      <w:outlineLvl w:val="1"/>
    </w:pPr>
    <w:rPr>
      <w:rFonts w:ascii="Source Sans Pro" w:eastAsiaTheme="majorEastAsia" w:hAnsi="Source Sans Pro" w:cstheme="majorBidi"/>
      <w:color w:val="164432"/>
      <w:sz w:val="32"/>
      <w:szCs w:val="32"/>
    </w:rPr>
  </w:style>
  <w:style w:type="paragraph" w:styleId="Heading3">
    <w:name w:val="heading 3"/>
    <w:basedOn w:val="Normal"/>
    <w:next w:val="Normal"/>
    <w:link w:val="Heading3Char"/>
    <w:uiPriority w:val="9"/>
    <w:unhideWhenUsed/>
    <w:qFormat/>
    <w:rsid w:val="0076240E"/>
    <w:pPr>
      <w:keepNext/>
      <w:keepLines/>
      <w:spacing w:before="160" w:after="80"/>
      <w:outlineLvl w:val="2"/>
    </w:pPr>
    <w:rPr>
      <w:rFonts w:ascii="Source Sans Pro" w:eastAsiaTheme="majorEastAsia" w:hAnsi="Source Sans Pro" w:cstheme="majorBidi"/>
      <w:color w:val="164432"/>
      <w:sz w:val="28"/>
      <w:szCs w:val="28"/>
    </w:rPr>
  </w:style>
  <w:style w:type="paragraph" w:styleId="Heading4">
    <w:name w:val="heading 4"/>
    <w:basedOn w:val="Normal"/>
    <w:next w:val="Normal"/>
    <w:link w:val="Heading4Char"/>
    <w:uiPriority w:val="9"/>
    <w:unhideWhenUsed/>
    <w:qFormat/>
    <w:rsid w:val="000119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19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19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19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19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19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6CD0"/>
    <w:rPr>
      <w:rFonts w:ascii="Source Sans Pro" w:eastAsiaTheme="majorEastAsia" w:hAnsi="Source Sans Pro" w:cstheme="majorBidi"/>
      <w:b/>
      <w:color w:val="164432"/>
      <w:sz w:val="40"/>
      <w:szCs w:val="40"/>
    </w:rPr>
  </w:style>
  <w:style w:type="character" w:customStyle="1" w:styleId="Heading2Char">
    <w:name w:val="Heading 2 Char"/>
    <w:basedOn w:val="DefaultParagraphFont"/>
    <w:link w:val="Heading2"/>
    <w:uiPriority w:val="9"/>
    <w:rsid w:val="00456CD0"/>
    <w:rPr>
      <w:rFonts w:ascii="Source Sans Pro" w:eastAsiaTheme="majorEastAsia" w:hAnsi="Source Sans Pro" w:cstheme="majorBidi"/>
      <w:color w:val="164432"/>
      <w:sz w:val="32"/>
      <w:szCs w:val="32"/>
    </w:rPr>
  </w:style>
  <w:style w:type="character" w:customStyle="1" w:styleId="Heading3Char">
    <w:name w:val="Heading 3 Char"/>
    <w:basedOn w:val="DefaultParagraphFont"/>
    <w:link w:val="Heading3"/>
    <w:uiPriority w:val="9"/>
    <w:rsid w:val="0076240E"/>
    <w:rPr>
      <w:rFonts w:ascii="Source Sans Pro" w:eastAsiaTheme="majorEastAsia" w:hAnsi="Source Sans Pro" w:cstheme="majorBidi"/>
      <w:color w:val="164432"/>
      <w:sz w:val="28"/>
      <w:szCs w:val="28"/>
    </w:rPr>
  </w:style>
  <w:style w:type="character" w:customStyle="1" w:styleId="Heading4Char">
    <w:name w:val="Heading 4 Char"/>
    <w:basedOn w:val="DefaultParagraphFont"/>
    <w:link w:val="Heading4"/>
    <w:uiPriority w:val="9"/>
    <w:rsid w:val="000119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19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19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19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19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198C"/>
    <w:rPr>
      <w:rFonts w:eastAsiaTheme="majorEastAsia" w:cstheme="majorBidi"/>
      <w:color w:val="272727" w:themeColor="text1" w:themeTint="D8"/>
    </w:rPr>
  </w:style>
  <w:style w:type="paragraph" w:styleId="Title">
    <w:name w:val="Title"/>
    <w:basedOn w:val="Normal"/>
    <w:next w:val="Normal"/>
    <w:link w:val="TitleChar"/>
    <w:uiPriority w:val="10"/>
    <w:qFormat/>
    <w:rsid w:val="00985525"/>
    <w:pPr>
      <w:spacing w:after="80" w:line="240" w:lineRule="auto"/>
      <w:contextualSpacing/>
    </w:pPr>
    <w:rPr>
      <w:rFonts w:ascii="Source Sans Pro" w:eastAsiaTheme="majorEastAsia" w:hAnsi="Source Sans Pro" w:cstheme="majorBidi"/>
      <w:color w:val="164432"/>
      <w:spacing w:val="-10"/>
      <w:kern w:val="28"/>
      <w:sz w:val="56"/>
      <w:szCs w:val="56"/>
    </w:rPr>
  </w:style>
  <w:style w:type="character" w:customStyle="1" w:styleId="TitleChar">
    <w:name w:val="Title Char"/>
    <w:basedOn w:val="DefaultParagraphFont"/>
    <w:link w:val="Title"/>
    <w:uiPriority w:val="10"/>
    <w:rsid w:val="00985525"/>
    <w:rPr>
      <w:rFonts w:ascii="Source Sans Pro" w:eastAsiaTheme="majorEastAsia" w:hAnsi="Source Sans Pro" w:cstheme="majorBidi"/>
      <w:color w:val="164432"/>
      <w:spacing w:val="-10"/>
      <w:kern w:val="28"/>
      <w:sz w:val="56"/>
      <w:szCs w:val="56"/>
    </w:rPr>
  </w:style>
  <w:style w:type="paragraph" w:styleId="Subtitle">
    <w:name w:val="Subtitle"/>
    <w:basedOn w:val="Normal"/>
    <w:next w:val="Normal"/>
    <w:link w:val="SubtitleChar"/>
    <w:uiPriority w:val="11"/>
    <w:qFormat/>
    <w:rsid w:val="000119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19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283C"/>
    <w:pPr>
      <w:spacing w:before="160"/>
      <w:ind w:left="720" w:right="720"/>
      <w:jc w:val="center"/>
    </w:pPr>
    <w:rPr>
      <w:i/>
      <w:iCs/>
      <w:color w:val="404040" w:themeColor="text1" w:themeTint="BF"/>
      <w:sz w:val="32"/>
      <w:szCs w:val="32"/>
    </w:rPr>
  </w:style>
  <w:style w:type="character" w:customStyle="1" w:styleId="QuoteChar">
    <w:name w:val="Quote Char"/>
    <w:basedOn w:val="DefaultParagraphFont"/>
    <w:link w:val="Quote"/>
    <w:uiPriority w:val="29"/>
    <w:rsid w:val="0062283C"/>
    <w:rPr>
      <w:i/>
      <w:iCs/>
      <w:color w:val="404040" w:themeColor="text1" w:themeTint="BF"/>
      <w:sz w:val="32"/>
      <w:szCs w:val="32"/>
    </w:rPr>
  </w:style>
  <w:style w:type="paragraph" w:styleId="ListParagraph">
    <w:name w:val="List Paragraph"/>
    <w:basedOn w:val="Normal"/>
    <w:uiPriority w:val="34"/>
    <w:qFormat/>
    <w:rsid w:val="0001198C"/>
    <w:pPr>
      <w:ind w:left="720"/>
      <w:contextualSpacing/>
    </w:pPr>
  </w:style>
  <w:style w:type="character" w:styleId="IntenseEmphasis">
    <w:name w:val="Intense Emphasis"/>
    <w:basedOn w:val="DefaultParagraphFont"/>
    <w:uiPriority w:val="21"/>
    <w:qFormat/>
    <w:rsid w:val="0001198C"/>
    <w:rPr>
      <w:i/>
      <w:iCs/>
      <w:color w:val="0F4761" w:themeColor="accent1" w:themeShade="BF"/>
    </w:rPr>
  </w:style>
  <w:style w:type="paragraph" w:styleId="IntenseQuote">
    <w:name w:val="Intense Quote"/>
    <w:basedOn w:val="Normal"/>
    <w:next w:val="Normal"/>
    <w:link w:val="IntenseQuoteChar"/>
    <w:uiPriority w:val="30"/>
    <w:qFormat/>
    <w:rsid w:val="00166494"/>
    <w:pPr>
      <w:pBdr>
        <w:top w:val="single" w:sz="4" w:space="10" w:color="0F4761" w:themeColor="accent1" w:themeShade="BF"/>
        <w:bottom w:val="single" w:sz="4" w:space="10" w:color="0F4761" w:themeColor="accent1" w:themeShade="BF"/>
      </w:pBdr>
      <w:spacing w:before="360" w:after="360"/>
      <w:ind w:left="864" w:right="864"/>
      <w:jc w:val="center"/>
    </w:pPr>
    <w:rPr>
      <w:b/>
      <w:bCs/>
      <w:i/>
      <w:iCs/>
      <w:color w:val="164432"/>
      <w:sz w:val="24"/>
    </w:rPr>
  </w:style>
  <w:style w:type="character" w:customStyle="1" w:styleId="IntenseQuoteChar">
    <w:name w:val="Intense Quote Char"/>
    <w:basedOn w:val="DefaultParagraphFont"/>
    <w:link w:val="IntenseQuote"/>
    <w:uiPriority w:val="30"/>
    <w:rsid w:val="00166494"/>
    <w:rPr>
      <w:rFonts w:ascii="Palatino Linotype" w:hAnsi="Palatino Linotype"/>
      <w:b/>
      <w:bCs/>
      <w:i/>
      <w:iCs/>
      <w:color w:val="164432"/>
    </w:rPr>
  </w:style>
  <w:style w:type="character" w:styleId="IntenseReference">
    <w:name w:val="Intense Reference"/>
    <w:basedOn w:val="DefaultParagraphFont"/>
    <w:uiPriority w:val="32"/>
    <w:qFormat/>
    <w:rsid w:val="0001198C"/>
    <w:rPr>
      <w:b/>
      <w:bCs/>
      <w:smallCaps/>
      <w:color w:val="0F4761" w:themeColor="accent1" w:themeShade="BF"/>
      <w:spacing w:val="5"/>
    </w:rPr>
  </w:style>
  <w:style w:type="paragraph" w:styleId="TOCHeading">
    <w:name w:val="TOC Heading"/>
    <w:basedOn w:val="Heading1"/>
    <w:next w:val="Normal"/>
    <w:uiPriority w:val="39"/>
    <w:unhideWhenUsed/>
    <w:qFormat/>
    <w:rsid w:val="0001198C"/>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01198C"/>
    <w:pPr>
      <w:spacing w:after="100"/>
    </w:pPr>
  </w:style>
  <w:style w:type="paragraph" w:styleId="TOC2">
    <w:name w:val="toc 2"/>
    <w:basedOn w:val="Normal"/>
    <w:next w:val="Normal"/>
    <w:autoRedefine/>
    <w:uiPriority w:val="39"/>
    <w:unhideWhenUsed/>
    <w:rsid w:val="0001198C"/>
    <w:pPr>
      <w:spacing w:after="100"/>
      <w:ind w:left="240"/>
    </w:pPr>
  </w:style>
  <w:style w:type="character" w:styleId="Hyperlink">
    <w:name w:val="Hyperlink"/>
    <w:basedOn w:val="DefaultParagraphFont"/>
    <w:uiPriority w:val="99"/>
    <w:unhideWhenUsed/>
    <w:rsid w:val="0001198C"/>
    <w:rPr>
      <w:color w:val="467886" w:themeColor="hyperlink"/>
      <w:u w:val="single"/>
    </w:rPr>
  </w:style>
  <w:style w:type="paragraph" w:styleId="TOC3">
    <w:name w:val="toc 3"/>
    <w:basedOn w:val="Normal"/>
    <w:next w:val="Normal"/>
    <w:autoRedefine/>
    <w:uiPriority w:val="39"/>
    <w:unhideWhenUsed/>
    <w:rsid w:val="001332E7"/>
    <w:pPr>
      <w:spacing w:after="100"/>
      <w:ind w:left="480"/>
    </w:pPr>
  </w:style>
  <w:style w:type="table" w:styleId="TableGrid">
    <w:name w:val="Table Grid"/>
    <w:basedOn w:val="TableNormal"/>
    <w:uiPriority w:val="59"/>
    <w:rsid w:val="001E2EDE"/>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Header">
    <w:name w:val="Box Header"/>
    <w:basedOn w:val="Normal"/>
    <w:qFormat/>
    <w:rsid w:val="001E2EDE"/>
    <w:pPr>
      <w:keepNext/>
      <w:pBdr>
        <w:top w:val="nil"/>
        <w:left w:val="nil"/>
        <w:bottom w:val="nil"/>
        <w:right w:val="nil"/>
        <w:between w:val="nil"/>
      </w:pBdr>
      <w:shd w:val="clear" w:color="auto" w:fill="DAE9F7" w:themeFill="text2" w:themeFillTint="1A"/>
      <w:spacing w:after="240" w:line="276" w:lineRule="auto"/>
      <w:ind w:left="605" w:right="605"/>
    </w:pPr>
    <w:rPr>
      <w:rFonts w:ascii="Google Sans Text" w:eastAsia="Google Sans Text" w:hAnsi="Google Sans Text" w:cs="Google Sans Text"/>
      <w:b/>
      <w:color w:val="1B1C1D"/>
    </w:rPr>
  </w:style>
  <w:style w:type="paragraph" w:styleId="NormalWeb">
    <w:name w:val="Normal (Web)"/>
    <w:basedOn w:val="Normal"/>
    <w:uiPriority w:val="99"/>
    <w:semiHidden/>
    <w:unhideWhenUsed/>
    <w:rsid w:val="005B566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5B5661"/>
    <w:rPr>
      <w:b/>
      <w:bCs/>
    </w:rPr>
  </w:style>
  <w:style w:type="character" w:customStyle="1" w:styleId="button-container">
    <w:name w:val="button-container"/>
    <w:basedOn w:val="DefaultParagraphFont"/>
    <w:rsid w:val="005B5661"/>
  </w:style>
  <w:style w:type="paragraph" w:styleId="Header">
    <w:name w:val="header"/>
    <w:basedOn w:val="Normal"/>
    <w:link w:val="HeaderChar"/>
    <w:uiPriority w:val="99"/>
    <w:unhideWhenUsed/>
    <w:rsid w:val="00CB0463"/>
    <w:pPr>
      <w:tabs>
        <w:tab w:val="center" w:pos="4680"/>
        <w:tab w:val="right" w:pos="9360"/>
      </w:tabs>
      <w:spacing w:after="0" w:line="240" w:lineRule="auto"/>
    </w:pPr>
    <w:rPr>
      <w:color w:val="164432"/>
    </w:rPr>
  </w:style>
  <w:style w:type="character" w:customStyle="1" w:styleId="HeaderChar">
    <w:name w:val="Header Char"/>
    <w:basedOn w:val="DefaultParagraphFont"/>
    <w:link w:val="Header"/>
    <w:uiPriority w:val="99"/>
    <w:rsid w:val="00CB0463"/>
    <w:rPr>
      <w:rFonts w:ascii="Palatino Linotype" w:hAnsi="Palatino Linotype"/>
      <w:color w:val="164432"/>
      <w:sz w:val="22"/>
    </w:rPr>
  </w:style>
  <w:style w:type="paragraph" w:styleId="Footer">
    <w:name w:val="footer"/>
    <w:basedOn w:val="Normal"/>
    <w:link w:val="FooterChar"/>
    <w:uiPriority w:val="99"/>
    <w:unhideWhenUsed/>
    <w:rsid w:val="008F21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215F"/>
  </w:style>
  <w:style w:type="paragraph" w:styleId="Index1">
    <w:name w:val="index 1"/>
    <w:basedOn w:val="Normal"/>
    <w:next w:val="Normal"/>
    <w:autoRedefine/>
    <w:uiPriority w:val="99"/>
    <w:semiHidden/>
    <w:unhideWhenUsed/>
    <w:rsid w:val="004B37AF"/>
    <w:pPr>
      <w:spacing w:after="0" w:line="240" w:lineRule="auto"/>
      <w:ind w:left="240" w:hanging="240"/>
    </w:pPr>
  </w:style>
  <w:style w:type="paragraph" w:customStyle="1" w:styleId="GatewaySign">
    <w:name w:val="GatewaySign"/>
    <w:basedOn w:val="Heading2"/>
    <w:rsid w:val="00AF7650"/>
    <w:pPr>
      <w:spacing w:before="200" w:after="0" w:line="276" w:lineRule="auto"/>
    </w:pPr>
    <w:rPr>
      <w:rFonts w:ascii="Lato" w:hAnsi="Lato"/>
      <w:b/>
      <w:bCs/>
      <w:color w:val="FFFFFF"/>
      <w:kern w:val="0"/>
      <w:szCs w:val="26"/>
      <w14:ligatures w14:val="none"/>
    </w:rPr>
  </w:style>
  <w:style w:type="paragraph" w:customStyle="1" w:styleId="BodyText">
    <w:name w:val="BodyText"/>
    <w:basedOn w:val="Normal"/>
    <w:rsid w:val="00AF7650"/>
    <w:pPr>
      <w:spacing w:after="200" w:line="276" w:lineRule="auto"/>
    </w:pPr>
    <w:rPr>
      <w:rFonts w:eastAsiaTheme="minorEastAsia"/>
      <w:kern w:val="0"/>
      <w:szCs w:val="22"/>
      <w14:ligatures w14:val="none"/>
    </w:rPr>
  </w:style>
  <w:style w:type="paragraph" w:customStyle="1" w:styleId="PullQuote">
    <w:name w:val="PullQuote"/>
    <w:basedOn w:val="Normal"/>
    <w:rsid w:val="00AF7650"/>
    <w:pPr>
      <w:spacing w:after="200" w:line="276" w:lineRule="auto"/>
    </w:pPr>
    <w:rPr>
      <w:rFonts w:ascii="Lato" w:eastAsiaTheme="minorEastAsia" w:hAnsi="Lato"/>
      <w:i/>
      <w:color w:val="B38B00"/>
      <w:kern w:val="0"/>
      <w:szCs w:val="22"/>
      <w14:ligatures w14:val="none"/>
    </w:rPr>
  </w:style>
  <w:style w:type="character" w:styleId="Emphasis">
    <w:name w:val="Emphasis"/>
    <w:basedOn w:val="DefaultParagraphFont"/>
    <w:uiPriority w:val="20"/>
    <w:qFormat/>
    <w:rsid w:val="00AF5BE5"/>
    <w:rPr>
      <w:i/>
      <w:iCs/>
    </w:rPr>
  </w:style>
  <w:style w:type="character" w:styleId="SubtleReference">
    <w:name w:val="Subtle Reference"/>
    <w:basedOn w:val="DefaultParagraphFont"/>
    <w:uiPriority w:val="31"/>
    <w:qFormat/>
    <w:rsid w:val="00AF5BE5"/>
    <w:rPr>
      <w:smallCaps/>
      <w:color w:val="5A5A5A" w:themeColor="text1" w:themeTint="A5"/>
    </w:rPr>
  </w:style>
  <w:style w:type="paragraph" w:customStyle="1" w:styleId="BoxedHeaderSimple">
    <w:name w:val="Boxed Header Simple"/>
    <w:basedOn w:val="Normal"/>
    <w:qFormat/>
    <w:rsid w:val="00456CD0"/>
    <w:pPr>
      <w:keepNext/>
      <w:shd w:val="clear" w:color="auto" w:fill="164432"/>
      <w:spacing w:before="240" w:after="120" w:line="276" w:lineRule="auto"/>
    </w:pPr>
    <w:rPr>
      <w:rFonts w:ascii="Google Sans Text" w:eastAsia="Google Sans Text" w:hAnsi="Google Sans Text" w:cs="Google Sans Text"/>
      <w:color w:val="FFFFFF" w:themeColor="background1"/>
    </w:rPr>
  </w:style>
  <w:style w:type="paragraph" w:customStyle="1" w:styleId="BoxBody">
    <w:name w:val="Box Body"/>
    <w:basedOn w:val="Normal"/>
    <w:qFormat/>
    <w:rsid w:val="00BA5999"/>
    <w:pPr>
      <w:shd w:val="clear" w:color="auto" w:fill="F2F2F2" w:themeFill="background1" w:themeFillShade="F2"/>
    </w:pPr>
    <w:rPr>
      <w:rFonts w:ascii="Google Sans Text" w:eastAsia="Google Sans Text" w:hAnsi="Google Sans Text" w:cs="Google Sans Text"/>
      <w:color w:val="1B1C1D"/>
    </w:rPr>
  </w:style>
  <w:style w:type="paragraph" w:customStyle="1" w:styleId="BoxBullet">
    <w:name w:val="Box Bullet"/>
    <w:basedOn w:val="Normal"/>
    <w:qFormat/>
    <w:rsid w:val="00C958C9"/>
    <w:pPr>
      <w:numPr>
        <w:numId w:val="17"/>
      </w:numPr>
      <w:shd w:val="clear" w:color="auto" w:fill="F2F2F2" w:themeFill="background1" w:themeFillShade="F2"/>
    </w:pPr>
    <w:rPr>
      <w:sz w:val="20"/>
    </w:rPr>
  </w:style>
  <w:style w:type="character" w:styleId="UnresolvedMention">
    <w:name w:val="Unresolved Mention"/>
    <w:basedOn w:val="DefaultParagraphFont"/>
    <w:uiPriority w:val="99"/>
    <w:semiHidden/>
    <w:unhideWhenUsed/>
    <w:rsid w:val="008620E7"/>
    <w:rPr>
      <w:color w:val="605E5C"/>
      <w:shd w:val="clear" w:color="auto" w:fill="E1DFDD"/>
    </w:rPr>
  </w:style>
  <w:style w:type="character" w:styleId="SubtleEmphasis">
    <w:name w:val="Subtle Emphasis"/>
    <w:basedOn w:val="DefaultParagraphFont"/>
    <w:uiPriority w:val="19"/>
    <w:qFormat/>
    <w:rsid w:val="00DA7290"/>
    <w:rPr>
      <w:i/>
      <w:iCs/>
      <w:color w:val="404040" w:themeColor="text1" w:themeTint="BF"/>
    </w:rPr>
  </w:style>
  <w:style w:type="paragraph" w:customStyle="1" w:styleId="FootnotesChapter">
    <w:name w:val="Footnotes Chapter"/>
    <w:basedOn w:val="Heading2"/>
    <w:qFormat/>
    <w:rsid w:val="00D710A3"/>
  </w:style>
  <w:style w:type="paragraph" w:styleId="Caption">
    <w:name w:val="caption"/>
    <w:basedOn w:val="Normal"/>
    <w:next w:val="Normal"/>
    <w:uiPriority w:val="35"/>
    <w:unhideWhenUsed/>
    <w:qFormat/>
    <w:rsid w:val="007C1DFC"/>
    <w:pPr>
      <w:spacing w:after="200" w:line="240" w:lineRule="auto"/>
    </w:pPr>
    <w:rPr>
      <w:i/>
      <w:iCs/>
      <w:color w:val="164432"/>
      <w:szCs w:val="20"/>
    </w:rPr>
  </w:style>
  <w:style w:type="paragraph" w:customStyle="1" w:styleId="Prompt">
    <w:name w:val="Prompt"/>
    <w:basedOn w:val="Normal"/>
    <w:qFormat/>
    <w:rsid w:val="00BF7295"/>
    <w:pPr>
      <w:ind w:left="720" w:right="720"/>
    </w:pPr>
    <w:rPr>
      <w:i/>
      <w:iCs/>
    </w:rPr>
  </w:style>
  <w:style w:type="character" w:styleId="FollowedHyperlink">
    <w:name w:val="FollowedHyperlink"/>
    <w:basedOn w:val="DefaultParagraphFont"/>
    <w:uiPriority w:val="99"/>
    <w:semiHidden/>
    <w:unhideWhenUsed/>
    <w:rsid w:val="00A47D9D"/>
    <w:rPr>
      <w:color w:val="96607D" w:themeColor="followedHyperlink"/>
      <w:u w:val="single"/>
    </w:rPr>
  </w:style>
  <w:style w:type="table" w:styleId="GridTable1Light-Accent3">
    <w:name w:val="Grid Table 1 Light Accent 3"/>
    <w:basedOn w:val="TableNormal"/>
    <w:uiPriority w:val="46"/>
    <w:rsid w:val="00007FA9"/>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paragraph" w:customStyle="1" w:styleId="Bullet">
    <w:name w:val="Bullet"/>
    <w:basedOn w:val="Normal"/>
    <w:qFormat/>
    <w:rsid w:val="0015752D"/>
    <w:pPr>
      <w:numPr>
        <w:numId w:val="138"/>
      </w:numPr>
      <w:tabs>
        <w:tab w:val="clear" w:pos="720"/>
      </w:tabs>
      <w:spacing w:after="120"/>
      <w:ind w:left="374" w:hanging="187"/>
      <w:contextualSpacing/>
    </w:pPr>
    <w:rPr>
      <w:b/>
      <w:bCs/>
    </w:rPr>
  </w:style>
  <w:style w:type="character" w:customStyle="1" w:styleId="selected">
    <w:name w:val="selected"/>
    <w:basedOn w:val="DefaultParagraphFont"/>
    <w:rsid w:val="00B21985"/>
  </w:style>
  <w:style w:type="table" w:customStyle="1" w:styleId="TableNormal0">
    <w:name w:val="TableNormal"/>
    <w:rsid w:val="00BB70DB"/>
    <w:pPr>
      <w:spacing w:line="259" w:lineRule="auto"/>
    </w:pPr>
    <w:rPr>
      <w:rFonts w:eastAsiaTheme="minorEastAsia"/>
      <w:kern w:val="0"/>
      <w:sz w:val="22"/>
      <w:szCs w:val="22"/>
      <w:lang w:val="en"/>
      <w14:ligatures w14:val="none"/>
    </w:rPr>
    <w:tblPr>
      <w:tblCellMar>
        <w:top w:w="0" w:type="dxa"/>
        <w:left w:w="0" w:type="dxa"/>
        <w:bottom w:w="0" w:type="dxa"/>
        <w:right w:w="0" w:type="dxa"/>
      </w:tblCellMar>
    </w:tblPr>
  </w:style>
  <w:style w:type="paragraph" w:styleId="EndnoteText">
    <w:name w:val="endnote text"/>
    <w:basedOn w:val="Normal"/>
    <w:link w:val="EndnoteTextChar"/>
    <w:uiPriority w:val="99"/>
    <w:semiHidden/>
    <w:unhideWhenUsed/>
    <w:rsid w:val="00BB70DB"/>
    <w:pPr>
      <w:spacing w:after="0" w:line="240" w:lineRule="auto"/>
    </w:pPr>
    <w:rPr>
      <w:rFonts w:asciiTheme="minorHAnsi" w:eastAsiaTheme="minorEastAsia" w:hAnsiTheme="minorHAnsi"/>
      <w:kern w:val="0"/>
      <w:sz w:val="20"/>
      <w:szCs w:val="20"/>
      <w:lang w:val="en"/>
      <w14:ligatures w14:val="none"/>
    </w:rPr>
  </w:style>
  <w:style w:type="character" w:customStyle="1" w:styleId="EndnoteTextChar">
    <w:name w:val="Endnote Text Char"/>
    <w:basedOn w:val="DefaultParagraphFont"/>
    <w:link w:val="EndnoteText"/>
    <w:uiPriority w:val="99"/>
    <w:semiHidden/>
    <w:rsid w:val="00BB70DB"/>
    <w:rPr>
      <w:rFonts w:eastAsiaTheme="minorEastAsia"/>
      <w:kern w:val="0"/>
      <w:sz w:val="20"/>
      <w:szCs w:val="20"/>
      <w:lang w:val="en"/>
      <w14:ligatures w14:val="none"/>
    </w:rPr>
  </w:style>
  <w:style w:type="character" w:styleId="EndnoteReference">
    <w:name w:val="endnote reference"/>
    <w:basedOn w:val="DefaultParagraphFont"/>
    <w:uiPriority w:val="99"/>
    <w:semiHidden/>
    <w:unhideWhenUsed/>
    <w:rsid w:val="00BB70DB"/>
    <w:rPr>
      <w:vertAlign w:val="superscript"/>
    </w:rPr>
  </w:style>
  <w:style w:type="table" w:styleId="GridTable1Light">
    <w:name w:val="Grid Table 1 Light"/>
    <w:basedOn w:val="TableNormal"/>
    <w:uiPriority w:val="46"/>
    <w:rsid w:val="00BB70DB"/>
    <w:pPr>
      <w:spacing w:after="0" w:line="240" w:lineRule="auto"/>
    </w:pPr>
    <w:rPr>
      <w:rFonts w:eastAsiaTheme="minorEastAsia"/>
      <w:kern w:val="0"/>
      <w:sz w:val="22"/>
      <w:szCs w:val="22"/>
      <w:lang w:val="en"/>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Spacing">
    <w:name w:val="No Spacing"/>
    <w:uiPriority w:val="1"/>
    <w:qFormat/>
    <w:rsid w:val="00BB70DB"/>
    <w:pPr>
      <w:spacing w:after="0" w:line="240" w:lineRule="auto"/>
    </w:pPr>
    <w:rPr>
      <w:rFonts w:eastAsiaTheme="minorEastAsia"/>
      <w:kern w:val="0"/>
      <w:sz w:val="22"/>
      <w:szCs w:val="22"/>
      <w:lang w:val="en"/>
      <w14:ligatures w14:val="none"/>
    </w:rPr>
  </w:style>
  <w:style w:type="character" w:styleId="BookTitle">
    <w:name w:val="Book Title"/>
    <w:basedOn w:val="DefaultParagraphFont"/>
    <w:uiPriority w:val="33"/>
    <w:qFormat/>
    <w:rsid w:val="00BB70DB"/>
    <w:rPr>
      <w:b/>
      <w:bCs/>
      <w:smallCaps/>
      <w:spacing w:val="7"/>
    </w:rPr>
  </w:style>
  <w:style w:type="paragraph" w:customStyle="1" w:styleId="Footnote">
    <w:name w:val="Footnote"/>
    <w:basedOn w:val="Normal"/>
    <w:qFormat/>
    <w:rsid w:val="00F679EF"/>
    <w:pPr>
      <w:spacing w:after="120" w:line="240" w:lineRule="auto"/>
      <w:ind w:left="86" w:hanging="86"/>
    </w:pPr>
    <w:rPr>
      <w:sz w:val="20"/>
      <w:szCs w:val="22"/>
    </w:rPr>
  </w:style>
  <w:style w:type="table" w:styleId="GridTable1Light-Accent4">
    <w:name w:val="Grid Table 1 Light Accent 4"/>
    <w:basedOn w:val="TableNormal"/>
    <w:uiPriority w:val="46"/>
    <w:rsid w:val="00E005C5"/>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paragraph" w:customStyle="1" w:styleId="BulletNumbeered">
    <w:name w:val="Bullet Numbeered"/>
    <w:basedOn w:val="Normal"/>
    <w:qFormat/>
    <w:rsid w:val="008041A4"/>
    <w:pPr>
      <w:numPr>
        <w:numId w:val="200"/>
      </w:numPr>
      <w:tabs>
        <w:tab w:val="clear" w:pos="720"/>
      </w:tabs>
      <w:spacing w:line="240" w:lineRule="auto"/>
      <w:ind w:left="360" w:hanging="270"/>
      <w:textAlignment w:val="baseline"/>
    </w:pPr>
    <w:rPr>
      <w:rFonts w:eastAsia="Times New Roman" w:cs="Arial"/>
      <w:color w:val="00000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0079">
      <w:bodyDiv w:val="1"/>
      <w:marLeft w:val="0"/>
      <w:marRight w:val="0"/>
      <w:marTop w:val="0"/>
      <w:marBottom w:val="0"/>
      <w:divBdr>
        <w:top w:val="none" w:sz="0" w:space="0" w:color="auto"/>
        <w:left w:val="none" w:sz="0" w:space="0" w:color="auto"/>
        <w:bottom w:val="none" w:sz="0" w:space="0" w:color="auto"/>
        <w:right w:val="none" w:sz="0" w:space="0" w:color="auto"/>
      </w:divBdr>
      <w:divsChild>
        <w:div w:id="6540728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8999">
      <w:bodyDiv w:val="1"/>
      <w:marLeft w:val="0"/>
      <w:marRight w:val="0"/>
      <w:marTop w:val="0"/>
      <w:marBottom w:val="0"/>
      <w:divBdr>
        <w:top w:val="none" w:sz="0" w:space="0" w:color="auto"/>
        <w:left w:val="none" w:sz="0" w:space="0" w:color="auto"/>
        <w:bottom w:val="none" w:sz="0" w:space="0" w:color="auto"/>
        <w:right w:val="none" w:sz="0" w:space="0" w:color="auto"/>
      </w:divBdr>
    </w:div>
    <w:div w:id="8533198">
      <w:bodyDiv w:val="1"/>
      <w:marLeft w:val="0"/>
      <w:marRight w:val="0"/>
      <w:marTop w:val="0"/>
      <w:marBottom w:val="0"/>
      <w:divBdr>
        <w:top w:val="none" w:sz="0" w:space="0" w:color="auto"/>
        <w:left w:val="none" w:sz="0" w:space="0" w:color="auto"/>
        <w:bottom w:val="none" w:sz="0" w:space="0" w:color="auto"/>
        <w:right w:val="none" w:sz="0" w:space="0" w:color="auto"/>
      </w:divBdr>
    </w:div>
    <w:div w:id="13848318">
      <w:bodyDiv w:val="1"/>
      <w:marLeft w:val="0"/>
      <w:marRight w:val="0"/>
      <w:marTop w:val="0"/>
      <w:marBottom w:val="0"/>
      <w:divBdr>
        <w:top w:val="none" w:sz="0" w:space="0" w:color="auto"/>
        <w:left w:val="none" w:sz="0" w:space="0" w:color="auto"/>
        <w:bottom w:val="none" w:sz="0" w:space="0" w:color="auto"/>
        <w:right w:val="none" w:sz="0" w:space="0" w:color="auto"/>
      </w:divBdr>
    </w:div>
    <w:div w:id="16003209">
      <w:bodyDiv w:val="1"/>
      <w:marLeft w:val="0"/>
      <w:marRight w:val="0"/>
      <w:marTop w:val="0"/>
      <w:marBottom w:val="0"/>
      <w:divBdr>
        <w:top w:val="none" w:sz="0" w:space="0" w:color="auto"/>
        <w:left w:val="none" w:sz="0" w:space="0" w:color="auto"/>
        <w:bottom w:val="none" w:sz="0" w:space="0" w:color="auto"/>
        <w:right w:val="none" w:sz="0" w:space="0" w:color="auto"/>
      </w:divBdr>
    </w:div>
    <w:div w:id="18705760">
      <w:bodyDiv w:val="1"/>
      <w:marLeft w:val="0"/>
      <w:marRight w:val="0"/>
      <w:marTop w:val="0"/>
      <w:marBottom w:val="0"/>
      <w:divBdr>
        <w:top w:val="none" w:sz="0" w:space="0" w:color="auto"/>
        <w:left w:val="none" w:sz="0" w:space="0" w:color="auto"/>
        <w:bottom w:val="none" w:sz="0" w:space="0" w:color="auto"/>
        <w:right w:val="none" w:sz="0" w:space="0" w:color="auto"/>
      </w:divBdr>
    </w:div>
    <w:div w:id="20592255">
      <w:bodyDiv w:val="1"/>
      <w:marLeft w:val="0"/>
      <w:marRight w:val="0"/>
      <w:marTop w:val="0"/>
      <w:marBottom w:val="0"/>
      <w:divBdr>
        <w:top w:val="none" w:sz="0" w:space="0" w:color="auto"/>
        <w:left w:val="none" w:sz="0" w:space="0" w:color="auto"/>
        <w:bottom w:val="none" w:sz="0" w:space="0" w:color="auto"/>
        <w:right w:val="none" w:sz="0" w:space="0" w:color="auto"/>
      </w:divBdr>
    </w:div>
    <w:div w:id="21369336">
      <w:bodyDiv w:val="1"/>
      <w:marLeft w:val="0"/>
      <w:marRight w:val="0"/>
      <w:marTop w:val="0"/>
      <w:marBottom w:val="0"/>
      <w:divBdr>
        <w:top w:val="none" w:sz="0" w:space="0" w:color="auto"/>
        <w:left w:val="none" w:sz="0" w:space="0" w:color="auto"/>
        <w:bottom w:val="none" w:sz="0" w:space="0" w:color="auto"/>
        <w:right w:val="none" w:sz="0" w:space="0" w:color="auto"/>
      </w:divBdr>
      <w:divsChild>
        <w:div w:id="6123994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872206">
      <w:bodyDiv w:val="1"/>
      <w:marLeft w:val="0"/>
      <w:marRight w:val="0"/>
      <w:marTop w:val="0"/>
      <w:marBottom w:val="0"/>
      <w:divBdr>
        <w:top w:val="none" w:sz="0" w:space="0" w:color="auto"/>
        <w:left w:val="none" w:sz="0" w:space="0" w:color="auto"/>
        <w:bottom w:val="none" w:sz="0" w:space="0" w:color="auto"/>
        <w:right w:val="none" w:sz="0" w:space="0" w:color="auto"/>
      </w:divBdr>
    </w:div>
    <w:div w:id="32119249">
      <w:bodyDiv w:val="1"/>
      <w:marLeft w:val="0"/>
      <w:marRight w:val="0"/>
      <w:marTop w:val="0"/>
      <w:marBottom w:val="0"/>
      <w:divBdr>
        <w:top w:val="none" w:sz="0" w:space="0" w:color="auto"/>
        <w:left w:val="none" w:sz="0" w:space="0" w:color="auto"/>
        <w:bottom w:val="none" w:sz="0" w:space="0" w:color="auto"/>
        <w:right w:val="none" w:sz="0" w:space="0" w:color="auto"/>
      </w:divBdr>
    </w:div>
    <w:div w:id="35158023">
      <w:bodyDiv w:val="1"/>
      <w:marLeft w:val="0"/>
      <w:marRight w:val="0"/>
      <w:marTop w:val="0"/>
      <w:marBottom w:val="0"/>
      <w:divBdr>
        <w:top w:val="none" w:sz="0" w:space="0" w:color="auto"/>
        <w:left w:val="none" w:sz="0" w:space="0" w:color="auto"/>
        <w:bottom w:val="none" w:sz="0" w:space="0" w:color="auto"/>
        <w:right w:val="none" w:sz="0" w:space="0" w:color="auto"/>
      </w:divBdr>
    </w:div>
    <w:div w:id="37819461">
      <w:bodyDiv w:val="1"/>
      <w:marLeft w:val="0"/>
      <w:marRight w:val="0"/>
      <w:marTop w:val="0"/>
      <w:marBottom w:val="0"/>
      <w:divBdr>
        <w:top w:val="none" w:sz="0" w:space="0" w:color="auto"/>
        <w:left w:val="none" w:sz="0" w:space="0" w:color="auto"/>
        <w:bottom w:val="none" w:sz="0" w:space="0" w:color="auto"/>
        <w:right w:val="none" w:sz="0" w:space="0" w:color="auto"/>
      </w:divBdr>
    </w:div>
    <w:div w:id="38239741">
      <w:bodyDiv w:val="1"/>
      <w:marLeft w:val="0"/>
      <w:marRight w:val="0"/>
      <w:marTop w:val="0"/>
      <w:marBottom w:val="0"/>
      <w:divBdr>
        <w:top w:val="none" w:sz="0" w:space="0" w:color="auto"/>
        <w:left w:val="none" w:sz="0" w:space="0" w:color="auto"/>
        <w:bottom w:val="none" w:sz="0" w:space="0" w:color="auto"/>
        <w:right w:val="none" w:sz="0" w:space="0" w:color="auto"/>
      </w:divBdr>
    </w:div>
    <w:div w:id="38432204">
      <w:bodyDiv w:val="1"/>
      <w:marLeft w:val="0"/>
      <w:marRight w:val="0"/>
      <w:marTop w:val="0"/>
      <w:marBottom w:val="0"/>
      <w:divBdr>
        <w:top w:val="none" w:sz="0" w:space="0" w:color="auto"/>
        <w:left w:val="none" w:sz="0" w:space="0" w:color="auto"/>
        <w:bottom w:val="none" w:sz="0" w:space="0" w:color="auto"/>
        <w:right w:val="none" w:sz="0" w:space="0" w:color="auto"/>
      </w:divBdr>
    </w:div>
    <w:div w:id="41557824">
      <w:bodyDiv w:val="1"/>
      <w:marLeft w:val="0"/>
      <w:marRight w:val="0"/>
      <w:marTop w:val="0"/>
      <w:marBottom w:val="0"/>
      <w:divBdr>
        <w:top w:val="none" w:sz="0" w:space="0" w:color="auto"/>
        <w:left w:val="none" w:sz="0" w:space="0" w:color="auto"/>
        <w:bottom w:val="none" w:sz="0" w:space="0" w:color="auto"/>
        <w:right w:val="none" w:sz="0" w:space="0" w:color="auto"/>
      </w:divBdr>
      <w:divsChild>
        <w:div w:id="12738962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142007">
      <w:bodyDiv w:val="1"/>
      <w:marLeft w:val="0"/>
      <w:marRight w:val="0"/>
      <w:marTop w:val="0"/>
      <w:marBottom w:val="0"/>
      <w:divBdr>
        <w:top w:val="none" w:sz="0" w:space="0" w:color="auto"/>
        <w:left w:val="none" w:sz="0" w:space="0" w:color="auto"/>
        <w:bottom w:val="none" w:sz="0" w:space="0" w:color="auto"/>
        <w:right w:val="none" w:sz="0" w:space="0" w:color="auto"/>
      </w:divBdr>
    </w:div>
    <w:div w:id="44648582">
      <w:bodyDiv w:val="1"/>
      <w:marLeft w:val="0"/>
      <w:marRight w:val="0"/>
      <w:marTop w:val="0"/>
      <w:marBottom w:val="0"/>
      <w:divBdr>
        <w:top w:val="none" w:sz="0" w:space="0" w:color="auto"/>
        <w:left w:val="none" w:sz="0" w:space="0" w:color="auto"/>
        <w:bottom w:val="none" w:sz="0" w:space="0" w:color="auto"/>
        <w:right w:val="none" w:sz="0" w:space="0" w:color="auto"/>
      </w:divBdr>
    </w:div>
    <w:div w:id="45613059">
      <w:bodyDiv w:val="1"/>
      <w:marLeft w:val="0"/>
      <w:marRight w:val="0"/>
      <w:marTop w:val="0"/>
      <w:marBottom w:val="0"/>
      <w:divBdr>
        <w:top w:val="none" w:sz="0" w:space="0" w:color="auto"/>
        <w:left w:val="none" w:sz="0" w:space="0" w:color="auto"/>
        <w:bottom w:val="none" w:sz="0" w:space="0" w:color="auto"/>
        <w:right w:val="none" w:sz="0" w:space="0" w:color="auto"/>
      </w:divBdr>
    </w:div>
    <w:div w:id="46495983">
      <w:bodyDiv w:val="1"/>
      <w:marLeft w:val="0"/>
      <w:marRight w:val="0"/>
      <w:marTop w:val="0"/>
      <w:marBottom w:val="0"/>
      <w:divBdr>
        <w:top w:val="none" w:sz="0" w:space="0" w:color="auto"/>
        <w:left w:val="none" w:sz="0" w:space="0" w:color="auto"/>
        <w:bottom w:val="none" w:sz="0" w:space="0" w:color="auto"/>
        <w:right w:val="none" w:sz="0" w:space="0" w:color="auto"/>
      </w:divBdr>
    </w:div>
    <w:div w:id="46802933">
      <w:bodyDiv w:val="1"/>
      <w:marLeft w:val="0"/>
      <w:marRight w:val="0"/>
      <w:marTop w:val="0"/>
      <w:marBottom w:val="0"/>
      <w:divBdr>
        <w:top w:val="none" w:sz="0" w:space="0" w:color="auto"/>
        <w:left w:val="none" w:sz="0" w:space="0" w:color="auto"/>
        <w:bottom w:val="none" w:sz="0" w:space="0" w:color="auto"/>
        <w:right w:val="none" w:sz="0" w:space="0" w:color="auto"/>
      </w:divBdr>
      <w:divsChild>
        <w:div w:id="19038850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9108026">
          <w:blockQuote w:val="1"/>
          <w:marLeft w:val="720"/>
          <w:marRight w:val="720"/>
          <w:marTop w:val="100"/>
          <w:marBottom w:val="100"/>
          <w:divBdr>
            <w:top w:val="none" w:sz="0" w:space="0" w:color="auto"/>
            <w:left w:val="none" w:sz="0" w:space="0" w:color="auto"/>
            <w:bottom w:val="none" w:sz="0" w:space="0" w:color="auto"/>
            <w:right w:val="none" w:sz="0" w:space="0" w:color="auto"/>
          </w:divBdr>
        </w:div>
        <w:div w:id="9228399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505713">
      <w:bodyDiv w:val="1"/>
      <w:marLeft w:val="0"/>
      <w:marRight w:val="0"/>
      <w:marTop w:val="0"/>
      <w:marBottom w:val="0"/>
      <w:divBdr>
        <w:top w:val="none" w:sz="0" w:space="0" w:color="auto"/>
        <w:left w:val="none" w:sz="0" w:space="0" w:color="auto"/>
        <w:bottom w:val="none" w:sz="0" w:space="0" w:color="auto"/>
        <w:right w:val="none" w:sz="0" w:space="0" w:color="auto"/>
      </w:divBdr>
    </w:div>
    <w:div w:id="55010246">
      <w:bodyDiv w:val="1"/>
      <w:marLeft w:val="0"/>
      <w:marRight w:val="0"/>
      <w:marTop w:val="0"/>
      <w:marBottom w:val="0"/>
      <w:divBdr>
        <w:top w:val="none" w:sz="0" w:space="0" w:color="auto"/>
        <w:left w:val="none" w:sz="0" w:space="0" w:color="auto"/>
        <w:bottom w:val="none" w:sz="0" w:space="0" w:color="auto"/>
        <w:right w:val="none" w:sz="0" w:space="0" w:color="auto"/>
      </w:divBdr>
    </w:div>
    <w:div w:id="56125214">
      <w:bodyDiv w:val="1"/>
      <w:marLeft w:val="0"/>
      <w:marRight w:val="0"/>
      <w:marTop w:val="0"/>
      <w:marBottom w:val="0"/>
      <w:divBdr>
        <w:top w:val="none" w:sz="0" w:space="0" w:color="auto"/>
        <w:left w:val="none" w:sz="0" w:space="0" w:color="auto"/>
        <w:bottom w:val="none" w:sz="0" w:space="0" w:color="auto"/>
        <w:right w:val="none" w:sz="0" w:space="0" w:color="auto"/>
      </w:divBdr>
    </w:div>
    <w:div w:id="56982402">
      <w:bodyDiv w:val="1"/>
      <w:marLeft w:val="0"/>
      <w:marRight w:val="0"/>
      <w:marTop w:val="0"/>
      <w:marBottom w:val="0"/>
      <w:divBdr>
        <w:top w:val="none" w:sz="0" w:space="0" w:color="auto"/>
        <w:left w:val="none" w:sz="0" w:space="0" w:color="auto"/>
        <w:bottom w:val="none" w:sz="0" w:space="0" w:color="auto"/>
        <w:right w:val="none" w:sz="0" w:space="0" w:color="auto"/>
      </w:divBdr>
    </w:div>
    <w:div w:id="57632116">
      <w:bodyDiv w:val="1"/>
      <w:marLeft w:val="0"/>
      <w:marRight w:val="0"/>
      <w:marTop w:val="0"/>
      <w:marBottom w:val="0"/>
      <w:divBdr>
        <w:top w:val="none" w:sz="0" w:space="0" w:color="auto"/>
        <w:left w:val="none" w:sz="0" w:space="0" w:color="auto"/>
        <w:bottom w:val="none" w:sz="0" w:space="0" w:color="auto"/>
        <w:right w:val="none" w:sz="0" w:space="0" w:color="auto"/>
      </w:divBdr>
    </w:div>
    <w:div w:id="63340141">
      <w:bodyDiv w:val="1"/>
      <w:marLeft w:val="0"/>
      <w:marRight w:val="0"/>
      <w:marTop w:val="0"/>
      <w:marBottom w:val="0"/>
      <w:divBdr>
        <w:top w:val="none" w:sz="0" w:space="0" w:color="auto"/>
        <w:left w:val="none" w:sz="0" w:space="0" w:color="auto"/>
        <w:bottom w:val="none" w:sz="0" w:space="0" w:color="auto"/>
        <w:right w:val="none" w:sz="0" w:space="0" w:color="auto"/>
      </w:divBdr>
    </w:div>
    <w:div w:id="72553962">
      <w:bodyDiv w:val="1"/>
      <w:marLeft w:val="0"/>
      <w:marRight w:val="0"/>
      <w:marTop w:val="0"/>
      <w:marBottom w:val="0"/>
      <w:divBdr>
        <w:top w:val="none" w:sz="0" w:space="0" w:color="auto"/>
        <w:left w:val="none" w:sz="0" w:space="0" w:color="auto"/>
        <w:bottom w:val="none" w:sz="0" w:space="0" w:color="auto"/>
        <w:right w:val="none" w:sz="0" w:space="0" w:color="auto"/>
      </w:divBdr>
    </w:div>
    <w:div w:id="76679183">
      <w:bodyDiv w:val="1"/>
      <w:marLeft w:val="0"/>
      <w:marRight w:val="0"/>
      <w:marTop w:val="0"/>
      <w:marBottom w:val="0"/>
      <w:divBdr>
        <w:top w:val="none" w:sz="0" w:space="0" w:color="auto"/>
        <w:left w:val="none" w:sz="0" w:space="0" w:color="auto"/>
        <w:bottom w:val="none" w:sz="0" w:space="0" w:color="auto"/>
        <w:right w:val="none" w:sz="0" w:space="0" w:color="auto"/>
      </w:divBdr>
    </w:div>
    <w:div w:id="76951222">
      <w:bodyDiv w:val="1"/>
      <w:marLeft w:val="0"/>
      <w:marRight w:val="0"/>
      <w:marTop w:val="0"/>
      <w:marBottom w:val="0"/>
      <w:divBdr>
        <w:top w:val="none" w:sz="0" w:space="0" w:color="auto"/>
        <w:left w:val="none" w:sz="0" w:space="0" w:color="auto"/>
        <w:bottom w:val="none" w:sz="0" w:space="0" w:color="auto"/>
        <w:right w:val="none" w:sz="0" w:space="0" w:color="auto"/>
      </w:divBdr>
    </w:div>
    <w:div w:id="78329617">
      <w:bodyDiv w:val="1"/>
      <w:marLeft w:val="0"/>
      <w:marRight w:val="0"/>
      <w:marTop w:val="0"/>
      <w:marBottom w:val="0"/>
      <w:divBdr>
        <w:top w:val="none" w:sz="0" w:space="0" w:color="auto"/>
        <w:left w:val="none" w:sz="0" w:space="0" w:color="auto"/>
        <w:bottom w:val="none" w:sz="0" w:space="0" w:color="auto"/>
        <w:right w:val="none" w:sz="0" w:space="0" w:color="auto"/>
      </w:divBdr>
    </w:div>
    <w:div w:id="79370440">
      <w:bodyDiv w:val="1"/>
      <w:marLeft w:val="0"/>
      <w:marRight w:val="0"/>
      <w:marTop w:val="0"/>
      <w:marBottom w:val="0"/>
      <w:divBdr>
        <w:top w:val="none" w:sz="0" w:space="0" w:color="auto"/>
        <w:left w:val="none" w:sz="0" w:space="0" w:color="auto"/>
        <w:bottom w:val="none" w:sz="0" w:space="0" w:color="auto"/>
        <w:right w:val="none" w:sz="0" w:space="0" w:color="auto"/>
      </w:divBdr>
    </w:div>
    <w:div w:id="84226965">
      <w:bodyDiv w:val="1"/>
      <w:marLeft w:val="0"/>
      <w:marRight w:val="0"/>
      <w:marTop w:val="0"/>
      <w:marBottom w:val="0"/>
      <w:divBdr>
        <w:top w:val="none" w:sz="0" w:space="0" w:color="auto"/>
        <w:left w:val="none" w:sz="0" w:space="0" w:color="auto"/>
        <w:bottom w:val="none" w:sz="0" w:space="0" w:color="auto"/>
        <w:right w:val="none" w:sz="0" w:space="0" w:color="auto"/>
      </w:divBdr>
    </w:div>
    <w:div w:id="93213298">
      <w:bodyDiv w:val="1"/>
      <w:marLeft w:val="0"/>
      <w:marRight w:val="0"/>
      <w:marTop w:val="0"/>
      <w:marBottom w:val="0"/>
      <w:divBdr>
        <w:top w:val="none" w:sz="0" w:space="0" w:color="auto"/>
        <w:left w:val="none" w:sz="0" w:space="0" w:color="auto"/>
        <w:bottom w:val="none" w:sz="0" w:space="0" w:color="auto"/>
        <w:right w:val="none" w:sz="0" w:space="0" w:color="auto"/>
      </w:divBdr>
      <w:divsChild>
        <w:div w:id="16099649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107807">
      <w:bodyDiv w:val="1"/>
      <w:marLeft w:val="0"/>
      <w:marRight w:val="0"/>
      <w:marTop w:val="0"/>
      <w:marBottom w:val="0"/>
      <w:divBdr>
        <w:top w:val="none" w:sz="0" w:space="0" w:color="auto"/>
        <w:left w:val="none" w:sz="0" w:space="0" w:color="auto"/>
        <w:bottom w:val="none" w:sz="0" w:space="0" w:color="auto"/>
        <w:right w:val="none" w:sz="0" w:space="0" w:color="auto"/>
      </w:divBdr>
    </w:div>
    <w:div w:id="107242499">
      <w:bodyDiv w:val="1"/>
      <w:marLeft w:val="0"/>
      <w:marRight w:val="0"/>
      <w:marTop w:val="0"/>
      <w:marBottom w:val="0"/>
      <w:divBdr>
        <w:top w:val="none" w:sz="0" w:space="0" w:color="auto"/>
        <w:left w:val="none" w:sz="0" w:space="0" w:color="auto"/>
        <w:bottom w:val="none" w:sz="0" w:space="0" w:color="auto"/>
        <w:right w:val="none" w:sz="0" w:space="0" w:color="auto"/>
      </w:divBdr>
    </w:div>
    <w:div w:id="108941219">
      <w:bodyDiv w:val="1"/>
      <w:marLeft w:val="0"/>
      <w:marRight w:val="0"/>
      <w:marTop w:val="0"/>
      <w:marBottom w:val="0"/>
      <w:divBdr>
        <w:top w:val="none" w:sz="0" w:space="0" w:color="auto"/>
        <w:left w:val="none" w:sz="0" w:space="0" w:color="auto"/>
        <w:bottom w:val="none" w:sz="0" w:space="0" w:color="auto"/>
        <w:right w:val="none" w:sz="0" w:space="0" w:color="auto"/>
      </w:divBdr>
    </w:div>
    <w:div w:id="109663971">
      <w:bodyDiv w:val="1"/>
      <w:marLeft w:val="0"/>
      <w:marRight w:val="0"/>
      <w:marTop w:val="0"/>
      <w:marBottom w:val="0"/>
      <w:divBdr>
        <w:top w:val="none" w:sz="0" w:space="0" w:color="auto"/>
        <w:left w:val="none" w:sz="0" w:space="0" w:color="auto"/>
        <w:bottom w:val="none" w:sz="0" w:space="0" w:color="auto"/>
        <w:right w:val="none" w:sz="0" w:space="0" w:color="auto"/>
      </w:divBdr>
    </w:div>
    <w:div w:id="126434751">
      <w:bodyDiv w:val="1"/>
      <w:marLeft w:val="0"/>
      <w:marRight w:val="0"/>
      <w:marTop w:val="0"/>
      <w:marBottom w:val="0"/>
      <w:divBdr>
        <w:top w:val="none" w:sz="0" w:space="0" w:color="auto"/>
        <w:left w:val="none" w:sz="0" w:space="0" w:color="auto"/>
        <w:bottom w:val="none" w:sz="0" w:space="0" w:color="auto"/>
        <w:right w:val="none" w:sz="0" w:space="0" w:color="auto"/>
      </w:divBdr>
      <w:divsChild>
        <w:div w:id="11141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222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949231">
      <w:bodyDiv w:val="1"/>
      <w:marLeft w:val="0"/>
      <w:marRight w:val="0"/>
      <w:marTop w:val="0"/>
      <w:marBottom w:val="0"/>
      <w:divBdr>
        <w:top w:val="none" w:sz="0" w:space="0" w:color="auto"/>
        <w:left w:val="none" w:sz="0" w:space="0" w:color="auto"/>
        <w:bottom w:val="none" w:sz="0" w:space="0" w:color="auto"/>
        <w:right w:val="none" w:sz="0" w:space="0" w:color="auto"/>
      </w:divBdr>
    </w:div>
    <w:div w:id="131992594">
      <w:bodyDiv w:val="1"/>
      <w:marLeft w:val="0"/>
      <w:marRight w:val="0"/>
      <w:marTop w:val="0"/>
      <w:marBottom w:val="0"/>
      <w:divBdr>
        <w:top w:val="none" w:sz="0" w:space="0" w:color="auto"/>
        <w:left w:val="none" w:sz="0" w:space="0" w:color="auto"/>
        <w:bottom w:val="none" w:sz="0" w:space="0" w:color="auto"/>
        <w:right w:val="none" w:sz="0" w:space="0" w:color="auto"/>
      </w:divBdr>
    </w:div>
    <w:div w:id="133185386">
      <w:bodyDiv w:val="1"/>
      <w:marLeft w:val="0"/>
      <w:marRight w:val="0"/>
      <w:marTop w:val="0"/>
      <w:marBottom w:val="0"/>
      <w:divBdr>
        <w:top w:val="none" w:sz="0" w:space="0" w:color="auto"/>
        <w:left w:val="none" w:sz="0" w:space="0" w:color="auto"/>
        <w:bottom w:val="none" w:sz="0" w:space="0" w:color="auto"/>
        <w:right w:val="none" w:sz="0" w:space="0" w:color="auto"/>
      </w:divBdr>
      <w:divsChild>
        <w:div w:id="445274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530256">
      <w:bodyDiv w:val="1"/>
      <w:marLeft w:val="0"/>
      <w:marRight w:val="0"/>
      <w:marTop w:val="0"/>
      <w:marBottom w:val="0"/>
      <w:divBdr>
        <w:top w:val="none" w:sz="0" w:space="0" w:color="auto"/>
        <w:left w:val="none" w:sz="0" w:space="0" w:color="auto"/>
        <w:bottom w:val="none" w:sz="0" w:space="0" w:color="auto"/>
        <w:right w:val="none" w:sz="0" w:space="0" w:color="auto"/>
      </w:divBdr>
    </w:div>
    <w:div w:id="137185087">
      <w:bodyDiv w:val="1"/>
      <w:marLeft w:val="0"/>
      <w:marRight w:val="0"/>
      <w:marTop w:val="0"/>
      <w:marBottom w:val="0"/>
      <w:divBdr>
        <w:top w:val="none" w:sz="0" w:space="0" w:color="auto"/>
        <w:left w:val="none" w:sz="0" w:space="0" w:color="auto"/>
        <w:bottom w:val="none" w:sz="0" w:space="0" w:color="auto"/>
        <w:right w:val="none" w:sz="0" w:space="0" w:color="auto"/>
      </w:divBdr>
    </w:div>
    <w:div w:id="139546383">
      <w:bodyDiv w:val="1"/>
      <w:marLeft w:val="0"/>
      <w:marRight w:val="0"/>
      <w:marTop w:val="0"/>
      <w:marBottom w:val="0"/>
      <w:divBdr>
        <w:top w:val="none" w:sz="0" w:space="0" w:color="auto"/>
        <w:left w:val="none" w:sz="0" w:space="0" w:color="auto"/>
        <w:bottom w:val="none" w:sz="0" w:space="0" w:color="auto"/>
        <w:right w:val="none" w:sz="0" w:space="0" w:color="auto"/>
      </w:divBdr>
    </w:div>
    <w:div w:id="144931325">
      <w:bodyDiv w:val="1"/>
      <w:marLeft w:val="0"/>
      <w:marRight w:val="0"/>
      <w:marTop w:val="0"/>
      <w:marBottom w:val="0"/>
      <w:divBdr>
        <w:top w:val="none" w:sz="0" w:space="0" w:color="auto"/>
        <w:left w:val="none" w:sz="0" w:space="0" w:color="auto"/>
        <w:bottom w:val="none" w:sz="0" w:space="0" w:color="auto"/>
        <w:right w:val="none" w:sz="0" w:space="0" w:color="auto"/>
      </w:divBdr>
    </w:div>
    <w:div w:id="148638872">
      <w:bodyDiv w:val="1"/>
      <w:marLeft w:val="0"/>
      <w:marRight w:val="0"/>
      <w:marTop w:val="0"/>
      <w:marBottom w:val="0"/>
      <w:divBdr>
        <w:top w:val="none" w:sz="0" w:space="0" w:color="auto"/>
        <w:left w:val="none" w:sz="0" w:space="0" w:color="auto"/>
        <w:bottom w:val="none" w:sz="0" w:space="0" w:color="auto"/>
        <w:right w:val="none" w:sz="0" w:space="0" w:color="auto"/>
      </w:divBdr>
    </w:div>
    <w:div w:id="156118029">
      <w:bodyDiv w:val="1"/>
      <w:marLeft w:val="0"/>
      <w:marRight w:val="0"/>
      <w:marTop w:val="0"/>
      <w:marBottom w:val="0"/>
      <w:divBdr>
        <w:top w:val="none" w:sz="0" w:space="0" w:color="auto"/>
        <w:left w:val="none" w:sz="0" w:space="0" w:color="auto"/>
        <w:bottom w:val="none" w:sz="0" w:space="0" w:color="auto"/>
        <w:right w:val="none" w:sz="0" w:space="0" w:color="auto"/>
      </w:divBdr>
      <w:divsChild>
        <w:div w:id="2072774143">
          <w:marLeft w:val="0"/>
          <w:marRight w:val="0"/>
          <w:marTop w:val="0"/>
          <w:marBottom w:val="0"/>
          <w:divBdr>
            <w:top w:val="none" w:sz="0" w:space="0" w:color="auto"/>
            <w:left w:val="none" w:sz="0" w:space="0" w:color="auto"/>
            <w:bottom w:val="none" w:sz="0" w:space="0" w:color="auto"/>
            <w:right w:val="none" w:sz="0" w:space="0" w:color="auto"/>
          </w:divBdr>
        </w:div>
      </w:divsChild>
    </w:div>
    <w:div w:id="168984245">
      <w:bodyDiv w:val="1"/>
      <w:marLeft w:val="0"/>
      <w:marRight w:val="0"/>
      <w:marTop w:val="0"/>
      <w:marBottom w:val="0"/>
      <w:divBdr>
        <w:top w:val="none" w:sz="0" w:space="0" w:color="auto"/>
        <w:left w:val="none" w:sz="0" w:space="0" w:color="auto"/>
        <w:bottom w:val="none" w:sz="0" w:space="0" w:color="auto"/>
        <w:right w:val="none" w:sz="0" w:space="0" w:color="auto"/>
      </w:divBdr>
      <w:divsChild>
        <w:div w:id="2105103092">
          <w:marLeft w:val="0"/>
          <w:marRight w:val="0"/>
          <w:marTop w:val="0"/>
          <w:marBottom w:val="0"/>
          <w:divBdr>
            <w:top w:val="none" w:sz="0" w:space="0" w:color="auto"/>
            <w:left w:val="none" w:sz="0" w:space="0" w:color="auto"/>
            <w:bottom w:val="none" w:sz="0" w:space="0" w:color="auto"/>
            <w:right w:val="none" w:sz="0" w:space="0" w:color="auto"/>
          </w:divBdr>
          <w:divsChild>
            <w:div w:id="32685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81294">
      <w:bodyDiv w:val="1"/>
      <w:marLeft w:val="0"/>
      <w:marRight w:val="0"/>
      <w:marTop w:val="0"/>
      <w:marBottom w:val="0"/>
      <w:divBdr>
        <w:top w:val="none" w:sz="0" w:space="0" w:color="auto"/>
        <w:left w:val="none" w:sz="0" w:space="0" w:color="auto"/>
        <w:bottom w:val="none" w:sz="0" w:space="0" w:color="auto"/>
        <w:right w:val="none" w:sz="0" w:space="0" w:color="auto"/>
      </w:divBdr>
    </w:div>
    <w:div w:id="171261722">
      <w:bodyDiv w:val="1"/>
      <w:marLeft w:val="0"/>
      <w:marRight w:val="0"/>
      <w:marTop w:val="0"/>
      <w:marBottom w:val="0"/>
      <w:divBdr>
        <w:top w:val="none" w:sz="0" w:space="0" w:color="auto"/>
        <w:left w:val="none" w:sz="0" w:space="0" w:color="auto"/>
        <w:bottom w:val="none" w:sz="0" w:space="0" w:color="auto"/>
        <w:right w:val="none" w:sz="0" w:space="0" w:color="auto"/>
      </w:divBdr>
    </w:div>
    <w:div w:id="180630373">
      <w:bodyDiv w:val="1"/>
      <w:marLeft w:val="0"/>
      <w:marRight w:val="0"/>
      <w:marTop w:val="0"/>
      <w:marBottom w:val="0"/>
      <w:divBdr>
        <w:top w:val="none" w:sz="0" w:space="0" w:color="auto"/>
        <w:left w:val="none" w:sz="0" w:space="0" w:color="auto"/>
        <w:bottom w:val="none" w:sz="0" w:space="0" w:color="auto"/>
        <w:right w:val="none" w:sz="0" w:space="0" w:color="auto"/>
      </w:divBdr>
      <w:divsChild>
        <w:div w:id="7613382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124479">
      <w:bodyDiv w:val="1"/>
      <w:marLeft w:val="0"/>
      <w:marRight w:val="0"/>
      <w:marTop w:val="0"/>
      <w:marBottom w:val="0"/>
      <w:divBdr>
        <w:top w:val="none" w:sz="0" w:space="0" w:color="auto"/>
        <w:left w:val="none" w:sz="0" w:space="0" w:color="auto"/>
        <w:bottom w:val="none" w:sz="0" w:space="0" w:color="auto"/>
        <w:right w:val="none" w:sz="0" w:space="0" w:color="auto"/>
      </w:divBdr>
    </w:div>
    <w:div w:id="202639302">
      <w:bodyDiv w:val="1"/>
      <w:marLeft w:val="0"/>
      <w:marRight w:val="0"/>
      <w:marTop w:val="0"/>
      <w:marBottom w:val="0"/>
      <w:divBdr>
        <w:top w:val="none" w:sz="0" w:space="0" w:color="auto"/>
        <w:left w:val="none" w:sz="0" w:space="0" w:color="auto"/>
        <w:bottom w:val="none" w:sz="0" w:space="0" w:color="auto"/>
        <w:right w:val="none" w:sz="0" w:space="0" w:color="auto"/>
      </w:divBdr>
    </w:div>
    <w:div w:id="204414316">
      <w:bodyDiv w:val="1"/>
      <w:marLeft w:val="0"/>
      <w:marRight w:val="0"/>
      <w:marTop w:val="0"/>
      <w:marBottom w:val="0"/>
      <w:divBdr>
        <w:top w:val="none" w:sz="0" w:space="0" w:color="auto"/>
        <w:left w:val="none" w:sz="0" w:space="0" w:color="auto"/>
        <w:bottom w:val="none" w:sz="0" w:space="0" w:color="auto"/>
        <w:right w:val="none" w:sz="0" w:space="0" w:color="auto"/>
      </w:divBdr>
    </w:div>
    <w:div w:id="204486688">
      <w:bodyDiv w:val="1"/>
      <w:marLeft w:val="0"/>
      <w:marRight w:val="0"/>
      <w:marTop w:val="0"/>
      <w:marBottom w:val="0"/>
      <w:divBdr>
        <w:top w:val="none" w:sz="0" w:space="0" w:color="auto"/>
        <w:left w:val="none" w:sz="0" w:space="0" w:color="auto"/>
        <w:bottom w:val="none" w:sz="0" w:space="0" w:color="auto"/>
        <w:right w:val="none" w:sz="0" w:space="0" w:color="auto"/>
      </w:divBdr>
    </w:div>
    <w:div w:id="220556487">
      <w:bodyDiv w:val="1"/>
      <w:marLeft w:val="0"/>
      <w:marRight w:val="0"/>
      <w:marTop w:val="0"/>
      <w:marBottom w:val="0"/>
      <w:divBdr>
        <w:top w:val="none" w:sz="0" w:space="0" w:color="auto"/>
        <w:left w:val="none" w:sz="0" w:space="0" w:color="auto"/>
        <w:bottom w:val="none" w:sz="0" w:space="0" w:color="auto"/>
        <w:right w:val="none" w:sz="0" w:space="0" w:color="auto"/>
      </w:divBdr>
    </w:div>
    <w:div w:id="223640557">
      <w:bodyDiv w:val="1"/>
      <w:marLeft w:val="0"/>
      <w:marRight w:val="0"/>
      <w:marTop w:val="0"/>
      <w:marBottom w:val="0"/>
      <w:divBdr>
        <w:top w:val="none" w:sz="0" w:space="0" w:color="auto"/>
        <w:left w:val="none" w:sz="0" w:space="0" w:color="auto"/>
        <w:bottom w:val="none" w:sz="0" w:space="0" w:color="auto"/>
        <w:right w:val="none" w:sz="0" w:space="0" w:color="auto"/>
      </w:divBdr>
      <w:divsChild>
        <w:div w:id="2105374743">
          <w:marLeft w:val="0"/>
          <w:marRight w:val="0"/>
          <w:marTop w:val="0"/>
          <w:marBottom w:val="0"/>
          <w:divBdr>
            <w:top w:val="none" w:sz="0" w:space="0" w:color="auto"/>
            <w:left w:val="none" w:sz="0" w:space="0" w:color="auto"/>
            <w:bottom w:val="none" w:sz="0" w:space="0" w:color="auto"/>
            <w:right w:val="none" w:sz="0" w:space="0" w:color="auto"/>
          </w:divBdr>
          <w:divsChild>
            <w:div w:id="1223518048">
              <w:marLeft w:val="0"/>
              <w:marRight w:val="0"/>
              <w:marTop w:val="0"/>
              <w:marBottom w:val="0"/>
              <w:divBdr>
                <w:top w:val="none" w:sz="0" w:space="0" w:color="auto"/>
                <w:left w:val="none" w:sz="0" w:space="0" w:color="auto"/>
                <w:bottom w:val="none" w:sz="0" w:space="0" w:color="auto"/>
                <w:right w:val="none" w:sz="0" w:space="0" w:color="auto"/>
              </w:divBdr>
            </w:div>
          </w:divsChild>
        </w:div>
        <w:div w:id="795097252">
          <w:marLeft w:val="0"/>
          <w:marRight w:val="0"/>
          <w:marTop w:val="0"/>
          <w:marBottom w:val="0"/>
          <w:divBdr>
            <w:top w:val="none" w:sz="0" w:space="0" w:color="auto"/>
            <w:left w:val="none" w:sz="0" w:space="0" w:color="auto"/>
            <w:bottom w:val="none" w:sz="0" w:space="0" w:color="auto"/>
            <w:right w:val="none" w:sz="0" w:space="0" w:color="auto"/>
          </w:divBdr>
          <w:divsChild>
            <w:div w:id="82104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340350">
      <w:bodyDiv w:val="1"/>
      <w:marLeft w:val="0"/>
      <w:marRight w:val="0"/>
      <w:marTop w:val="0"/>
      <w:marBottom w:val="0"/>
      <w:divBdr>
        <w:top w:val="none" w:sz="0" w:space="0" w:color="auto"/>
        <w:left w:val="none" w:sz="0" w:space="0" w:color="auto"/>
        <w:bottom w:val="none" w:sz="0" w:space="0" w:color="auto"/>
        <w:right w:val="none" w:sz="0" w:space="0" w:color="auto"/>
      </w:divBdr>
    </w:div>
    <w:div w:id="228539655">
      <w:bodyDiv w:val="1"/>
      <w:marLeft w:val="0"/>
      <w:marRight w:val="0"/>
      <w:marTop w:val="0"/>
      <w:marBottom w:val="0"/>
      <w:divBdr>
        <w:top w:val="none" w:sz="0" w:space="0" w:color="auto"/>
        <w:left w:val="none" w:sz="0" w:space="0" w:color="auto"/>
        <w:bottom w:val="none" w:sz="0" w:space="0" w:color="auto"/>
        <w:right w:val="none" w:sz="0" w:space="0" w:color="auto"/>
      </w:divBdr>
    </w:div>
    <w:div w:id="229847652">
      <w:bodyDiv w:val="1"/>
      <w:marLeft w:val="0"/>
      <w:marRight w:val="0"/>
      <w:marTop w:val="0"/>
      <w:marBottom w:val="0"/>
      <w:divBdr>
        <w:top w:val="none" w:sz="0" w:space="0" w:color="auto"/>
        <w:left w:val="none" w:sz="0" w:space="0" w:color="auto"/>
        <w:bottom w:val="none" w:sz="0" w:space="0" w:color="auto"/>
        <w:right w:val="none" w:sz="0" w:space="0" w:color="auto"/>
      </w:divBdr>
    </w:div>
    <w:div w:id="231963601">
      <w:bodyDiv w:val="1"/>
      <w:marLeft w:val="0"/>
      <w:marRight w:val="0"/>
      <w:marTop w:val="0"/>
      <w:marBottom w:val="0"/>
      <w:divBdr>
        <w:top w:val="none" w:sz="0" w:space="0" w:color="auto"/>
        <w:left w:val="none" w:sz="0" w:space="0" w:color="auto"/>
        <w:bottom w:val="none" w:sz="0" w:space="0" w:color="auto"/>
        <w:right w:val="none" w:sz="0" w:space="0" w:color="auto"/>
      </w:divBdr>
    </w:div>
    <w:div w:id="236786594">
      <w:bodyDiv w:val="1"/>
      <w:marLeft w:val="0"/>
      <w:marRight w:val="0"/>
      <w:marTop w:val="0"/>
      <w:marBottom w:val="0"/>
      <w:divBdr>
        <w:top w:val="none" w:sz="0" w:space="0" w:color="auto"/>
        <w:left w:val="none" w:sz="0" w:space="0" w:color="auto"/>
        <w:bottom w:val="none" w:sz="0" w:space="0" w:color="auto"/>
        <w:right w:val="none" w:sz="0" w:space="0" w:color="auto"/>
      </w:divBdr>
      <w:divsChild>
        <w:div w:id="856889812">
          <w:marLeft w:val="0"/>
          <w:marRight w:val="0"/>
          <w:marTop w:val="0"/>
          <w:marBottom w:val="0"/>
          <w:divBdr>
            <w:top w:val="none" w:sz="0" w:space="0" w:color="auto"/>
            <w:left w:val="none" w:sz="0" w:space="0" w:color="auto"/>
            <w:bottom w:val="none" w:sz="0" w:space="0" w:color="auto"/>
            <w:right w:val="none" w:sz="0" w:space="0" w:color="auto"/>
          </w:divBdr>
        </w:div>
        <w:div w:id="1155924255">
          <w:marLeft w:val="0"/>
          <w:marRight w:val="0"/>
          <w:marTop w:val="0"/>
          <w:marBottom w:val="0"/>
          <w:divBdr>
            <w:top w:val="none" w:sz="0" w:space="0" w:color="auto"/>
            <w:left w:val="none" w:sz="0" w:space="0" w:color="auto"/>
            <w:bottom w:val="none" w:sz="0" w:space="0" w:color="auto"/>
            <w:right w:val="none" w:sz="0" w:space="0" w:color="auto"/>
          </w:divBdr>
          <w:divsChild>
            <w:div w:id="871377995">
              <w:marLeft w:val="0"/>
              <w:marRight w:val="0"/>
              <w:marTop w:val="0"/>
              <w:marBottom w:val="0"/>
              <w:divBdr>
                <w:top w:val="none" w:sz="0" w:space="0" w:color="auto"/>
                <w:left w:val="none" w:sz="0" w:space="0" w:color="auto"/>
                <w:bottom w:val="none" w:sz="0" w:space="0" w:color="auto"/>
                <w:right w:val="none" w:sz="0" w:space="0" w:color="auto"/>
              </w:divBdr>
              <w:divsChild>
                <w:div w:id="1629164076">
                  <w:marLeft w:val="0"/>
                  <w:marRight w:val="0"/>
                  <w:marTop w:val="0"/>
                  <w:marBottom w:val="0"/>
                  <w:divBdr>
                    <w:top w:val="none" w:sz="0" w:space="0" w:color="auto"/>
                    <w:left w:val="none" w:sz="0" w:space="0" w:color="auto"/>
                    <w:bottom w:val="none" w:sz="0" w:space="0" w:color="auto"/>
                    <w:right w:val="none" w:sz="0" w:space="0" w:color="auto"/>
                  </w:divBdr>
                  <w:divsChild>
                    <w:div w:id="518742022">
                      <w:marLeft w:val="0"/>
                      <w:marRight w:val="0"/>
                      <w:marTop w:val="0"/>
                      <w:marBottom w:val="0"/>
                      <w:divBdr>
                        <w:top w:val="none" w:sz="0" w:space="0" w:color="auto"/>
                        <w:left w:val="none" w:sz="0" w:space="0" w:color="auto"/>
                        <w:bottom w:val="none" w:sz="0" w:space="0" w:color="auto"/>
                        <w:right w:val="none" w:sz="0" w:space="0" w:color="auto"/>
                      </w:divBdr>
                      <w:divsChild>
                        <w:div w:id="1867057407">
                          <w:marLeft w:val="0"/>
                          <w:marRight w:val="0"/>
                          <w:marTop w:val="0"/>
                          <w:marBottom w:val="0"/>
                          <w:divBdr>
                            <w:top w:val="none" w:sz="0" w:space="0" w:color="auto"/>
                            <w:left w:val="none" w:sz="0" w:space="0" w:color="auto"/>
                            <w:bottom w:val="none" w:sz="0" w:space="0" w:color="auto"/>
                            <w:right w:val="none" w:sz="0" w:space="0" w:color="auto"/>
                          </w:divBdr>
                        </w:div>
                      </w:divsChild>
                    </w:div>
                    <w:div w:id="2094163051">
                      <w:marLeft w:val="0"/>
                      <w:marRight w:val="0"/>
                      <w:marTop w:val="0"/>
                      <w:marBottom w:val="0"/>
                      <w:divBdr>
                        <w:top w:val="none" w:sz="0" w:space="0" w:color="auto"/>
                        <w:left w:val="none" w:sz="0" w:space="0" w:color="auto"/>
                        <w:bottom w:val="none" w:sz="0" w:space="0" w:color="auto"/>
                        <w:right w:val="none" w:sz="0" w:space="0" w:color="auto"/>
                      </w:divBdr>
                      <w:divsChild>
                        <w:div w:id="1519927354">
                          <w:marLeft w:val="0"/>
                          <w:marRight w:val="0"/>
                          <w:marTop w:val="0"/>
                          <w:marBottom w:val="0"/>
                          <w:divBdr>
                            <w:top w:val="none" w:sz="0" w:space="0" w:color="auto"/>
                            <w:left w:val="none" w:sz="0" w:space="0" w:color="auto"/>
                            <w:bottom w:val="none" w:sz="0" w:space="0" w:color="auto"/>
                            <w:right w:val="none" w:sz="0" w:space="0" w:color="auto"/>
                          </w:divBdr>
                        </w:div>
                      </w:divsChild>
                    </w:div>
                    <w:div w:id="379281563">
                      <w:marLeft w:val="0"/>
                      <w:marRight w:val="0"/>
                      <w:marTop w:val="0"/>
                      <w:marBottom w:val="0"/>
                      <w:divBdr>
                        <w:top w:val="none" w:sz="0" w:space="0" w:color="auto"/>
                        <w:left w:val="none" w:sz="0" w:space="0" w:color="auto"/>
                        <w:bottom w:val="none" w:sz="0" w:space="0" w:color="auto"/>
                        <w:right w:val="none" w:sz="0" w:space="0" w:color="auto"/>
                      </w:divBdr>
                      <w:divsChild>
                        <w:div w:id="172494176">
                          <w:marLeft w:val="0"/>
                          <w:marRight w:val="0"/>
                          <w:marTop w:val="0"/>
                          <w:marBottom w:val="0"/>
                          <w:divBdr>
                            <w:top w:val="none" w:sz="0" w:space="0" w:color="auto"/>
                            <w:left w:val="none" w:sz="0" w:space="0" w:color="auto"/>
                            <w:bottom w:val="none" w:sz="0" w:space="0" w:color="auto"/>
                            <w:right w:val="none" w:sz="0" w:space="0" w:color="auto"/>
                          </w:divBdr>
                        </w:div>
                      </w:divsChild>
                    </w:div>
                    <w:div w:id="131487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327436">
      <w:bodyDiv w:val="1"/>
      <w:marLeft w:val="0"/>
      <w:marRight w:val="0"/>
      <w:marTop w:val="0"/>
      <w:marBottom w:val="0"/>
      <w:divBdr>
        <w:top w:val="none" w:sz="0" w:space="0" w:color="auto"/>
        <w:left w:val="none" w:sz="0" w:space="0" w:color="auto"/>
        <w:bottom w:val="none" w:sz="0" w:space="0" w:color="auto"/>
        <w:right w:val="none" w:sz="0" w:space="0" w:color="auto"/>
      </w:divBdr>
    </w:div>
    <w:div w:id="239606479">
      <w:bodyDiv w:val="1"/>
      <w:marLeft w:val="0"/>
      <w:marRight w:val="0"/>
      <w:marTop w:val="0"/>
      <w:marBottom w:val="0"/>
      <w:divBdr>
        <w:top w:val="none" w:sz="0" w:space="0" w:color="auto"/>
        <w:left w:val="none" w:sz="0" w:space="0" w:color="auto"/>
        <w:bottom w:val="none" w:sz="0" w:space="0" w:color="auto"/>
        <w:right w:val="none" w:sz="0" w:space="0" w:color="auto"/>
      </w:divBdr>
    </w:div>
    <w:div w:id="239875572">
      <w:bodyDiv w:val="1"/>
      <w:marLeft w:val="0"/>
      <w:marRight w:val="0"/>
      <w:marTop w:val="0"/>
      <w:marBottom w:val="0"/>
      <w:divBdr>
        <w:top w:val="none" w:sz="0" w:space="0" w:color="auto"/>
        <w:left w:val="none" w:sz="0" w:space="0" w:color="auto"/>
        <w:bottom w:val="none" w:sz="0" w:space="0" w:color="auto"/>
        <w:right w:val="none" w:sz="0" w:space="0" w:color="auto"/>
      </w:divBdr>
    </w:div>
    <w:div w:id="243540687">
      <w:bodyDiv w:val="1"/>
      <w:marLeft w:val="0"/>
      <w:marRight w:val="0"/>
      <w:marTop w:val="0"/>
      <w:marBottom w:val="0"/>
      <w:divBdr>
        <w:top w:val="none" w:sz="0" w:space="0" w:color="auto"/>
        <w:left w:val="none" w:sz="0" w:space="0" w:color="auto"/>
        <w:bottom w:val="none" w:sz="0" w:space="0" w:color="auto"/>
        <w:right w:val="none" w:sz="0" w:space="0" w:color="auto"/>
      </w:divBdr>
      <w:divsChild>
        <w:div w:id="218592902">
          <w:marLeft w:val="0"/>
          <w:marRight w:val="0"/>
          <w:marTop w:val="0"/>
          <w:marBottom w:val="0"/>
          <w:divBdr>
            <w:top w:val="none" w:sz="0" w:space="0" w:color="auto"/>
            <w:left w:val="none" w:sz="0" w:space="0" w:color="auto"/>
            <w:bottom w:val="none" w:sz="0" w:space="0" w:color="auto"/>
            <w:right w:val="none" w:sz="0" w:space="0" w:color="auto"/>
          </w:divBdr>
        </w:div>
      </w:divsChild>
    </w:div>
    <w:div w:id="244414055">
      <w:bodyDiv w:val="1"/>
      <w:marLeft w:val="0"/>
      <w:marRight w:val="0"/>
      <w:marTop w:val="0"/>
      <w:marBottom w:val="0"/>
      <w:divBdr>
        <w:top w:val="none" w:sz="0" w:space="0" w:color="auto"/>
        <w:left w:val="none" w:sz="0" w:space="0" w:color="auto"/>
        <w:bottom w:val="none" w:sz="0" w:space="0" w:color="auto"/>
        <w:right w:val="none" w:sz="0" w:space="0" w:color="auto"/>
      </w:divBdr>
      <w:divsChild>
        <w:div w:id="2131893630">
          <w:marLeft w:val="0"/>
          <w:marRight w:val="0"/>
          <w:marTop w:val="0"/>
          <w:marBottom w:val="0"/>
          <w:divBdr>
            <w:top w:val="none" w:sz="0" w:space="0" w:color="auto"/>
            <w:left w:val="none" w:sz="0" w:space="0" w:color="auto"/>
            <w:bottom w:val="none" w:sz="0" w:space="0" w:color="auto"/>
            <w:right w:val="none" w:sz="0" w:space="0" w:color="auto"/>
          </w:divBdr>
        </w:div>
      </w:divsChild>
    </w:div>
    <w:div w:id="248735701">
      <w:bodyDiv w:val="1"/>
      <w:marLeft w:val="0"/>
      <w:marRight w:val="0"/>
      <w:marTop w:val="0"/>
      <w:marBottom w:val="0"/>
      <w:divBdr>
        <w:top w:val="none" w:sz="0" w:space="0" w:color="auto"/>
        <w:left w:val="none" w:sz="0" w:space="0" w:color="auto"/>
        <w:bottom w:val="none" w:sz="0" w:space="0" w:color="auto"/>
        <w:right w:val="none" w:sz="0" w:space="0" w:color="auto"/>
      </w:divBdr>
    </w:div>
    <w:div w:id="249437274">
      <w:bodyDiv w:val="1"/>
      <w:marLeft w:val="0"/>
      <w:marRight w:val="0"/>
      <w:marTop w:val="0"/>
      <w:marBottom w:val="0"/>
      <w:divBdr>
        <w:top w:val="none" w:sz="0" w:space="0" w:color="auto"/>
        <w:left w:val="none" w:sz="0" w:space="0" w:color="auto"/>
        <w:bottom w:val="none" w:sz="0" w:space="0" w:color="auto"/>
        <w:right w:val="none" w:sz="0" w:space="0" w:color="auto"/>
      </w:divBdr>
      <w:divsChild>
        <w:div w:id="2263075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0087189">
      <w:bodyDiv w:val="1"/>
      <w:marLeft w:val="0"/>
      <w:marRight w:val="0"/>
      <w:marTop w:val="0"/>
      <w:marBottom w:val="0"/>
      <w:divBdr>
        <w:top w:val="none" w:sz="0" w:space="0" w:color="auto"/>
        <w:left w:val="none" w:sz="0" w:space="0" w:color="auto"/>
        <w:bottom w:val="none" w:sz="0" w:space="0" w:color="auto"/>
        <w:right w:val="none" w:sz="0" w:space="0" w:color="auto"/>
      </w:divBdr>
      <w:divsChild>
        <w:div w:id="1470634373">
          <w:marLeft w:val="0"/>
          <w:marRight w:val="0"/>
          <w:marTop w:val="0"/>
          <w:marBottom w:val="0"/>
          <w:divBdr>
            <w:top w:val="none" w:sz="0" w:space="0" w:color="auto"/>
            <w:left w:val="none" w:sz="0" w:space="0" w:color="auto"/>
            <w:bottom w:val="none" w:sz="0" w:space="0" w:color="auto"/>
            <w:right w:val="none" w:sz="0" w:space="0" w:color="auto"/>
          </w:divBdr>
        </w:div>
      </w:divsChild>
    </w:div>
    <w:div w:id="252856939">
      <w:bodyDiv w:val="1"/>
      <w:marLeft w:val="0"/>
      <w:marRight w:val="0"/>
      <w:marTop w:val="0"/>
      <w:marBottom w:val="0"/>
      <w:divBdr>
        <w:top w:val="none" w:sz="0" w:space="0" w:color="auto"/>
        <w:left w:val="none" w:sz="0" w:space="0" w:color="auto"/>
        <w:bottom w:val="none" w:sz="0" w:space="0" w:color="auto"/>
        <w:right w:val="none" w:sz="0" w:space="0" w:color="auto"/>
      </w:divBdr>
    </w:div>
    <w:div w:id="262765563">
      <w:bodyDiv w:val="1"/>
      <w:marLeft w:val="0"/>
      <w:marRight w:val="0"/>
      <w:marTop w:val="0"/>
      <w:marBottom w:val="0"/>
      <w:divBdr>
        <w:top w:val="none" w:sz="0" w:space="0" w:color="auto"/>
        <w:left w:val="none" w:sz="0" w:space="0" w:color="auto"/>
        <w:bottom w:val="none" w:sz="0" w:space="0" w:color="auto"/>
        <w:right w:val="none" w:sz="0" w:space="0" w:color="auto"/>
      </w:divBdr>
    </w:div>
    <w:div w:id="264265351">
      <w:bodyDiv w:val="1"/>
      <w:marLeft w:val="0"/>
      <w:marRight w:val="0"/>
      <w:marTop w:val="0"/>
      <w:marBottom w:val="0"/>
      <w:divBdr>
        <w:top w:val="none" w:sz="0" w:space="0" w:color="auto"/>
        <w:left w:val="none" w:sz="0" w:space="0" w:color="auto"/>
        <w:bottom w:val="none" w:sz="0" w:space="0" w:color="auto"/>
        <w:right w:val="none" w:sz="0" w:space="0" w:color="auto"/>
      </w:divBdr>
    </w:div>
    <w:div w:id="266471292">
      <w:bodyDiv w:val="1"/>
      <w:marLeft w:val="0"/>
      <w:marRight w:val="0"/>
      <w:marTop w:val="0"/>
      <w:marBottom w:val="0"/>
      <w:divBdr>
        <w:top w:val="none" w:sz="0" w:space="0" w:color="auto"/>
        <w:left w:val="none" w:sz="0" w:space="0" w:color="auto"/>
        <w:bottom w:val="none" w:sz="0" w:space="0" w:color="auto"/>
        <w:right w:val="none" w:sz="0" w:space="0" w:color="auto"/>
      </w:divBdr>
    </w:div>
    <w:div w:id="269094722">
      <w:bodyDiv w:val="1"/>
      <w:marLeft w:val="0"/>
      <w:marRight w:val="0"/>
      <w:marTop w:val="0"/>
      <w:marBottom w:val="0"/>
      <w:divBdr>
        <w:top w:val="none" w:sz="0" w:space="0" w:color="auto"/>
        <w:left w:val="none" w:sz="0" w:space="0" w:color="auto"/>
        <w:bottom w:val="none" w:sz="0" w:space="0" w:color="auto"/>
        <w:right w:val="none" w:sz="0" w:space="0" w:color="auto"/>
      </w:divBdr>
    </w:div>
    <w:div w:id="276720037">
      <w:bodyDiv w:val="1"/>
      <w:marLeft w:val="0"/>
      <w:marRight w:val="0"/>
      <w:marTop w:val="0"/>
      <w:marBottom w:val="0"/>
      <w:divBdr>
        <w:top w:val="none" w:sz="0" w:space="0" w:color="auto"/>
        <w:left w:val="none" w:sz="0" w:space="0" w:color="auto"/>
        <w:bottom w:val="none" w:sz="0" w:space="0" w:color="auto"/>
        <w:right w:val="none" w:sz="0" w:space="0" w:color="auto"/>
      </w:divBdr>
    </w:div>
    <w:div w:id="276911616">
      <w:bodyDiv w:val="1"/>
      <w:marLeft w:val="0"/>
      <w:marRight w:val="0"/>
      <w:marTop w:val="0"/>
      <w:marBottom w:val="0"/>
      <w:divBdr>
        <w:top w:val="none" w:sz="0" w:space="0" w:color="auto"/>
        <w:left w:val="none" w:sz="0" w:space="0" w:color="auto"/>
        <w:bottom w:val="none" w:sz="0" w:space="0" w:color="auto"/>
        <w:right w:val="none" w:sz="0" w:space="0" w:color="auto"/>
      </w:divBdr>
    </w:div>
    <w:div w:id="280038722">
      <w:bodyDiv w:val="1"/>
      <w:marLeft w:val="0"/>
      <w:marRight w:val="0"/>
      <w:marTop w:val="0"/>
      <w:marBottom w:val="0"/>
      <w:divBdr>
        <w:top w:val="none" w:sz="0" w:space="0" w:color="auto"/>
        <w:left w:val="none" w:sz="0" w:space="0" w:color="auto"/>
        <w:bottom w:val="none" w:sz="0" w:space="0" w:color="auto"/>
        <w:right w:val="none" w:sz="0" w:space="0" w:color="auto"/>
      </w:divBdr>
      <w:divsChild>
        <w:div w:id="1781871209">
          <w:marLeft w:val="0"/>
          <w:marRight w:val="0"/>
          <w:marTop w:val="0"/>
          <w:marBottom w:val="0"/>
          <w:divBdr>
            <w:top w:val="none" w:sz="0" w:space="0" w:color="auto"/>
            <w:left w:val="none" w:sz="0" w:space="0" w:color="auto"/>
            <w:bottom w:val="none" w:sz="0" w:space="0" w:color="auto"/>
            <w:right w:val="none" w:sz="0" w:space="0" w:color="auto"/>
          </w:divBdr>
        </w:div>
        <w:div w:id="1379625148">
          <w:marLeft w:val="0"/>
          <w:marRight w:val="0"/>
          <w:marTop w:val="0"/>
          <w:marBottom w:val="0"/>
          <w:divBdr>
            <w:top w:val="none" w:sz="0" w:space="0" w:color="auto"/>
            <w:left w:val="none" w:sz="0" w:space="0" w:color="auto"/>
            <w:bottom w:val="none" w:sz="0" w:space="0" w:color="auto"/>
            <w:right w:val="none" w:sz="0" w:space="0" w:color="auto"/>
          </w:divBdr>
          <w:divsChild>
            <w:div w:id="1052803056">
              <w:marLeft w:val="0"/>
              <w:marRight w:val="0"/>
              <w:marTop w:val="0"/>
              <w:marBottom w:val="0"/>
              <w:divBdr>
                <w:top w:val="none" w:sz="0" w:space="0" w:color="auto"/>
                <w:left w:val="none" w:sz="0" w:space="0" w:color="auto"/>
                <w:bottom w:val="none" w:sz="0" w:space="0" w:color="auto"/>
                <w:right w:val="none" w:sz="0" w:space="0" w:color="auto"/>
              </w:divBdr>
              <w:divsChild>
                <w:div w:id="1835097723">
                  <w:marLeft w:val="0"/>
                  <w:marRight w:val="0"/>
                  <w:marTop w:val="0"/>
                  <w:marBottom w:val="0"/>
                  <w:divBdr>
                    <w:top w:val="none" w:sz="0" w:space="0" w:color="auto"/>
                    <w:left w:val="none" w:sz="0" w:space="0" w:color="auto"/>
                    <w:bottom w:val="none" w:sz="0" w:space="0" w:color="auto"/>
                    <w:right w:val="none" w:sz="0" w:space="0" w:color="auto"/>
                  </w:divBdr>
                  <w:divsChild>
                    <w:div w:id="1207639249">
                      <w:marLeft w:val="0"/>
                      <w:marRight w:val="0"/>
                      <w:marTop w:val="0"/>
                      <w:marBottom w:val="0"/>
                      <w:divBdr>
                        <w:top w:val="none" w:sz="0" w:space="0" w:color="auto"/>
                        <w:left w:val="none" w:sz="0" w:space="0" w:color="auto"/>
                        <w:bottom w:val="none" w:sz="0" w:space="0" w:color="auto"/>
                        <w:right w:val="none" w:sz="0" w:space="0" w:color="auto"/>
                      </w:divBdr>
                      <w:divsChild>
                        <w:div w:id="1844734525">
                          <w:marLeft w:val="0"/>
                          <w:marRight w:val="0"/>
                          <w:marTop w:val="0"/>
                          <w:marBottom w:val="0"/>
                          <w:divBdr>
                            <w:top w:val="none" w:sz="0" w:space="0" w:color="auto"/>
                            <w:left w:val="none" w:sz="0" w:space="0" w:color="auto"/>
                            <w:bottom w:val="none" w:sz="0" w:space="0" w:color="auto"/>
                            <w:right w:val="none" w:sz="0" w:space="0" w:color="auto"/>
                          </w:divBdr>
                        </w:div>
                      </w:divsChild>
                    </w:div>
                    <w:div w:id="887104892">
                      <w:marLeft w:val="0"/>
                      <w:marRight w:val="0"/>
                      <w:marTop w:val="0"/>
                      <w:marBottom w:val="0"/>
                      <w:divBdr>
                        <w:top w:val="none" w:sz="0" w:space="0" w:color="auto"/>
                        <w:left w:val="none" w:sz="0" w:space="0" w:color="auto"/>
                        <w:bottom w:val="none" w:sz="0" w:space="0" w:color="auto"/>
                        <w:right w:val="none" w:sz="0" w:space="0" w:color="auto"/>
                      </w:divBdr>
                      <w:divsChild>
                        <w:div w:id="298072873">
                          <w:marLeft w:val="0"/>
                          <w:marRight w:val="0"/>
                          <w:marTop w:val="0"/>
                          <w:marBottom w:val="0"/>
                          <w:divBdr>
                            <w:top w:val="none" w:sz="0" w:space="0" w:color="auto"/>
                            <w:left w:val="none" w:sz="0" w:space="0" w:color="auto"/>
                            <w:bottom w:val="none" w:sz="0" w:space="0" w:color="auto"/>
                            <w:right w:val="none" w:sz="0" w:space="0" w:color="auto"/>
                          </w:divBdr>
                        </w:div>
                      </w:divsChild>
                    </w:div>
                    <w:div w:id="982193609">
                      <w:marLeft w:val="0"/>
                      <w:marRight w:val="0"/>
                      <w:marTop w:val="0"/>
                      <w:marBottom w:val="0"/>
                      <w:divBdr>
                        <w:top w:val="none" w:sz="0" w:space="0" w:color="auto"/>
                        <w:left w:val="none" w:sz="0" w:space="0" w:color="auto"/>
                        <w:bottom w:val="none" w:sz="0" w:space="0" w:color="auto"/>
                        <w:right w:val="none" w:sz="0" w:space="0" w:color="auto"/>
                      </w:divBdr>
                      <w:divsChild>
                        <w:div w:id="300774800">
                          <w:marLeft w:val="0"/>
                          <w:marRight w:val="0"/>
                          <w:marTop w:val="0"/>
                          <w:marBottom w:val="0"/>
                          <w:divBdr>
                            <w:top w:val="none" w:sz="0" w:space="0" w:color="auto"/>
                            <w:left w:val="none" w:sz="0" w:space="0" w:color="auto"/>
                            <w:bottom w:val="none" w:sz="0" w:space="0" w:color="auto"/>
                            <w:right w:val="none" w:sz="0" w:space="0" w:color="auto"/>
                          </w:divBdr>
                        </w:div>
                      </w:divsChild>
                    </w:div>
                    <w:div w:id="105095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745035">
      <w:bodyDiv w:val="1"/>
      <w:marLeft w:val="0"/>
      <w:marRight w:val="0"/>
      <w:marTop w:val="0"/>
      <w:marBottom w:val="0"/>
      <w:divBdr>
        <w:top w:val="none" w:sz="0" w:space="0" w:color="auto"/>
        <w:left w:val="none" w:sz="0" w:space="0" w:color="auto"/>
        <w:bottom w:val="none" w:sz="0" w:space="0" w:color="auto"/>
        <w:right w:val="none" w:sz="0" w:space="0" w:color="auto"/>
      </w:divBdr>
    </w:div>
    <w:div w:id="291903904">
      <w:bodyDiv w:val="1"/>
      <w:marLeft w:val="0"/>
      <w:marRight w:val="0"/>
      <w:marTop w:val="0"/>
      <w:marBottom w:val="0"/>
      <w:divBdr>
        <w:top w:val="none" w:sz="0" w:space="0" w:color="auto"/>
        <w:left w:val="none" w:sz="0" w:space="0" w:color="auto"/>
        <w:bottom w:val="none" w:sz="0" w:space="0" w:color="auto"/>
        <w:right w:val="none" w:sz="0" w:space="0" w:color="auto"/>
      </w:divBdr>
    </w:div>
    <w:div w:id="296568772">
      <w:bodyDiv w:val="1"/>
      <w:marLeft w:val="0"/>
      <w:marRight w:val="0"/>
      <w:marTop w:val="0"/>
      <w:marBottom w:val="0"/>
      <w:divBdr>
        <w:top w:val="none" w:sz="0" w:space="0" w:color="auto"/>
        <w:left w:val="none" w:sz="0" w:space="0" w:color="auto"/>
        <w:bottom w:val="none" w:sz="0" w:space="0" w:color="auto"/>
        <w:right w:val="none" w:sz="0" w:space="0" w:color="auto"/>
      </w:divBdr>
      <w:divsChild>
        <w:div w:id="2060704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7416344">
      <w:bodyDiv w:val="1"/>
      <w:marLeft w:val="0"/>
      <w:marRight w:val="0"/>
      <w:marTop w:val="0"/>
      <w:marBottom w:val="0"/>
      <w:divBdr>
        <w:top w:val="none" w:sz="0" w:space="0" w:color="auto"/>
        <w:left w:val="none" w:sz="0" w:space="0" w:color="auto"/>
        <w:bottom w:val="none" w:sz="0" w:space="0" w:color="auto"/>
        <w:right w:val="none" w:sz="0" w:space="0" w:color="auto"/>
      </w:divBdr>
    </w:div>
    <w:div w:id="299893730">
      <w:bodyDiv w:val="1"/>
      <w:marLeft w:val="0"/>
      <w:marRight w:val="0"/>
      <w:marTop w:val="0"/>
      <w:marBottom w:val="0"/>
      <w:divBdr>
        <w:top w:val="none" w:sz="0" w:space="0" w:color="auto"/>
        <w:left w:val="none" w:sz="0" w:space="0" w:color="auto"/>
        <w:bottom w:val="none" w:sz="0" w:space="0" w:color="auto"/>
        <w:right w:val="none" w:sz="0" w:space="0" w:color="auto"/>
      </w:divBdr>
    </w:div>
    <w:div w:id="313334209">
      <w:bodyDiv w:val="1"/>
      <w:marLeft w:val="0"/>
      <w:marRight w:val="0"/>
      <w:marTop w:val="0"/>
      <w:marBottom w:val="0"/>
      <w:divBdr>
        <w:top w:val="none" w:sz="0" w:space="0" w:color="auto"/>
        <w:left w:val="none" w:sz="0" w:space="0" w:color="auto"/>
        <w:bottom w:val="none" w:sz="0" w:space="0" w:color="auto"/>
        <w:right w:val="none" w:sz="0" w:space="0" w:color="auto"/>
      </w:divBdr>
      <w:divsChild>
        <w:div w:id="168566022">
          <w:blockQuote w:val="1"/>
          <w:marLeft w:val="720"/>
          <w:marRight w:val="720"/>
          <w:marTop w:val="100"/>
          <w:marBottom w:val="100"/>
          <w:divBdr>
            <w:top w:val="none" w:sz="0" w:space="0" w:color="auto"/>
            <w:left w:val="none" w:sz="0" w:space="0" w:color="auto"/>
            <w:bottom w:val="none" w:sz="0" w:space="0" w:color="auto"/>
            <w:right w:val="none" w:sz="0" w:space="0" w:color="auto"/>
          </w:divBdr>
        </w:div>
        <w:div w:id="304314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071193493">
          <w:blockQuote w:val="1"/>
          <w:marLeft w:val="720"/>
          <w:marRight w:val="720"/>
          <w:marTop w:val="100"/>
          <w:marBottom w:val="100"/>
          <w:divBdr>
            <w:top w:val="none" w:sz="0" w:space="0" w:color="auto"/>
            <w:left w:val="none" w:sz="0" w:space="0" w:color="auto"/>
            <w:bottom w:val="none" w:sz="0" w:space="0" w:color="auto"/>
            <w:right w:val="none" w:sz="0" w:space="0" w:color="auto"/>
          </w:divBdr>
        </w:div>
        <w:div w:id="11104382">
          <w:blockQuote w:val="1"/>
          <w:marLeft w:val="720"/>
          <w:marRight w:val="720"/>
          <w:marTop w:val="100"/>
          <w:marBottom w:val="100"/>
          <w:divBdr>
            <w:top w:val="none" w:sz="0" w:space="0" w:color="auto"/>
            <w:left w:val="none" w:sz="0" w:space="0" w:color="auto"/>
            <w:bottom w:val="none" w:sz="0" w:space="0" w:color="auto"/>
            <w:right w:val="none" w:sz="0" w:space="0" w:color="auto"/>
          </w:divBdr>
        </w:div>
        <w:div w:id="758407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4825728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5694707">
      <w:bodyDiv w:val="1"/>
      <w:marLeft w:val="0"/>
      <w:marRight w:val="0"/>
      <w:marTop w:val="0"/>
      <w:marBottom w:val="0"/>
      <w:divBdr>
        <w:top w:val="none" w:sz="0" w:space="0" w:color="auto"/>
        <w:left w:val="none" w:sz="0" w:space="0" w:color="auto"/>
        <w:bottom w:val="none" w:sz="0" w:space="0" w:color="auto"/>
        <w:right w:val="none" w:sz="0" w:space="0" w:color="auto"/>
      </w:divBdr>
      <w:divsChild>
        <w:div w:id="9939887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9231063">
      <w:bodyDiv w:val="1"/>
      <w:marLeft w:val="0"/>
      <w:marRight w:val="0"/>
      <w:marTop w:val="0"/>
      <w:marBottom w:val="0"/>
      <w:divBdr>
        <w:top w:val="none" w:sz="0" w:space="0" w:color="auto"/>
        <w:left w:val="none" w:sz="0" w:space="0" w:color="auto"/>
        <w:bottom w:val="none" w:sz="0" w:space="0" w:color="auto"/>
        <w:right w:val="none" w:sz="0" w:space="0" w:color="auto"/>
      </w:divBdr>
      <w:divsChild>
        <w:div w:id="1687713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2784589">
      <w:bodyDiv w:val="1"/>
      <w:marLeft w:val="0"/>
      <w:marRight w:val="0"/>
      <w:marTop w:val="0"/>
      <w:marBottom w:val="0"/>
      <w:divBdr>
        <w:top w:val="none" w:sz="0" w:space="0" w:color="auto"/>
        <w:left w:val="none" w:sz="0" w:space="0" w:color="auto"/>
        <w:bottom w:val="none" w:sz="0" w:space="0" w:color="auto"/>
        <w:right w:val="none" w:sz="0" w:space="0" w:color="auto"/>
      </w:divBdr>
      <w:divsChild>
        <w:div w:id="969554235">
          <w:blockQuote w:val="1"/>
          <w:marLeft w:val="720"/>
          <w:marRight w:val="720"/>
          <w:marTop w:val="100"/>
          <w:marBottom w:val="100"/>
          <w:divBdr>
            <w:top w:val="none" w:sz="0" w:space="0" w:color="auto"/>
            <w:left w:val="none" w:sz="0" w:space="0" w:color="auto"/>
            <w:bottom w:val="none" w:sz="0" w:space="0" w:color="auto"/>
            <w:right w:val="none" w:sz="0" w:space="0" w:color="auto"/>
          </w:divBdr>
        </w:div>
        <w:div w:id="700283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85289958">
          <w:blockQuote w:val="1"/>
          <w:marLeft w:val="720"/>
          <w:marRight w:val="720"/>
          <w:marTop w:val="100"/>
          <w:marBottom w:val="100"/>
          <w:divBdr>
            <w:top w:val="none" w:sz="0" w:space="0" w:color="auto"/>
            <w:left w:val="none" w:sz="0" w:space="0" w:color="auto"/>
            <w:bottom w:val="none" w:sz="0" w:space="0" w:color="auto"/>
            <w:right w:val="none" w:sz="0" w:space="0" w:color="auto"/>
          </w:divBdr>
        </w:div>
        <w:div w:id="8910389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3345443">
      <w:bodyDiv w:val="1"/>
      <w:marLeft w:val="0"/>
      <w:marRight w:val="0"/>
      <w:marTop w:val="0"/>
      <w:marBottom w:val="0"/>
      <w:divBdr>
        <w:top w:val="none" w:sz="0" w:space="0" w:color="auto"/>
        <w:left w:val="none" w:sz="0" w:space="0" w:color="auto"/>
        <w:bottom w:val="none" w:sz="0" w:space="0" w:color="auto"/>
        <w:right w:val="none" w:sz="0" w:space="0" w:color="auto"/>
      </w:divBdr>
    </w:div>
    <w:div w:id="333460445">
      <w:bodyDiv w:val="1"/>
      <w:marLeft w:val="0"/>
      <w:marRight w:val="0"/>
      <w:marTop w:val="0"/>
      <w:marBottom w:val="0"/>
      <w:divBdr>
        <w:top w:val="none" w:sz="0" w:space="0" w:color="auto"/>
        <w:left w:val="none" w:sz="0" w:space="0" w:color="auto"/>
        <w:bottom w:val="none" w:sz="0" w:space="0" w:color="auto"/>
        <w:right w:val="none" w:sz="0" w:space="0" w:color="auto"/>
      </w:divBdr>
    </w:div>
    <w:div w:id="335352141">
      <w:bodyDiv w:val="1"/>
      <w:marLeft w:val="0"/>
      <w:marRight w:val="0"/>
      <w:marTop w:val="0"/>
      <w:marBottom w:val="0"/>
      <w:divBdr>
        <w:top w:val="none" w:sz="0" w:space="0" w:color="auto"/>
        <w:left w:val="none" w:sz="0" w:space="0" w:color="auto"/>
        <w:bottom w:val="none" w:sz="0" w:space="0" w:color="auto"/>
        <w:right w:val="none" w:sz="0" w:space="0" w:color="auto"/>
      </w:divBdr>
    </w:div>
    <w:div w:id="337316878">
      <w:bodyDiv w:val="1"/>
      <w:marLeft w:val="0"/>
      <w:marRight w:val="0"/>
      <w:marTop w:val="0"/>
      <w:marBottom w:val="0"/>
      <w:divBdr>
        <w:top w:val="none" w:sz="0" w:space="0" w:color="auto"/>
        <w:left w:val="none" w:sz="0" w:space="0" w:color="auto"/>
        <w:bottom w:val="none" w:sz="0" w:space="0" w:color="auto"/>
        <w:right w:val="none" w:sz="0" w:space="0" w:color="auto"/>
      </w:divBdr>
    </w:div>
    <w:div w:id="339087131">
      <w:bodyDiv w:val="1"/>
      <w:marLeft w:val="0"/>
      <w:marRight w:val="0"/>
      <w:marTop w:val="0"/>
      <w:marBottom w:val="0"/>
      <w:divBdr>
        <w:top w:val="none" w:sz="0" w:space="0" w:color="auto"/>
        <w:left w:val="none" w:sz="0" w:space="0" w:color="auto"/>
        <w:bottom w:val="none" w:sz="0" w:space="0" w:color="auto"/>
        <w:right w:val="none" w:sz="0" w:space="0" w:color="auto"/>
      </w:divBdr>
      <w:divsChild>
        <w:div w:id="2594592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1711407">
      <w:bodyDiv w:val="1"/>
      <w:marLeft w:val="0"/>
      <w:marRight w:val="0"/>
      <w:marTop w:val="0"/>
      <w:marBottom w:val="0"/>
      <w:divBdr>
        <w:top w:val="none" w:sz="0" w:space="0" w:color="auto"/>
        <w:left w:val="none" w:sz="0" w:space="0" w:color="auto"/>
        <w:bottom w:val="none" w:sz="0" w:space="0" w:color="auto"/>
        <w:right w:val="none" w:sz="0" w:space="0" w:color="auto"/>
      </w:divBdr>
      <w:divsChild>
        <w:div w:id="1073284633">
          <w:blockQuote w:val="1"/>
          <w:marLeft w:val="720"/>
          <w:marRight w:val="720"/>
          <w:marTop w:val="100"/>
          <w:marBottom w:val="100"/>
          <w:divBdr>
            <w:top w:val="none" w:sz="0" w:space="0" w:color="auto"/>
            <w:left w:val="none" w:sz="0" w:space="0" w:color="auto"/>
            <w:bottom w:val="none" w:sz="0" w:space="0" w:color="auto"/>
            <w:right w:val="none" w:sz="0" w:space="0" w:color="auto"/>
          </w:divBdr>
        </w:div>
        <w:div w:id="53743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2878394">
      <w:bodyDiv w:val="1"/>
      <w:marLeft w:val="0"/>
      <w:marRight w:val="0"/>
      <w:marTop w:val="0"/>
      <w:marBottom w:val="0"/>
      <w:divBdr>
        <w:top w:val="none" w:sz="0" w:space="0" w:color="auto"/>
        <w:left w:val="none" w:sz="0" w:space="0" w:color="auto"/>
        <w:bottom w:val="none" w:sz="0" w:space="0" w:color="auto"/>
        <w:right w:val="none" w:sz="0" w:space="0" w:color="auto"/>
      </w:divBdr>
    </w:div>
    <w:div w:id="359354440">
      <w:bodyDiv w:val="1"/>
      <w:marLeft w:val="0"/>
      <w:marRight w:val="0"/>
      <w:marTop w:val="0"/>
      <w:marBottom w:val="0"/>
      <w:divBdr>
        <w:top w:val="none" w:sz="0" w:space="0" w:color="auto"/>
        <w:left w:val="none" w:sz="0" w:space="0" w:color="auto"/>
        <w:bottom w:val="none" w:sz="0" w:space="0" w:color="auto"/>
        <w:right w:val="none" w:sz="0" w:space="0" w:color="auto"/>
      </w:divBdr>
      <w:divsChild>
        <w:div w:id="159443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010063538">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79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574049424">
          <w:blockQuote w:val="1"/>
          <w:marLeft w:val="720"/>
          <w:marRight w:val="720"/>
          <w:marTop w:val="100"/>
          <w:marBottom w:val="100"/>
          <w:divBdr>
            <w:top w:val="none" w:sz="0" w:space="0" w:color="auto"/>
            <w:left w:val="none" w:sz="0" w:space="0" w:color="auto"/>
            <w:bottom w:val="none" w:sz="0" w:space="0" w:color="auto"/>
            <w:right w:val="none" w:sz="0" w:space="0" w:color="auto"/>
          </w:divBdr>
        </w:div>
        <w:div w:id="584612330">
          <w:blockQuote w:val="1"/>
          <w:marLeft w:val="720"/>
          <w:marRight w:val="720"/>
          <w:marTop w:val="100"/>
          <w:marBottom w:val="100"/>
          <w:divBdr>
            <w:top w:val="none" w:sz="0" w:space="0" w:color="auto"/>
            <w:left w:val="none" w:sz="0" w:space="0" w:color="auto"/>
            <w:bottom w:val="none" w:sz="0" w:space="0" w:color="auto"/>
            <w:right w:val="none" w:sz="0" w:space="0" w:color="auto"/>
          </w:divBdr>
        </w:div>
        <w:div w:id="5487605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8998639">
      <w:bodyDiv w:val="1"/>
      <w:marLeft w:val="0"/>
      <w:marRight w:val="0"/>
      <w:marTop w:val="0"/>
      <w:marBottom w:val="0"/>
      <w:divBdr>
        <w:top w:val="none" w:sz="0" w:space="0" w:color="auto"/>
        <w:left w:val="none" w:sz="0" w:space="0" w:color="auto"/>
        <w:bottom w:val="none" w:sz="0" w:space="0" w:color="auto"/>
        <w:right w:val="none" w:sz="0" w:space="0" w:color="auto"/>
      </w:divBdr>
    </w:div>
    <w:div w:id="369232894">
      <w:bodyDiv w:val="1"/>
      <w:marLeft w:val="0"/>
      <w:marRight w:val="0"/>
      <w:marTop w:val="0"/>
      <w:marBottom w:val="0"/>
      <w:divBdr>
        <w:top w:val="none" w:sz="0" w:space="0" w:color="auto"/>
        <w:left w:val="none" w:sz="0" w:space="0" w:color="auto"/>
        <w:bottom w:val="none" w:sz="0" w:space="0" w:color="auto"/>
        <w:right w:val="none" w:sz="0" w:space="0" w:color="auto"/>
      </w:divBdr>
    </w:div>
    <w:div w:id="370611691">
      <w:bodyDiv w:val="1"/>
      <w:marLeft w:val="0"/>
      <w:marRight w:val="0"/>
      <w:marTop w:val="0"/>
      <w:marBottom w:val="0"/>
      <w:divBdr>
        <w:top w:val="none" w:sz="0" w:space="0" w:color="auto"/>
        <w:left w:val="none" w:sz="0" w:space="0" w:color="auto"/>
        <w:bottom w:val="none" w:sz="0" w:space="0" w:color="auto"/>
        <w:right w:val="none" w:sz="0" w:space="0" w:color="auto"/>
      </w:divBdr>
    </w:div>
    <w:div w:id="372466432">
      <w:bodyDiv w:val="1"/>
      <w:marLeft w:val="0"/>
      <w:marRight w:val="0"/>
      <w:marTop w:val="0"/>
      <w:marBottom w:val="0"/>
      <w:divBdr>
        <w:top w:val="none" w:sz="0" w:space="0" w:color="auto"/>
        <w:left w:val="none" w:sz="0" w:space="0" w:color="auto"/>
        <w:bottom w:val="none" w:sz="0" w:space="0" w:color="auto"/>
        <w:right w:val="none" w:sz="0" w:space="0" w:color="auto"/>
      </w:divBdr>
      <w:divsChild>
        <w:div w:id="1577721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0496022">
      <w:bodyDiv w:val="1"/>
      <w:marLeft w:val="0"/>
      <w:marRight w:val="0"/>
      <w:marTop w:val="0"/>
      <w:marBottom w:val="0"/>
      <w:divBdr>
        <w:top w:val="none" w:sz="0" w:space="0" w:color="auto"/>
        <w:left w:val="none" w:sz="0" w:space="0" w:color="auto"/>
        <w:bottom w:val="none" w:sz="0" w:space="0" w:color="auto"/>
        <w:right w:val="none" w:sz="0" w:space="0" w:color="auto"/>
      </w:divBdr>
    </w:div>
    <w:div w:id="392192377">
      <w:bodyDiv w:val="1"/>
      <w:marLeft w:val="0"/>
      <w:marRight w:val="0"/>
      <w:marTop w:val="0"/>
      <w:marBottom w:val="0"/>
      <w:divBdr>
        <w:top w:val="none" w:sz="0" w:space="0" w:color="auto"/>
        <w:left w:val="none" w:sz="0" w:space="0" w:color="auto"/>
        <w:bottom w:val="none" w:sz="0" w:space="0" w:color="auto"/>
        <w:right w:val="none" w:sz="0" w:space="0" w:color="auto"/>
      </w:divBdr>
    </w:div>
    <w:div w:id="392630164">
      <w:bodyDiv w:val="1"/>
      <w:marLeft w:val="0"/>
      <w:marRight w:val="0"/>
      <w:marTop w:val="0"/>
      <w:marBottom w:val="0"/>
      <w:divBdr>
        <w:top w:val="none" w:sz="0" w:space="0" w:color="auto"/>
        <w:left w:val="none" w:sz="0" w:space="0" w:color="auto"/>
        <w:bottom w:val="none" w:sz="0" w:space="0" w:color="auto"/>
        <w:right w:val="none" w:sz="0" w:space="0" w:color="auto"/>
      </w:divBdr>
    </w:div>
    <w:div w:id="397483998">
      <w:bodyDiv w:val="1"/>
      <w:marLeft w:val="0"/>
      <w:marRight w:val="0"/>
      <w:marTop w:val="0"/>
      <w:marBottom w:val="0"/>
      <w:divBdr>
        <w:top w:val="none" w:sz="0" w:space="0" w:color="auto"/>
        <w:left w:val="none" w:sz="0" w:space="0" w:color="auto"/>
        <w:bottom w:val="none" w:sz="0" w:space="0" w:color="auto"/>
        <w:right w:val="none" w:sz="0" w:space="0" w:color="auto"/>
      </w:divBdr>
    </w:div>
    <w:div w:id="398674750">
      <w:bodyDiv w:val="1"/>
      <w:marLeft w:val="0"/>
      <w:marRight w:val="0"/>
      <w:marTop w:val="0"/>
      <w:marBottom w:val="0"/>
      <w:divBdr>
        <w:top w:val="none" w:sz="0" w:space="0" w:color="auto"/>
        <w:left w:val="none" w:sz="0" w:space="0" w:color="auto"/>
        <w:bottom w:val="none" w:sz="0" w:space="0" w:color="auto"/>
        <w:right w:val="none" w:sz="0" w:space="0" w:color="auto"/>
      </w:divBdr>
    </w:div>
    <w:div w:id="399912601">
      <w:bodyDiv w:val="1"/>
      <w:marLeft w:val="0"/>
      <w:marRight w:val="0"/>
      <w:marTop w:val="0"/>
      <w:marBottom w:val="0"/>
      <w:divBdr>
        <w:top w:val="none" w:sz="0" w:space="0" w:color="auto"/>
        <w:left w:val="none" w:sz="0" w:space="0" w:color="auto"/>
        <w:bottom w:val="none" w:sz="0" w:space="0" w:color="auto"/>
        <w:right w:val="none" w:sz="0" w:space="0" w:color="auto"/>
      </w:divBdr>
    </w:div>
    <w:div w:id="406807104">
      <w:bodyDiv w:val="1"/>
      <w:marLeft w:val="0"/>
      <w:marRight w:val="0"/>
      <w:marTop w:val="0"/>
      <w:marBottom w:val="0"/>
      <w:divBdr>
        <w:top w:val="none" w:sz="0" w:space="0" w:color="auto"/>
        <w:left w:val="none" w:sz="0" w:space="0" w:color="auto"/>
        <w:bottom w:val="none" w:sz="0" w:space="0" w:color="auto"/>
        <w:right w:val="none" w:sz="0" w:space="0" w:color="auto"/>
      </w:divBdr>
    </w:div>
    <w:div w:id="410129009">
      <w:bodyDiv w:val="1"/>
      <w:marLeft w:val="0"/>
      <w:marRight w:val="0"/>
      <w:marTop w:val="0"/>
      <w:marBottom w:val="0"/>
      <w:divBdr>
        <w:top w:val="none" w:sz="0" w:space="0" w:color="auto"/>
        <w:left w:val="none" w:sz="0" w:space="0" w:color="auto"/>
        <w:bottom w:val="none" w:sz="0" w:space="0" w:color="auto"/>
        <w:right w:val="none" w:sz="0" w:space="0" w:color="auto"/>
      </w:divBdr>
    </w:div>
    <w:div w:id="414908953">
      <w:bodyDiv w:val="1"/>
      <w:marLeft w:val="0"/>
      <w:marRight w:val="0"/>
      <w:marTop w:val="0"/>
      <w:marBottom w:val="0"/>
      <w:divBdr>
        <w:top w:val="none" w:sz="0" w:space="0" w:color="auto"/>
        <w:left w:val="none" w:sz="0" w:space="0" w:color="auto"/>
        <w:bottom w:val="none" w:sz="0" w:space="0" w:color="auto"/>
        <w:right w:val="none" w:sz="0" w:space="0" w:color="auto"/>
      </w:divBdr>
    </w:div>
    <w:div w:id="420444077">
      <w:bodyDiv w:val="1"/>
      <w:marLeft w:val="0"/>
      <w:marRight w:val="0"/>
      <w:marTop w:val="0"/>
      <w:marBottom w:val="0"/>
      <w:divBdr>
        <w:top w:val="none" w:sz="0" w:space="0" w:color="auto"/>
        <w:left w:val="none" w:sz="0" w:space="0" w:color="auto"/>
        <w:bottom w:val="none" w:sz="0" w:space="0" w:color="auto"/>
        <w:right w:val="none" w:sz="0" w:space="0" w:color="auto"/>
      </w:divBdr>
      <w:divsChild>
        <w:div w:id="1227838014">
          <w:marLeft w:val="0"/>
          <w:marRight w:val="0"/>
          <w:marTop w:val="0"/>
          <w:marBottom w:val="0"/>
          <w:divBdr>
            <w:top w:val="none" w:sz="0" w:space="0" w:color="auto"/>
            <w:left w:val="none" w:sz="0" w:space="0" w:color="auto"/>
            <w:bottom w:val="none" w:sz="0" w:space="0" w:color="auto"/>
            <w:right w:val="none" w:sz="0" w:space="0" w:color="auto"/>
          </w:divBdr>
          <w:divsChild>
            <w:div w:id="1668047257">
              <w:marLeft w:val="0"/>
              <w:marRight w:val="0"/>
              <w:marTop w:val="0"/>
              <w:marBottom w:val="0"/>
              <w:divBdr>
                <w:top w:val="none" w:sz="0" w:space="0" w:color="auto"/>
                <w:left w:val="none" w:sz="0" w:space="0" w:color="auto"/>
                <w:bottom w:val="none" w:sz="0" w:space="0" w:color="auto"/>
                <w:right w:val="none" w:sz="0" w:space="0" w:color="auto"/>
              </w:divBdr>
            </w:div>
          </w:divsChild>
        </w:div>
        <w:div w:id="60718166">
          <w:marLeft w:val="0"/>
          <w:marRight w:val="0"/>
          <w:marTop w:val="0"/>
          <w:marBottom w:val="0"/>
          <w:divBdr>
            <w:top w:val="none" w:sz="0" w:space="0" w:color="auto"/>
            <w:left w:val="none" w:sz="0" w:space="0" w:color="auto"/>
            <w:bottom w:val="none" w:sz="0" w:space="0" w:color="auto"/>
            <w:right w:val="none" w:sz="0" w:space="0" w:color="auto"/>
          </w:divBdr>
          <w:divsChild>
            <w:div w:id="115090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833920">
      <w:bodyDiv w:val="1"/>
      <w:marLeft w:val="0"/>
      <w:marRight w:val="0"/>
      <w:marTop w:val="0"/>
      <w:marBottom w:val="0"/>
      <w:divBdr>
        <w:top w:val="none" w:sz="0" w:space="0" w:color="auto"/>
        <w:left w:val="none" w:sz="0" w:space="0" w:color="auto"/>
        <w:bottom w:val="none" w:sz="0" w:space="0" w:color="auto"/>
        <w:right w:val="none" w:sz="0" w:space="0" w:color="auto"/>
      </w:divBdr>
    </w:div>
    <w:div w:id="426535590">
      <w:bodyDiv w:val="1"/>
      <w:marLeft w:val="0"/>
      <w:marRight w:val="0"/>
      <w:marTop w:val="0"/>
      <w:marBottom w:val="0"/>
      <w:divBdr>
        <w:top w:val="none" w:sz="0" w:space="0" w:color="auto"/>
        <w:left w:val="none" w:sz="0" w:space="0" w:color="auto"/>
        <w:bottom w:val="none" w:sz="0" w:space="0" w:color="auto"/>
        <w:right w:val="none" w:sz="0" w:space="0" w:color="auto"/>
      </w:divBdr>
      <w:divsChild>
        <w:div w:id="212355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6248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2366402">
      <w:bodyDiv w:val="1"/>
      <w:marLeft w:val="0"/>
      <w:marRight w:val="0"/>
      <w:marTop w:val="0"/>
      <w:marBottom w:val="0"/>
      <w:divBdr>
        <w:top w:val="none" w:sz="0" w:space="0" w:color="auto"/>
        <w:left w:val="none" w:sz="0" w:space="0" w:color="auto"/>
        <w:bottom w:val="none" w:sz="0" w:space="0" w:color="auto"/>
        <w:right w:val="none" w:sz="0" w:space="0" w:color="auto"/>
      </w:divBdr>
    </w:div>
    <w:div w:id="440684728">
      <w:bodyDiv w:val="1"/>
      <w:marLeft w:val="0"/>
      <w:marRight w:val="0"/>
      <w:marTop w:val="0"/>
      <w:marBottom w:val="0"/>
      <w:divBdr>
        <w:top w:val="none" w:sz="0" w:space="0" w:color="auto"/>
        <w:left w:val="none" w:sz="0" w:space="0" w:color="auto"/>
        <w:bottom w:val="none" w:sz="0" w:space="0" w:color="auto"/>
        <w:right w:val="none" w:sz="0" w:space="0" w:color="auto"/>
      </w:divBdr>
    </w:div>
    <w:div w:id="443305217">
      <w:bodyDiv w:val="1"/>
      <w:marLeft w:val="0"/>
      <w:marRight w:val="0"/>
      <w:marTop w:val="0"/>
      <w:marBottom w:val="0"/>
      <w:divBdr>
        <w:top w:val="none" w:sz="0" w:space="0" w:color="auto"/>
        <w:left w:val="none" w:sz="0" w:space="0" w:color="auto"/>
        <w:bottom w:val="none" w:sz="0" w:space="0" w:color="auto"/>
        <w:right w:val="none" w:sz="0" w:space="0" w:color="auto"/>
      </w:divBdr>
      <w:divsChild>
        <w:div w:id="1285921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5394055">
      <w:bodyDiv w:val="1"/>
      <w:marLeft w:val="0"/>
      <w:marRight w:val="0"/>
      <w:marTop w:val="0"/>
      <w:marBottom w:val="0"/>
      <w:divBdr>
        <w:top w:val="none" w:sz="0" w:space="0" w:color="auto"/>
        <w:left w:val="none" w:sz="0" w:space="0" w:color="auto"/>
        <w:bottom w:val="none" w:sz="0" w:space="0" w:color="auto"/>
        <w:right w:val="none" w:sz="0" w:space="0" w:color="auto"/>
      </w:divBdr>
      <w:divsChild>
        <w:div w:id="934551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02896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5514194">
      <w:bodyDiv w:val="1"/>
      <w:marLeft w:val="0"/>
      <w:marRight w:val="0"/>
      <w:marTop w:val="0"/>
      <w:marBottom w:val="0"/>
      <w:divBdr>
        <w:top w:val="none" w:sz="0" w:space="0" w:color="auto"/>
        <w:left w:val="none" w:sz="0" w:space="0" w:color="auto"/>
        <w:bottom w:val="none" w:sz="0" w:space="0" w:color="auto"/>
        <w:right w:val="none" w:sz="0" w:space="0" w:color="auto"/>
      </w:divBdr>
    </w:div>
    <w:div w:id="445583948">
      <w:bodyDiv w:val="1"/>
      <w:marLeft w:val="0"/>
      <w:marRight w:val="0"/>
      <w:marTop w:val="0"/>
      <w:marBottom w:val="0"/>
      <w:divBdr>
        <w:top w:val="none" w:sz="0" w:space="0" w:color="auto"/>
        <w:left w:val="none" w:sz="0" w:space="0" w:color="auto"/>
        <w:bottom w:val="none" w:sz="0" w:space="0" w:color="auto"/>
        <w:right w:val="none" w:sz="0" w:space="0" w:color="auto"/>
      </w:divBdr>
    </w:div>
    <w:div w:id="446199153">
      <w:bodyDiv w:val="1"/>
      <w:marLeft w:val="0"/>
      <w:marRight w:val="0"/>
      <w:marTop w:val="0"/>
      <w:marBottom w:val="0"/>
      <w:divBdr>
        <w:top w:val="none" w:sz="0" w:space="0" w:color="auto"/>
        <w:left w:val="none" w:sz="0" w:space="0" w:color="auto"/>
        <w:bottom w:val="none" w:sz="0" w:space="0" w:color="auto"/>
        <w:right w:val="none" w:sz="0" w:space="0" w:color="auto"/>
      </w:divBdr>
    </w:div>
    <w:div w:id="447625606">
      <w:bodyDiv w:val="1"/>
      <w:marLeft w:val="0"/>
      <w:marRight w:val="0"/>
      <w:marTop w:val="0"/>
      <w:marBottom w:val="0"/>
      <w:divBdr>
        <w:top w:val="none" w:sz="0" w:space="0" w:color="auto"/>
        <w:left w:val="none" w:sz="0" w:space="0" w:color="auto"/>
        <w:bottom w:val="none" w:sz="0" w:space="0" w:color="auto"/>
        <w:right w:val="none" w:sz="0" w:space="0" w:color="auto"/>
      </w:divBdr>
    </w:div>
    <w:div w:id="450831109">
      <w:bodyDiv w:val="1"/>
      <w:marLeft w:val="0"/>
      <w:marRight w:val="0"/>
      <w:marTop w:val="0"/>
      <w:marBottom w:val="0"/>
      <w:divBdr>
        <w:top w:val="none" w:sz="0" w:space="0" w:color="auto"/>
        <w:left w:val="none" w:sz="0" w:space="0" w:color="auto"/>
        <w:bottom w:val="none" w:sz="0" w:space="0" w:color="auto"/>
        <w:right w:val="none" w:sz="0" w:space="0" w:color="auto"/>
      </w:divBdr>
    </w:div>
    <w:div w:id="453208716">
      <w:bodyDiv w:val="1"/>
      <w:marLeft w:val="0"/>
      <w:marRight w:val="0"/>
      <w:marTop w:val="0"/>
      <w:marBottom w:val="0"/>
      <w:divBdr>
        <w:top w:val="none" w:sz="0" w:space="0" w:color="auto"/>
        <w:left w:val="none" w:sz="0" w:space="0" w:color="auto"/>
        <w:bottom w:val="none" w:sz="0" w:space="0" w:color="auto"/>
        <w:right w:val="none" w:sz="0" w:space="0" w:color="auto"/>
      </w:divBdr>
    </w:div>
    <w:div w:id="453334529">
      <w:bodyDiv w:val="1"/>
      <w:marLeft w:val="0"/>
      <w:marRight w:val="0"/>
      <w:marTop w:val="0"/>
      <w:marBottom w:val="0"/>
      <w:divBdr>
        <w:top w:val="none" w:sz="0" w:space="0" w:color="auto"/>
        <w:left w:val="none" w:sz="0" w:space="0" w:color="auto"/>
        <w:bottom w:val="none" w:sz="0" w:space="0" w:color="auto"/>
        <w:right w:val="none" w:sz="0" w:space="0" w:color="auto"/>
      </w:divBdr>
      <w:divsChild>
        <w:div w:id="1128864377">
          <w:marLeft w:val="0"/>
          <w:marRight w:val="0"/>
          <w:marTop w:val="0"/>
          <w:marBottom w:val="0"/>
          <w:divBdr>
            <w:top w:val="none" w:sz="0" w:space="0" w:color="auto"/>
            <w:left w:val="none" w:sz="0" w:space="0" w:color="auto"/>
            <w:bottom w:val="none" w:sz="0" w:space="0" w:color="auto"/>
            <w:right w:val="none" w:sz="0" w:space="0" w:color="auto"/>
          </w:divBdr>
        </w:div>
        <w:div w:id="820081926">
          <w:marLeft w:val="0"/>
          <w:marRight w:val="0"/>
          <w:marTop w:val="0"/>
          <w:marBottom w:val="0"/>
          <w:divBdr>
            <w:top w:val="none" w:sz="0" w:space="0" w:color="auto"/>
            <w:left w:val="none" w:sz="0" w:space="0" w:color="auto"/>
            <w:bottom w:val="none" w:sz="0" w:space="0" w:color="auto"/>
            <w:right w:val="none" w:sz="0" w:space="0" w:color="auto"/>
          </w:divBdr>
        </w:div>
        <w:div w:id="504630328">
          <w:marLeft w:val="0"/>
          <w:marRight w:val="0"/>
          <w:marTop w:val="0"/>
          <w:marBottom w:val="0"/>
          <w:divBdr>
            <w:top w:val="none" w:sz="0" w:space="0" w:color="auto"/>
            <w:left w:val="none" w:sz="0" w:space="0" w:color="auto"/>
            <w:bottom w:val="none" w:sz="0" w:space="0" w:color="auto"/>
            <w:right w:val="none" w:sz="0" w:space="0" w:color="auto"/>
          </w:divBdr>
        </w:div>
        <w:div w:id="1103301158">
          <w:marLeft w:val="0"/>
          <w:marRight w:val="0"/>
          <w:marTop w:val="0"/>
          <w:marBottom w:val="0"/>
          <w:divBdr>
            <w:top w:val="none" w:sz="0" w:space="0" w:color="auto"/>
            <w:left w:val="none" w:sz="0" w:space="0" w:color="auto"/>
            <w:bottom w:val="none" w:sz="0" w:space="0" w:color="auto"/>
            <w:right w:val="none" w:sz="0" w:space="0" w:color="auto"/>
          </w:divBdr>
        </w:div>
        <w:div w:id="1269578203">
          <w:marLeft w:val="0"/>
          <w:marRight w:val="0"/>
          <w:marTop w:val="0"/>
          <w:marBottom w:val="0"/>
          <w:divBdr>
            <w:top w:val="none" w:sz="0" w:space="0" w:color="auto"/>
            <w:left w:val="none" w:sz="0" w:space="0" w:color="auto"/>
            <w:bottom w:val="none" w:sz="0" w:space="0" w:color="auto"/>
            <w:right w:val="none" w:sz="0" w:space="0" w:color="auto"/>
          </w:divBdr>
        </w:div>
        <w:div w:id="492138602">
          <w:marLeft w:val="0"/>
          <w:marRight w:val="0"/>
          <w:marTop w:val="0"/>
          <w:marBottom w:val="0"/>
          <w:divBdr>
            <w:top w:val="none" w:sz="0" w:space="0" w:color="auto"/>
            <w:left w:val="none" w:sz="0" w:space="0" w:color="auto"/>
            <w:bottom w:val="none" w:sz="0" w:space="0" w:color="auto"/>
            <w:right w:val="none" w:sz="0" w:space="0" w:color="auto"/>
          </w:divBdr>
        </w:div>
        <w:div w:id="768237584">
          <w:marLeft w:val="0"/>
          <w:marRight w:val="0"/>
          <w:marTop w:val="0"/>
          <w:marBottom w:val="0"/>
          <w:divBdr>
            <w:top w:val="none" w:sz="0" w:space="0" w:color="auto"/>
            <w:left w:val="none" w:sz="0" w:space="0" w:color="auto"/>
            <w:bottom w:val="none" w:sz="0" w:space="0" w:color="auto"/>
            <w:right w:val="none" w:sz="0" w:space="0" w:color="auto"/>
          </w:divBdr>
        </w:div>
        <w:div w:id="1571115855">
          <w:marLeft w:val="0"/>
          <w:marRight w:val="0"/>
          <w:marTop w:val="0"/>
          <w:marBottom w:val="0"/>
          <w:divBdr>
            <w:top w:val="none" w:sz="0" w:space="0" w:color="auto"/>
            <w:left w:val="none" w:sz="0" w:space="0" w:color="auto"/>
            <w:bottom w:val="none" w:sz="0" w:space="0" w:color="auto"/>
            <w:right w:val="none" w:sz="0" w:space="0" w:color="auto"/>
          </w:divBdr>
        </w:div>
      </w:divsChild>
    </w:div>
    <w:div w:id="460999438">
      <w:bodyDiv w:val="1"/>
      <w:marLeft w:val="0"/>
      <w:marRight w:val="0"/>
      <w:marTop w:val="0"/>
      <w:marBottom w:val="0"/>
      <w:divBdr>
        <w:top w:val="none" w:sz="0" w:space="0" w:color="auto"/>
        <w:left w:val="none" w:sz="0" w:space="0" w:color="auto"/>
        <w:bottom w:val="none" w:sz="0" w:space="0" w:color="auto"/>
        <w:right w:val="none" w:sz="0" w:space="0" w:color="auto"/>
      </w:divBdr>
    </w:div>
    <w:div w:id="476259868">
      <w:bodyDiv w:val="1"/>
      <w:marLeft w:val="0"/>
      <w:marRight w:val="0"/>
      <w:marTop w:val="0"/>
      <w:marBottom w:val="0"/>
      <w:divBdr>
        <w:top w:val="none" w:sz="0" w:space="0" w:color="auto"/>
        <w:left w:val="none" w:sz="0" w:space="0" w:color="auto"/>
        <w:bottom w:val="none" w:sz="0" w:space="0" w:color="auto"/>
        <w:right w:val="none" w:sz="0" w:space="0" w:color="auto"/>
      </w:divBdr>
    </w:div>
    <w:div w:id="478308841">
      <w:bodyDiv w:val="1"/>
      <w:marLeft w:val="0"/>
      <w:marRight w:val="0"/>
      <w:marTop w:val="0"/>
      <w:marBottom w:val="0"/>
      <w:divBdr>
        <w:top w:val="none" w:sz="0" w:space="0" w:color="auto"/>
        <w:left w:val="none" w:sz="0" w:space="0" w:color="auto"/>
        <w:bottom w:val="none" w:sz="0" w:space="0" w:color="auto"/>
        <w:right w:val="none" w:sz="0" w:space="0" w:color="auto"/>
      </w:divBdr>
    </w:div>
    <w:div w:id="478810980">
      <w:bodyDiv w:val="1"/>
      <w:marLeft w:val="0"/>
      <w:marRight w:val="0"/>
      <w:marTop w:val="0"/>
      <w:marBottom w:val="0"/>
      <w:divBdr>
        <w:top w:val="none" w:sz="0" w:space="0" w:color="auto"/>
        <w:left w:val="none" w:sz="0" w:space="0" w:color="auto"/>
        <w:bottom w:val="none" w:sz="0" w:space="0" w:color="auto"/>
        <w:right w:val="none" w:sz="0" w:space="0" w:color="auto"/>
      </w:divBdr>
      <w:divsChild>
        <w:div w:id="18903380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2622925">
      <w:bodyDiv w:val="1"/>
      <w:marLeft w:val="0"/>
      <w:marRight w:val="0"/>
      <w:marTop w:val="0"/>
      <w:marBottom w:val="0"/>
      <w:divBdr>
        <w:top w:val="none" w:sz="0" w:space="0" w:color="auto"/>
        <w:left w:val="none" w:sz="0" w:space="0" w:color="auto"/>
        <w:bottom w:val="none" w:sz="0" w:space="0" w:color="auto"/>
        <w:right w:val="none" w:sz="0" w:space="0" w:color="auto"/>
      </w:divBdr>
    </w:div>
    <w:div w:id="482893104">
      <w:bodyDiv w:val="1"/>
      <w:marLeft w:val="0"/>
      <w:marRight w:val="0"/>
      <w:marTop w:val="0"/>
      <w:marBottom w:val="0"/>
      <w:divBdr>
        <w:top w:val="none" w:sz="0" w:space="0" w:color="auto"/>
        <w:left w:val="none" w:sz="0" w:space="0" w:color="auto"/>
        <w:bottom w:val="none" w:sz="0" w:space="0" w:color="auto"/>
        <w:right w:val="none" w:sz="0" w:space="0" w:color="auto"/>
      </w:divBdr>
      <w:divsChild>
        <w:div w:id="1198740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3133434">
      <w:bodyDiv w:val="1"/>
      <w:marLeft w:val="0"/>
      <w:marRight w:val="0"/>
      <w:marTop w:val="0"/>
      <w:marBottom w:val="0"/>
      <w:divBdr>
        <w:top w:val="none" w:sz="0" w:space="0" w:color="auto"/>
        <w:left w:val="none" w:sz="0" w:space="0" w:color="auto"/>
        <w:bottom w:val="none" w:sz="0" w:space="0" w:color="auto"/>
        <w:right w:val="none" w:sz="0" w:space="0" w:color="auto"/>
      </w:divBdr>
    </w:div>
    <w:div w:id="483819478">
      <w:bodyDiv w:val="1"/>
      <w:marLeft w:val="0"/>
      <w:marRight w:val="0"/>
      <w:marTop w:val="0"/>
      <w:marBottom w:val="0"/>
      <w:divBdr>
        <w:top w:val="none" w:sz="0" w:space="0" w:color="auto"/>
        <w:left w:val="none" w:sz="0" w:space="0" w:color="auto"/>
        <w:bottom w:val="none" w:sz="0" w:space="0" w:color="auto"/>
        <w:right w:val="none" w:sz="0" w:space="0" w:color="auto"/>
      </w:divBdr>
    </w:div>
    <w:div w:id="490105392">
      <w:bodyDiv w:val="1"/>
      <w:marLeft w:val="0"/>
      <w:marRight w:val="0"/>
      <w:marTop w:val="0"/>
      <w:marBottom w:val="0"/>
      <w:divBdr>
        <w:top w:val="none" w:sz="0" w:space="0" w:color="auto"/>
        <w:left w:val="none" w:sz="0" w:space="0" w:color="auto"/>
        <w:bottom w:val="none" w:sz="0" w:space="0" w:color="auto"/>
        <w:right w:val="none" w:sz="0" w:space="0" w:color="auto"/>
      </w:divBdr>
    </w:div>
    <w:div w:id="493572090">
      <w:bodyDiv w:val="1"/>
      <w:marLeft w:val="0"/>
      <w:marRight w:val="0"/>
      <w:marTop w:val="0"/>
      <w:marBottom w:val="0"/>
      <w:divBdr>
        <w:top w:val="none" w:sz="0" w:space="0" w:color="auto"/>
        <w:left w:val="none" w:sz="0" w:space="0" w:color="auto"/>
        <w:bottom w:val="none" w:sz="0" w:space="0" w:color="auto"/>
        <w:right w:val="none" w:sz="0" w:space="0" w:color="auto"/>
      </w:divBdr>
      <w:divsChild>
        <w:div w:id="229658226">
          <w:marLeft w:val="0"/>
          <w:marRight w:val="0"/>
          <w:marTop w:val="0"/>
          <w:marBottom w:val="0"/>
          <w:divBdr>
            <w:top w:val="none" w:sz="0" w:space="0" w:color="auto"/>
            <w:left w:val="none" w:sz="0" w:space="0" w:color="auto"/>
            <w:bottom w:val="none" w:sz="0" w:space="0" w:color="auto"/>
            <w:right w:val="none" w:sz="0" w:space="0" w:color="auto"/>
          </w:divBdr>
        </w:div>
      </w:divsChild>
    </w:div>
    <w:div w:id="500196110">
      <w:bodyDiv w:val="1"/>
      <w:marLeft w:val="0"/>
      <w:marRight w:val="0"/>
      <w:marTop w:val="0"/>
      <w:marBottom w:val="0"/>
      <w:divBdr>
        <w:top w:val="none" w:sz="0" w:space="0" w:color="auto"/>
        <w:left w:val="none" w:sz="0" w:space="0" w:color="auto"/>
        <w:bottom w:val="none" w:sz="0" w:space="0" w:color="auto"/>
        <w:right w:val="none" w:sz="0" w:space="0" w:color="auto"/>
      </w:divBdr>
    </w:div>
    <w:div w:id="506794649">
      <w:bodyDiv w:val="1"/>
      <w:marLeft w:val="0"/>
      <w:marRight w:val="0"/>
      <w:marTop w:val="0"/>
      <w:marBottom w:val="0"/>
      <w:divBdr>
        <w:top w:val="none" w:sz="0" w:space="0" w:color="auto"/>
        <w:left w:val="none" w:sz="0" w:space="0" w:color="auto"/>
        <w:bottom w:val="none" w:sz="0" w:space="0" w:color="auto"/>
        <w:right w:val="none" w:sz="0" w:space="0" w:color="auto"/>
      </w:divBdr>
    </w:div>
    <w:div w:id="515774199">
      <w:bodyDiv w:val="1"/>
      <w:marLeft w:val="0"/>
      <w:marRight w:val="0"/>
      <w:marTop w:val="0"/>
      <w:marBottom w:val="0"/>
      <w:divBdr>
        <w:top w:val="none" w:sz="0" w:space="0" w:color="auto"/>
        <w:left w:val="none" w:sz="0" w:space="0" w:color="auto"/>
        <w:bottom w:val="none" w:sz="0" w:space="0" w:color="auto"/>
        <w:right w:val="none" w:sz="0" w:space="0" w:color="auto"/>
      </w:divBdr>
    </w:div>
    <w:div w:id="520627245">
      <w:bodyDiv w:val="1"/>
      <w:marLeft w:val="0"/>
      <w:marRight w:val="0"/>
      <w:marTop w:val="0"/>
      <w:marBottom w:val="0"/>
      <w:divBdr>
        <w:top w:val="none" w:sz="0" w:space="0" w:color="auto"/>
        <w:left w:val="none" w:sz="0" w:space="0" w:color="auto"/>
        <w:bottom w:val="none" w:sz="0" w:space="0" w:color="auto"/>
        <w:right w:val="none" w:sz="0" w:space="0" w:color="auto"/>
      </w:divBdr>
    </w:div>
    <w:div w:id="530070618">
      <w:bodyDiv w:val="1"/>
      <w:marLeft w:val="0"/>
      <w:marRight w:val="0"/>
      <w:marTop w:val="0"/>
      <w:marBottom w:val="0"/>
      <w:divBdr>
        <w:top w:val="none" w:sz="0" w:space="0" w:color="auto"/>
        <w:left w:val="none" w:sz="0" w:space="0" w:color="auto"/>
        <w:bottom w:val="none" w:sz="0" w:space="0" w:color="auto"/>
        <w:right w:val="none" w:sz="0" w:space="0" w:color="auto"/>
      </w:divBdr>
    </w:div>
    <w:div w:id="533422037">
      <w:bodyDiv w:val="1"/>
      <w:marLeft w:val="0"/>
      <w:marRight w:val="0"/>
      <w:marTop w:val="0"/>
      <w:marBottom w:val="0"/>
      <w:divBdr>
        <w:top w:val="none" w:sz="0" w:space="0" w:color="auto"/>
        <w:left w:val="none" w:sz="0" w:space="0" w:color="auto"/>
        <w:bottom w:val="none" w:sz="0" w:space="0" w:color="auto"/>
        <w:right w:val="none" w:sz="0" w:space="0" w:color="auto"/>
      </w:divBdr>
    </w:div>
    <w:div w:id="535581406">
      <w:bodyDiv w:val="1"/>
      <w:marLeft w:val="0"/>
      <w:marRight w:val="0"/>
      <w:marTop w:val="0"/>
      <w:marBottom w:val="0"/>
      <w:divBdr>
        <w:top w:val="none" w:sz="0" w:space="0" w:color="auto"/>
        <w:left w:val="none" w:sz="0" w:space="0" w:color="auto"/>
        <w:bottom w:val="none" w:sz="0" w:space="0" w:color="auto"/>
        <w:right w:val="none" w:sz="0" w:space="0" w:color="auto"/>
      </w:divBdr>
    </w:div>
    <w:div w:id="544372669">
      <w:bodyDiv w:val="1"/>
      <w:marLeft w:val="0"/>
      <w:marRight w:val="0"/>
      <w:marTop w:val="0"/>
      <w:marBottom w:val="0"/>
      <w:divBdr>
        <w:top w:val="none" w:sz="0" w:space="0" w:color="auto"/>
        <w:left w:val="none" w:sz="0" w:space="0" w:color="auto"/>
        <w:bottom w:val="none" w:sz="0" w:space="0" w:color="auto"/>
        <w:right w:val="none" w:sz="0" w:space="0" w:color="auto"/>
      </w:divBdr>
      <w:divsChild>
        <w:div w:id="4334819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5409154">
      <w:bodyDiv w:val="1"/>
      <w:marLeft w:val="0"/>
      <w:marRight w:val="0"/>
      <w:marTop w:val="0"/>
      <w:marBottom w:val="0"/>
      <w:divBdr>
        <w:top w:val="none" w:sz="0" w:space="0" w:color="auto"/>
        <w:left w:val="none" w:sz="0" w:space="0" w:color="auto"/>
        <w:bottom w:val="none" w:sz="0" w:space="0" w:color="auto"/>
        <w:right w:val="none" w:sz="0" w:space="0" w:color="auto"/>
      </w:divBdr>
    </w:div>
    <w:div w:id="566452794">
      <w:bodyDiv w:val="1"/>
      <w:marLeft w:val="0"/>
      <w:marRight w:val="0"/>
      <w:marTop w:val="0"/>
      <w:marBottom w:val="0"/>
      <w:divBdr>
        <w:top w:val="none" w:sz="0" w:space="0" w:color="auto"/>
        <w:left w:val="none" w:sz="0" w:space="0" w:color="auto"/>
        <w:bottom w:val="none" w:sz="0" w:space="0" w:color="auto"/>
        <w:right w:val="none" w:sz="0" w:space="0" w:color="auto"/>
      </w:divBdr>
    </w:div>
    <w:div w:id="568735477">
      <w:bodyDiv w:val="1"/>
      <w:marLeft w:val="0"/>
      <w:marRight w:val="0"/>
      <w:marTop w:val="0"/>
      <w:marBottom w:val="0"/>
      <w:divBdr>
        <w:top w:val="none" w:sz="0" w:space="0" w:color="auto"/>
        <w:left w:val="none" w:sz="0" w:space="0" w:color="auto"/>
        <w:bottom w:val="none" w:sz="0" w:space="0" w:color="auto"/>
        <w:right w:val="none" w:sz="0" w:space="0" w:color="auto"/>
      </w:divBdr>
    </w:div>
    <w:div w:id="575476017">
      <w:bodyDiv w:val="1"/>
      <w:marLeft w:val="0"/>
      <w:marRight w:val="0"/>
      <w:marTop w:val="0"/>
      <w:marBottom w:val="0"/>
      <w:divBdr>
        <w:top w:val="none" w:sz="0" w:space="0" w:color="auto"/>
        <w:left w:val="none" w:sz="0" w:space="0" w:color="auto"/>
        <w:bottom w:val="none" w:sz="0" w:space="0" w:color="auto"/>
        <w:right w:val="none" w:sz="0" w:space="0" w:color="auto"/>
      </w:divBdr>
      <w:divsChild>
        <w:div w:id="1153718269">
          <w:marLeft w:val="0"/>
          <w:marRight w:val="0"/>
          <w:marTop w:val="0"/>
          <w:marBottom w:val="0"/>
          <w:divBdr>
            <w:top w:val="none" w:sz="0" w:space="0" w:color="auto"/>
            <w:left w:val="none" w:sz="0" w:space="0" w:color="auto"/>
            <w:bottom w:val="none" w:sz="0" w:space="0" w:color="auto"/>
            <w:right w:val="none" w:sz="0" w:space="0" w:color="auto"/>
          </w:divBdr>
          <w:divsChild>
            <w:div w:id="49172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936004">
      <w:bodyDiv w:val="1"/>
      <w:marLeft w:val="0"/>
      <w:marRight w:val="0"/>
      <w:marTop w:val="0"/>
      <w:marBottom w:val="0"/>
      <w:divBdr>
        <w:top w:val="none" w:sz="0" w:space="0" w:color="auto"/>
        <w:left w:val="none" w:sz="0" w:space="0" w:color="auto"/>
        <w:bottom w:val="none" w:sz="0" w:space="0" w:color="auto"/>
        <w:right w:val="none" w:sz="0" w:space="0" w:color="auto"/>
      </w:divBdr>
      <w:divsChild>
        <w:div w:id="1286887755">
          <w:marLeft w:val="0"/>
          <w:marRight w:val="0"/>
          <w:marTop w:val="0"/>
          <w:marBottom w:val="0"/>
          <w:divBdr>
            <w:top w:val="none" w:sz="0" w:space="0" w:color="auto"/>
            <w:left w:val="none" w:sz="0" w:space="0" w:color="auto"/>
            <w:bottom w:val="none" w:sz="0" w:space="0" w:color="auto"/>
            <w:right w:val="none" w:sz="0" w:space="0" w:color="auto"/>
          </w:divBdr>
        </w:div>
      </w:divsChild>
    </w:div>
    <w:div w:id="587811176">
      <w:bodyDiv w:val="1"/>
      <w:marLeft w:val="0"/>
      <w:marRight w:val="0"/>
      <w:marTop w:val="0"/>
      <w:marBottom w:val="0"/>
      <w:divBdr>
        <w:top w:val="none" w:sz="0" w:space="0" w:color="auto"/>
        <w:left w:val="none" w:sz="0" w:space="0" w:color="auto"/>
        <w:bottom w:val="none" w:sz="0" w:space="0" w:color="auto"/>
        <w:right w:val="none" w:sz="0" w:space="0" w:color="auto"/>
      </w:divBdr>
    </w:div>
    <w:div w:id="588583315">
      <w:bodyDiv w:val="1"/>
      <w:marLeft w:val="0"/>
      <w:marRight w:val="0"/>
      <w:marTop w:val="0"/>
      <w:marBottom w:val="0"/>
      <w:divBdr>
        <w:top w:val="none" w:sz="0" w:space="0" w:color="auto"/>
        <w:left w:val="none" w:sz="0" w:space="0" w:color="auto"/>
        <w:bottom w:val="none" w:sz="0" w:space="0" w:color="auto"/>
        <w:right w:val="none" w:sz="0" w:space="0" w:color="auto"/>
      </w:divBdr>
    </w:div>
    <w:div w:id="590700826">
      <w:bodyDiv w:val="1"/>
      <w:marLeft w:val="0"/>
      <w:marRight w:val="0"/>
      <w:marTop w:val="0"/>
      <w:marBottom w:val="0"/>
      <w:divBdr>
        <w:top w:val="none" w:sz="0" w:space="0" w:color="auto"/>
        <w:left w:val="none" w:sz="0" w:space="0" w:color="auto"/>
        <w:bottom w:val="none" w:sz="0" w:space="0" w:color="auto"/>
        <w:right w:val="none" w:sz="0" w:space="0" w:color="auto"/>
      </w:divBdr>
    </w:div>
    <w:div w:id="592395302">
      <w:bodyDiv w:val="1"/>
      <w:marLeft w:val="0"/>
      <w:marRight w:val="0"/>
      <w:marTop w:val="0"/>
      <w:marBottom w:val="0"/>
      <w:divBdr>
        <w:top w:val="none" w:sz="0" w:space="0" w:color="auto"/>
        <w:left w:val="none" w:sz="0" w:space="0" w:color="auto"/>
        <w:bottom w:val="none" w:sz="0" w:space="0" w:color="auto"/>
        <w:right w:val="none" w:sz="0" w:space="0" w:color="auto"/>
      </w:divBdr>
    </w:div>
    <w:div w:id="599681636">
      <w:bodyDiv w:val="1"/>
      <w:marLeft w:val="0"/>
      <w:marRight w:val="0"/>
      <w:marTop w:val="0"/>
      <w:marBottom w:val="0"/>
      <w:divBdr>
        <w:top w:val="none" w:sz="0" w:space="0" w:color="auto"/>
        <w:left w:val="none" w:sz="0" w:space="0" w:color="auto"/>
        <w:bottom w:val="none" w:sz="0" w:space="0" w:color="auto"/>
        <w:right w:val="none" w:sz="0" w:space="0" w:color="auto"/>
      </w:divBdr>
    </w:div>
    <w:div w:id="607464929">
      <w:bodyDiv w:val="1"/>
      <w:marLeft w:val="0"/>
      <w:marRight w:val="0"/>
      <w:marTop w:val="0"/>
      <w:marBottom w:val="0"/>
      <w:divBdr>
        <w:top w:val="none" w:sz="0" w:space="0" w:color="auto"/>
        <w:left w:val="none" w:sz="0" w:space="0" w:color="auto"/>
        <w:bottom w:val="none" w:sz="0" w:space="0" w:color="auto"/>
        <w:right w:val="none" w:sz="0" w:space="0" w:color="auto"/>
      </w:divBdr>
    </w:div>
    <w:div w:id="613245491">
      <w:bodyDiv w:val="1"/>
      <w:marLeft w:val="0"/>
      <w:marRight w:val="0"/>
      <w:marTop w:val="0"/>
      <w:marBottom w:val="0"/>
      <w:divBdr>
        <w:top w:val="none" w:sz="0" w:space="0" w:color="auto"/>
        <w:left w:val="none" w:sz="0" w:space="0" w:color="auto"/>
        <w:bottom w:val="none" w:sz="0" w:space="0" w:color="auto"/>
        <w:right w:val="none" w:sz="0" w:space="0" w:color="auto"/>
      </w:divBdr>
    </w:div>
    <w:div w:id="613514847">
      <w:bodyDiv w:val="1"/>
      <w:marLeft w:val="0"/>
      <w:marRight w:val="0"/>
      <w:marTop w:val="0"/>
      <w:marBottom w:val="0"/>
      <w:divBdr>
        <w:top w:val="none" w:sz="0" w:space="0" w:color="auto"/>
        <w:left w:val="none" w:sz="0" w:space="0" w:color="auto"/>
        <w:bottom w:val="none" w:sz="0" w:space="0" w:color="auto"/>
        <w:right w:val="none" w:sz="0" w:space="0" w:color="auto"/>
      </w:divBdr>
    </w:div>
    <w:div w:id="614019463">
      <w:bodyDiv w:val="1"/>
      <w:marLeft w:val="0"/>
      <w:marRight w:val="0"/>
      <w:marTop w:val="0"/>
      <w:marBottom w:val="0"/>
      <w:divBdr>
        <w:top w:val="none" w:sz="0" w:space="0" w:color="auto"/>
        <w:left w:val="none" w:sz="0" w:space="0" w:color="auto"/>
        <w:bottom w:val="none" w:sz="0" w:space="0" w:color="auto"/>
        <w:right w:val="none" w:sz="0" w:space="0" w:color="auto"/>
      </w:divBdr>
    </w:div>
    <w:div w:id="620964277">
      <w:bodyDiv w:val="1"/>
      <w:marLeft w:val="0"/>
      <w:marRight w:val="0"/>
      <w:marTop w:val="0"/>
      <w:marBottom w:val="0"/>
      <w:divBdr>
        <w:top w:val="none" w:sz="0" w:space="0" w:color="auto"/>
        <w:left w:val="none" w:sz="0" w:space="0" w:color="auto"/>
        <w:bottom w:val="none" w:sz="0" w:space="0" w:color="auto"/>
        <w:right w:val="none" w:sz="0" w:space="0" w:color="auto"/>
      </w:divBdr>
    </w:div>
    <w:div w:id="622006213">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7443275">
      <w:bodyDiv w:val="1"/>
      <w:marLeft w:val="0"/>
      <w:marRight w:val="0"/>
      <w:marTop w:val="0"/>
      <w:marBottom w:val="0"/>
      <w:divBdr>
        <w:top w:val="none" w:sz="0" w:space="0" w:color="auto"/>
        <w:left w:val="none" w:sz="0" w:space="0" w:color="auto"/>
        <w:bottom w:val="none" w:sz="0" w:space="0" w:color="auto"/>
        <w:right w:val="none" w:sz="0" w:space="0" w:color="auto"/>
      </w:divBdr>
    </w:div>
    <w:div w:id="630668285">
      <w:bodyDiv w:val="1"/>
      <w:marLeft w:val="0"/>
      <w:marRight w:val="0"/>
      <w:marTop w:val="0"/>
      <w:marBottom w:val="0"/>
      <w:divBdr>
        <w:top w:val="none" w:sz="0" w:space="0" w:color="auto"/>
        <w:left w:val="none" w:sz="0" w:space="0" w:color="auto"/>
        <w:bottom w:val="none" w:sz="0" w:space="0" w:color="auto"/>
        <w:right w:val="none" w:sz="0" w:space="0" w:color="auto"/>
      </w:divBdr>
    </w:div>
    <w:div w:id="642392080">
      <w:bodyDiv w:val="1"/>
      <w:marLeft w:val="0"/>
      <w:marRight w:val="0"/>
      <w:marTop w:val="0"/>
      <w:marBottom w:val="0"/>
      <w:divBdr>
        <w:top w:val="none" w:sz="0" w:space="0" w:color="auto"/>
        <w:left w:val="none" w:sz="0" w:space="0" w:color="auto"/>
        <w:bottom w:val="none" w:sz="0" w:space="0" w:color="auto"/>
        <w:right w:val="none" w:sz="0" w:space="0" w:color="auto"/>
      </w:divBdr>
      <w:divsChild>
        <w:div w:id="7852716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025267">
      <w:bodyDiv w:val="1"/>
      <w:marLeft w:val="0"/>
      <w:marRight w:val="0"/>
      <w:marTop w:val="0"/>
      <w:marBottom w:val="0"/>
      <w:divBdr>
        <w:top w:val="none" w:sz="0" w:space="0" w:color="auto"/>
        <w:left w:val="none" w:sz="0" w:space="0" w:color="auto"/>
        <w:bottom w:val="none" w:sz="0" w:space="0" w:color="auto"/>
        <w:right w:val="none" w:sz="0" w:space="0" w:color="auto"/>
      </w:divBdr>
    </w:div>
    <w:div w:id="650868298">
      <w:bodyDiv w:val="1"/>
      <w:marLeft w:val="0"/>
      <w:marRight w:val="0"/>
      <w:marTop w:val="0"/>
      <w:marBottom w:val="0"/>
      <w:divBdr>
        <w:top w:val="none" w:sz="0" w:space="0" w:color="auto"/>
        <w:left w:val="none" w:sz="0" w:space="0" w:color="auto"/>
        <w:bottom w:val="none" w:sz="0" w:space="0" w:color="auto"/>
        <w:right w:val="none" w:sz="0" w:space="0" w:color="auto"/>
      </w:divBdr>
    </w:div>
    <w:div w:id="663361320">
      <w:bodyDiv w:val="1"/>
      <w:marLeft w:val="0"/>
      <w:marRight w:val="0"/>
      <w:marTop w:val="0"/>
      <w:marBottom w:val="0"/>
      <w:divBdr>
        <w:top w:val="none" w:sz="0" w:space="0" w:color="auto"/>
        <w:left w:val="none" w:sz="0" w:space="0" w:color="auto"/>
        <w:bottom w:val="none" w:sz="0" w:space="0" w:color="auto"/>
        <w:right w:val="none" w:sz="0" w:space="0" w:color="auto"/>
      </w:divBdr>
      <w:divsChild>
        <w:div w:id="4145233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8943180">
      <w:bodyDiv w:val="1"/>
      <w:marLeft w:val="0"/>
      <w:marRight w:val="0"/>
      <w:marTop w:val="0"/>
      <w:marBottom w:val="0"/>
      <w:divBdr>
        <w:top w:val="none" w:sz="0" w:space="0" w:color="auto"/>
        <w:left w:val="none" w:sz="0" w:space="0" w:color="auto"/>
        <w:bottom w:val="none" w:sz="0" w:space="0" w:color="auto"/>
        <w:right w:val="none" w:sz="0" w:space="0" w:color="auto"/>
      </w:divBdr>
    </w:div>
    <w:div w:id="670333543">
      <w:bodyDiv w:val="1"/>
      <w:marLeft w:val="0"/>
      <w:marRight w:val="0"/>
      <w:marTop w:val="0"/>
      <w:marBottom w:val="0"/>
      <w:divBdr>
        <w:top w:val="none" w:sz="0" w:space="0" w:color="auto"/>
        <w:left w:val="none" w:sz="0" w:space="0" w:color="auto"/>
        <w:bottom w:val="none" w:sz="0" w:space="0" w:color="auto"/>
        <w:right w:val="none" w:sz="0" w:space="0" w:color="auto"/>
      </w:divBdr>
    </w:div>
    <w:div w:id="673535894">
      <w:bodyDiv w:val="1"/>
      <w:marLeft w:val="0"/>
      <w:marRight w:val="0"/>
      <w:marTop w:val="0"/>
      <w:marBottom w:val="0"/>
      <w:divBdr>
        <w:top w:val="none" w:sz="0" w:space="0" w:color="auto"/>
        <w:left w:val="none" w:sz="0" w:space="0" w:color="auto"/>
        <w:bottom w:val="none" w:sz="0" w:space="0" w:color="auto"/>
        <w:right w:val="none" w:sz="0" w:space="0" w:color="auto"/>
      </w:divBdr>
      <w:divsChild>
        <w:div w:id="834027439">
          <w:marLeft w:val="0"/>
          <w:marRight w:val="0"/>
          <w:marTop w:val="0"/>
          <w:marBottom w:val="0"/>
          <w:divBdr>
            <w:top w:val="none" w:sz="0" w:space="0" w:color="auto"/>
            <w:left w:val="none" w:sz="0" w:space="0" w:color="auto"/>
            <w:bottom w:val="none" w:sz="0" w:space="0" w:color="auto"/>
            <w:right w:val="none" w:sz="0" w:space="0" w:color="auto"/>
          </w:divBdr>
          <w:divsChild>
            <w:div w:id="1400206545">
              <w:blockQuote w:val="1"/>
              <w:marLeft w:val="720"/>
              <w:marRight w:val="720"/>
              <w:marTop w:val="100"/>
              <w:marBottom w:val="100"/>
              <w:divBdr>
                <w:top w:val="none" w:sz="0" w:space="0" w:color="auto"/>
                <w:left w:val="none" w:sz="0" w:space="0" w:color="auto"/>
                <w:bottom w:val="none" w:sz="0" w:space="0" w:color="auto"/>
                <w:right w:val="none" w:sz="0" w:space="0" w:color="auto"/>
              </w:divBdr>
            </w:div>
            <w:div w:id="475339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13006605">
              <w:blockQuote w:val="1"/>
              <w:marLeft w:val="720"/>
              <w:marRight w:val="720"/>
              <w:marTop w:val="100"/>
              <w:marBottom w:val="100"/>
              <w:divBdr>
                <w:top w:val="none" w:sz="0" w:space="0" w:color="auto"/>
                <w:left w:val="none" w:sz="0" w:space="0" w:color="auto"/>
                <w:bottom w:val="none" w:sz="0" w:space="0" w:color="auto"/>
                <w:right w:val="none" w:sz="0" w:space="0" w:color="auto"/>
              </w:divBdr>
            </w:div>
            <w:div w:id="942372516">
              <w:blockQuote w:val="1"/>
              <w:marLeft w:val="720"/>
              <w:marRight w:val="720"/>
              <w:marTop w:val="100"/>
              <w:marBottom w:val="100"/>
              <w:divBdr>
                <w:top w:val="none" w:sz="0" w:space="0" w:color="auto"/>
                <w:left w:val="none" w:sz="0" w:space="0" w:color="auto"/>
                <w:bottom w:val="none" w:sz="0" w:space="0" w:color="auto"/>
                <w:right w:val="none" w:sz="0" w:space="0" w:color="auto"/>
              </w:divBdr>
            </w:div>
            <w:div w:id="6906912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511242">
              <w:blockQuote w:val="1"/>
              <w:marLeft w:val="720"/>
              <w:marRight w:val="720"/>
              <w:marTop w:val="100"/>
              <w:marBottom w:val="100"/>
              <w:divBdr>
                <w:top w:val="none" w:sz="0" w:space="0" w:color="auto"/>
                <w:left w:val="none" w:sz="0" w:space="0" w:color="auto"/>
                <w:bottom w:val="none" w:sz="0" w:space="0" w:color="auto"/>
                <w:right w:val="none" w:sz="0" w:space="0" w:color="auto"/>
              </w:divBdr>
            </w:div>
            <w:div w:id="714742038">
              <w:blockQuote w:val="1"/>
              <w:marLeft w:val="720"/>
              <w:marRight w:val="720"/>
              <w:marTop w:val="100"/>
              <w:marBottom w:val="100"/>
              <w:divBdr>
                <w:top w:val="none" w:sz="0" w:space="0" w:color="auto"/>
                <w:left w:val="none" w:sz="0" w:space="0" w:color="auto"/>
                <w:bottom w:val="none" w:sz="0" w:space="0" w:color="auto"/>
                <w:right w:val="none" w:sz="0" w:space="0" w:color="auto"/>
              </w:divBdr>
            </w:div>
            <w:div w:id="2020503588">
              <w:blockQuote w:val="1"/>
              <w:marLeft w:val="720"/>
              <w:marRight w:val="720"/>
              <w:marTop w:val="100"/>
              <w:marBottom w:val="100"/>
              <w:divBdr>
                <w:top w:val="none" w:sz="0" w:space="0" w:color="auto"/>
                <w:left w:val="none" w:sz="0" w:space="0" w:color="auto"/>
                <w:bottom w:val="none" w:sz="0" w:space="0" w:color="auto"/>
                <w:right w:val="none" w:sz="0" w:space="0" w:color="auto"/>
              </w:divBdr>
            </w:div>
            <w:div w:id="1075014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0492584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74770883">
      <w:bodyDiv w:val="1"/>
      <w:marLeft w:val="0"/>
      <w:marRight w:val="0"/>
      <w:marTop w:val="0"/>
      <w:marBottom w:val="0"/>
      <w:divBdr>
        <w:top w:val="none" w:sz="0" w:space="0" w:color="auto"/>
        <w:left w:val="none" w:sz="0" w:space="0" w:color="auto"/>
        <w:bottom w:val="none" w:sz="0" w:space="0" w:color="auto"/>
        <w:right w:val="none" w:sz="0" w:space="0" w:color="auto"/>
      </w:divBdr>
    </w:div>
    <w:div w:id="675886506">
      <w:bodyDiv w:val="1"/>
      <w:marLeft w:val="0"/>
      <w:marRight w:val="0"/>
      <w:marTop w:val="0"/>
      <w:marBottom w:val="0"/>
      <w:divBdr>
        <w:top w:val="none" w:sz="0" w:space="0" w:color="auto"/>
        <w:left w:val="none" w:sz="0" w:space="0" w:color="auto"/>
        <w:bottom w:val="none" w:sz="0" w:space="0" w:color="auto"/>
        <w:right w:val="none" w:sz="0" w:space="0" w:color="auto"/>
      </w:divBdr>
      <w:divsChild>
        <w:div w:id="19794146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8310748">
      <w:bodyDiv w:val="1"/>
      <w:marLeft w:val="0"/>
      <w:marRight w:val="0"/>
      <w:marTop w:val="0"/>
      <w:marBottom w:val="0"/>
      <w:divBdr>
        <w:top w:val="none" w:sz="0" w:space="0" w:color="auto"/>
        <w:left w:val="none" w:sz="0" w:space="0" w:color="auto"/>
        <w:bottom w:val="none" w:sz="0" w:space="0" w:color="auto"/>
        <w:right w:val="none" w:sz="0" w:space="0" w:color="auto"/>
      </w:divBdr>
    </w:div>
    <w:div w:id="679242184">
      <w:bodyDiv w:val="1"/>
      <w:marLeft w:val="0"/>
      <w:marRight w:val="0"/>
      <w:marTop w:val="0"/>
      <w:marBottom w:val="0"/>
      <w:divBdr>
        <w:top w:val="none" w:sz="0" w:space="0" w:color="auto"/>
        <w:left w:val="none" w:sz="0" w:space="0" w:color="auto"/>
        <w:bottom w:val="none" w:sz="0" w:space="0" w:color="auto"/>
        <w:right w:val="none" w:sz="0" w:space="0" w:color="auto"/>
      </w:divBdr>
    </w:div>
    <w:div w:id="680619576">
      <w:bodyDiv w:val="1"/>
      <w:marLeft w:val="0"/>
      <w:marRight w:val="0"/>
      <w:marTop w:val="0"/>
      <w:marBottom w:val="0"/>
      <w:divBdr>
        <w:top w:val="none" w:sz="0" w:space="0" w:color="auto"/>
        <w:left w:val="none" w:sz="0" w:space="0" w:color="auto"/>
        <w:bottom w:val="none" w:sz="0" w:space="0" w:color="auto"/>
        <w:right w:val="none" w:sz="0" w:space="0" w:color="auto"/>
      </w:divBdr>
    </w:div>
    <w:div w:id="683478244">
      <w:bodyDiv w:val="1"/>
      <w:marLeft w:val="0"/>
      <w:marRight w:val="0"/>
      <w:marTop w:val="0"/>
      <w:marBottom w:val="0"/>
      <w:divBdr>
        <w:top w:val="none" w:sz="0" w:space="0" w:color="auto"/>
        <w:left w:val="none" w:sz="0" w:space="0" w:color="auto"/>
        <w:bottom w:val="none" w:sz="0" w:space="0" w:color="auto"/>
        <w:right w:val="none" w:sz="0" w:space="0" w:color="auto"/>
      </w:divBdr>
    </w:div>
    <w:div w:id="697659284">
      <w:bodyDiv w:val="1"/>
      <w:marLeft w:val="0"/>
      <w:marRight w:val="0"/>
      <w:marTop w:val="0"/>
      <w:marBottom w:val="0"/>
      <w:divBdr>
        <w:top w:val="none" w:sz="0" w:space="0" w:color="auto"/>
        <w:left w:val="none" w:sz="0" w:space="0" w:color="auto"/>
        <w:bottom w:val="none" w:sz="0" w:space="0" w:color="auto"/>
        <w:right w:val="none" w:sz="0" w:space="0" w:color="auto"/>
      </w:divBdr>
    </w:div>
    <w:div w:id="699471470">
      <w:bodyDiv w:val="1"/>
      <w:marLeft w:val="0"/>
      <w:marRight w:val="0"/>
      <w:marTop w:val="0"/>
      <w:marBottom w:val="0"/>
      <w:divBdr>
        <w:top w:val="none" w:sz="0" w:space="0" w:color="auto"/>
        <w:left w:val="none" w:sz="0" w:space="0" w:color="auto"/>
        <w:bottom w:val="none" w:sz="0" w:space="0" w:color="auto"/>
        <w:right w:val="none" w:sz="0" w:space="0" w:color="auto"/>
      </w:divBdr>
    </w:div>
    <w:div w:id="702906135">
      <w:bodyDiv w:val="1"/>
      <w:marLeft w:val="0"/>
      <w:marRight w:val="0"/>
      <w:marTop w:val="0"/>
      <w:marBottom w:val="0"/>
      <w:divBdr>
        <w:top w:val="none" w:sz="0" w:space="0" w:color="auto"/>
        <w:left w:val="none" w:sz="0" w:space="0" w:color="auto"/>
        <w:bottom w:val="none" w:sz="0" w:space="0" w:color="auto"/>
        <w:right w:val="none" w:sz="0" w:space="0" w:color="auto"/>
      </w:divBdr>
      <w:divsChild>
        <w:div w:id="535894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682056">
          <w:blockQuote w:val="1"/>
          <w:marLeft w:val="720"/>
          <w:marRight w:val="720"/>
          <w:marTop w:val="100"/>
          <w:marBottom w:val="100"/>
          <w:divBdr>
            <w:top w:val="none" w:sz="0" w:space="0" w:color="auto"/>
            <w:left w:val="none" w:sz="0" w:space="0" w:color="auto"/>
            <w:bottom w:val="none" w:sz="0" w:space="0" w:color="auto"/>
            <w:right w:val="none" w:sz="0" w:space="0" w:color="auto"/>
          </w:divBdr>
        </w:div>
        <w:div w:id="2069958153">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273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997873233">
          <w:blockQuote w:val="1"/>
          <w:marLeft w:val="720"/>
          <w:marRight w:val="720"/>
          <w:marTop w:val="100"/>
          <w:marBottom w:val="100"/>
          <w:divBdr>
            <w:top w:val="none" w:sz="0" w:space="0" w:color="auto"/>
            <w:left w:val="none" w:sz="0" w:space="0" w:color="auto"/>
            <w:bottom w:val="none" w:sz="0" w:space="0" w:color="auto"/>
            <w:right w:val="none" w:sz="0" w:space="0" w:color="auto"/>
          </w:divBdr>
        </w:div>
        <w:div w:id="1309238992">
          <w:blockQuote w:val="1"/>
          <w:marLeft w:val="720"/>
          <w:marRight w:val="720"/>
          <w:marTop w:val="100"/>
          <w:marBottom w:val="100"/>
          <w:divBdr>
            <w:top w:val="none" w:sz="0" w:space="0" w:color="auto"/>
            <w:left w:val="none" w:sz="0" w:space="0" w:color="auto"/>
            <w:bottom w:val="none" w:sz="0" w:space="0" w:color="auto"/>
            <w:right w:val="none" w:sz="0" w:space="0" w:color="auto"/>
          </w:divBdr>
        </w:div>
        <w:div w:id="14922174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7795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71169207">
          <w:blockQuote w:val="1"/>
          <w:marLeft w:val="720"/>
          <w:marRight w:val="720"/>
          <w:marTop w:val="100"/>
          <w:marBottom w:val="100"/>
          <w:divBdr>
            <w:top w:val="none" w:sz="0" w:space="0" w:color="auto"/>
            <w:left w:val="none" w:sz="0" w:space="0" w:color="auto"/>
            <w:bottom w:val="none" w:sz="0" w:space="0" w:color="auto"/>
            <w:right w:val="none" w:sz="0" w:space="0" w:color="auto"/>
          </w:divBdr>
        </w:div>
        <w:div w:id="26091421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0024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7515866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240758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952843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48085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9459099">
      <w:bodyDiv w:val="1"/>
      <w:marLeft w:val="0"/>
      <w:marRight w:val="0"/>
      <w:marTop w:val="0"/>
      <w:marBottom w:val="0"/>
      <w:divBdr>
        <w:top w:val="none" w:sz="0" w:space="0" w:color="auto"/>
        <w:left w:val="none" w:sz="0" w:space="0" w:color="auto"/>
        <w:bottom w:val="none" w:sz="0" w:space="0" w:color="auto"/>
        <w:right w:val="none" w:sz="0" w:space="0" w:color="auto"/>
      </w:divBdr>
    </w:div>
    <w:div w:id="715549755">
      <w:bodyDiv w:val="1"/>
      <w:marLeft w:val="0"/>
      <w:marRight w:val="0"/>
      <w:marTop w:val="0"/>
      <w:marBottom w:val="0"/>
      <w:divBdr>
        <w:top w:val="none" w:sz="0" w:space="0" w:color="auto"/>
        <w:left w:val="none" w:sz="0" w:space="0" w:color="auto"/>
        <w:bottom w:val="none" w:sz="0" w:space="0" w:color="auto"/>
        <w:right w:val="none" w:sz="0" w:space="0" w:color="auto"/>
      </w:divBdr>
    </w:div>
    <w:div w:id="719062709">
      <w:bodyDiv w:val="1"/>
      <w:marLeft w:val="0"/>
      <w:marRight w:val="0"/>
      <w:marTop w:val="0"/>
      <w:marBottom w:val="0"/>
      <w:divBdr>
        <w:top w:val="none" w:sz="0" w:space="0" w:color="auto"/>
        <w:left w:val="none" w:sz="0" w:space="0" w:color="auto"/>
        <w:bottom w:val="none" w:sz="0" w:space="0" w:color="auto"/>
        <w:right w:val="none" w:sz="0" w:space="0" w:color="auto"/>
      </w:divBdr>
    </w:div>
    <w:div w:id="724107869">
      <w:bodyDiv w:val="1"/>
      <w:marLeft w:val="0"/>
      <w:marRight w:val="0"/>
      <w:marTop w:val="0"/>
      <w:marBottom w:val="0"/>
      <w:divBdr>
        <w:top w:val="none" w:sz="0" w:space="0" w:color="auto"/>
        <w:left w:val="none" w:sz="0" w:space="0" w:color="auto"/>
        <w:bottom w:val="none" w:sz="0" w:space="0" w:color="auto"/>
        <w:right w:val="none" w:sz="0" w:space="0" w:color="auto"/>
      </w:divBdr>
    </w:div>
    <w:div w:id="728264700">
      <w:bodyDiv w:val="1"/>
      <w:marLeft w:val="0"/>
      <w:marRight w:val="0"/>
      <w:marTop w:val="0"/>
      <w:marBottom w:val="0"/>
      <w:divBdr>
        <w:top w:val="none" w:sz="0" w:space="0" w:color="auto"/>
        <w:left w:val="none" w:sz="0" w:space="0" w:color="auto"/>
        <w:bottom w:val="none" w:sz="0" w:space="0" w:color="auto"/>
        <w:right w:val="none" w:sz="0" w:space="0" w:color="auto"/>
      </w:divBdr>
    </w:div>
    <w:div w:id="728312198">
      <w:bodyDiv w:val="1"/>
      <w:marLeft w:val="0"/>
      <w:marRight w:val="0"/>
      <w:marTop w:val="0"/>
      <w:marBottom w:val="0"/>
      <w:divBdr>
        <w:top w:val="none" w:sz="0" w:space="0" w:color="auto"/>
        <w:left w:val="none" w:sz="0" w:space="0" w:color="auto"/>
        <w:bottom w:val="none" w:sz="0" w:space="0" w:color="auto"/>
        <w:right w:val="none" w:sz="0" w:space="0" w:color="auto"/>
      </w:divBdr>
    </w:div>
    <w:div w:id="731536301">
      <w:bodyDiv w:val="1"/>
      <w:marLeft w:val="0"/>
      <w:marRight w:val="0"/>
      <w:marTop w:val="0"/>
      <w:marBottom w:val="0"/>
      <w:divBdr>
        <w:top w:val="none" w:sz="0" w:space="0" w:color="auto"/>
        <w:left w:val="none" w:sz="0" w:space="0" w:color="auto"/>
        <w:bottom w:val="none" w:sz="0" w:space="0" w:color="auto"/>
        <w:right w:val="none" w:sz="0" w:space="0" w:color="auto"/>
      </w:divBdr>
    </w:div>
    <w:div w:id="749426171">
      <w:bodyDiv w:val="1"/>
      <w:marLeft w:val="0"/>
      <w:marRight w:val="0"/>
      <w:marTop w:val="0"/>
      <w:marBottom w:val="0"/>
      <w:divBdr>
        <w:top w:val="none" w:sz="0" w:space="0" w:color="auto"/>
        <w:left w:val="none" w:sz="0" w:space="0" w:color="auto"/>
        <w:bottom w:val="none" w:sz="0" w:space="0" w:color="auto"/>
        <w:right w:val="none" w:sz="0" w:space="0" w:color="auto"/>
      </w:divBdr>
      <w:divsChild>
        <w:div w:id="461920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0737421">
      <w:bodyDiv w:val="1"/>
      <w:marLeft w:val="0"/>
      <w:marRight w:val="0"/>
      <w:marTop w:val="0"/>
      <w:marBottom w:val="0"/>
      <w:divBdr>
        <w:top w:val="none" w:sz="0" w:space="0" w:color="auto"/>
        <w:left w:val="none" w:sz="0" w:space="0" w:color="auto"/>
        <w:bottom w:val="none" w:sz="0" w:space="0" w:color="auto"/>
        <w:right w:val="none" w:sz="0" w:space="0" w:color="auto"/>
      </w:divBdr>
    </w:div>
    <w:div w:id="753088057">
      <w:bodyDiv w:val="1"/>
      <w:marLeft w:val="0"/>
      <w:marRight w:val="0"/>
      <w:marTop w:val="0"/>
      <w:marBottom w:val="0"/>
      <w:divBdr>
        <w:top w:val="none" w:sz="0" w:space="0" w:color="auto"/>
        <w:left w:val="none" w:sz="0" w:space="0" w:color="auto"/>
        <w:bottom w:val="none" w:sz="0" w:space="0" w:color="auto"/>
        <w:right w:val="none" w:sz="0" w:space="0" w:color="auto"/>
      </w:divBdr>
    </w:div>
    <w:div w:id="754934136">
      <w:bodyDiv w:val="1"/>
      <w:marLeft w:val="0"/>
      <w:marRight w:val="0"/>
      <w:marTop w:val="0"/>
      <w:marBottom w:val="0"/>
      <w:divBdr>
        <w:top w:val="none" w:sz="0" w:space="0" w:color="auto"/>
        <w:left w:val="none" w:sz="0" w:space="0" w:color="auto"/>
        <w:bottom w:val="none" w:sz="0" w:space="0" w:color="auto"/>
        <w:right w:val="none" w:sz="0" w:space="0" w:color="auto"/>
      </w:divBdr>
      <w:divsChild>
        <w:div w:id="11914505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1534301">
      <w:bodyDiv w:val="1"/>
      <w:marLeft w:val="0"/>
      <w:marRight w:val="0"/>
      <w:marTop w:val="0"/>
      <w:marBottom w:val="0"/>
      <w:divBdr>
        <w:top w:val="none" w:sz="0" w:space="0" w:color="auto"/>
        <w:left w:val="none" w:sz="0" w:space="0" w:color="auto"/>
        <w:bottom w:val="none" w:sz="0" w:space="0" w:color="auto"/>
        <w:right w:val="none" w:sz="0" w:space="0" w:color="auto"/>
      </w:divBdr>
    </w:div>
    <w:div w:id="764302328">
      <w:bodyDiv w:val="1"/>
      <w:marLeft w:val="0"/>
      <w:marRight w:val="0"/>
      <w:marTop w:val="0"/>
      <w:marBottom w:val="0"/>
      <w:divBdr>
        <w:top w:val="none" w:sz="0" w:space="0" w:color="auto"/>
        <w:left w:val="none" w:sz="0" w:space="0" w:color="auto"/>
        <w:bottom w:val="none" w:sz="0" w:space="0" w:color="auto"/>
        <w:right w:val="none" w:sz="0" w:space="0" w:color="auto"/>
      </w:divBdr>
    </w:div>
    <w:div w:id="766313805">
      <w:bodyDiv w:val="1"/>
      <w:marLeft w:val="0"/>
      <w:marRight w:val="0"/>
      <w:marTop w:val="0"/>
      <w:marBottom w:val="0"/>
      <w:divBdr>
        <w:top w:val="none" w:sz="0" w:space="0" w:color="auto"/>
        <w:left w:val="none" w:sz="0" w:space="0" w:color="auto"/>
        <w:bottom w:val="none" w:sz="0" w:space="0" w:color="auto"/>
        <w:right w:val="none" w:sz="0" w:space="0" w:color="auto"/>
      </w:divBdr>
    </w:div>
    <w:div w:id="771440962">
      <w:bodyDiv w:val="1"/>
      <w:marLeft w:val="0"/>
      <w:marRight w:val="0"/>
      <w:marTop w:val="0"/>
      <w:marBottom w:val="0"/>
      <w:divBdr>
        <w:top w:val="none" w:sz="0" w:space="0" w:color="auto"/>
        <w:left w:val="none" w:sz="0" w:space="0" w:color="auto"/>
        <w:bottom w:val="none" w:sz="0" w:space="0" w:color="auto"/>
        <w:right w:val="none" w:sz="0" w:space="0" w:color="auto"/>
      </w:divBdr>
    </w:div>
    <w:div w:id="778909220">
      <w:bodyDiv w:val="1"/>
      <w:marLeft w:val="0"/>
      <w:marRight w:val="0"/>
      <w:marTop w:val="0"/>
      <w:marBottom w:val="0"/>
      <w:divBdr>
        <w:top w:val="none" w:sz="0" w:space="0" w:color="auto"/>
        <w:left w:val="none" w:sz="0" w:space="0" w:color="auto"/>
        <w:bottom w:val="none" w:sz="0" w:space="0" w:color="auto"/>
        <w:right w:val="none" w:sz="0" w:space="0" w:color="auto"/>
      </w:divBdr>
    </w:div>
    <w:div w:id="787510594">
      <w:bodyDiv w:val="1"/>
      <w:marLeft w:val="0"/>
      <w:marRight w:val="0"/>
      <w:marTop w:val="0"/>
      <w:marBottom w:val="0"/>
      <w:divBdr>
        <w:top w:val="none" w:sz="0" w:space="0" w:color="auto"/>
        <w:left w:val="none" w:sz="0" w:space="0" w:color="auto"/>
        <w:bottom w:val="none" w:sz="0" w:space="0" w:color="auto"/>
        <w:right w:val="none" w:sz="0" w:space="0" w:color="auto"/>
      </w:divBdr>
    </w:div>
    <w:div w:id="788666617">
      <w:bodyDiv w:val="1"/>
      <w:marLeft w:val="0"/>
      <w:marRight w:val="0"/>
      <w:marTop w:val="0"/>
      <w:marBottom w:val="0"/>
      <w:divBdr>
        <w:top w:val="none" w:sz="0" w:space="0" w:color="auto"/>
        <w:left w:val="none" w:sz="0" w:space="0" w:color="auto"/>
        <w:bottom w:val="none" w:sz="0" w:space="0" w:color="auto"/>
        <w:right w:val="none" w:sz="0" w:space="0" w:color="auto"/>
      </w:divBdr>
    </w:div>
    <w:div w:id="788668014">
      <w:bodyDiv w:val="1"/>
      <w:marLeft w:val="0"/>
      <w:marRight w:val="0"/>
      <w:marTop w:val="0"/>
      <w:marBottom w:val="0"/>
      <w:divBdr>
        <w:top w:val="none" w:sz="0" w:space="0" w:color="auto"/>
        <w:left w:val="none" w:sz="0" w:space="0" w:color="auto"/>
        <w:bottom w:val="none" w:sz="0" w:space="0" w:color="auto"/>
        <w:right w:val="none" w:sz="0" w:space="0" w:color="auto"/>
      </w:divBdr>
    </w:div>
    <w:div w:id="790705697">
      <w:bodyDiv w:val="1"/>
      <w:marLeft w:val="0"/>
      <w:marRight w:val="0"/>
      <w:marTop w:val="0"/>
      <w:marBottom w:val="0"/>
      <w:divBdr>
        <w:top w:val="none" w:sz="0" w:space="0" w:color="auto"/>
        <w:left w:val="none" w:sz="0" w:space="0" w:color="auto"/>
        <w:bottom w:val="none" w:sz="0" w:space="0" w:color="auto"/>
        <w:right w:val="none" w:sz="0" w:space="0" w:color="auto"/>
      </w:divBdr>
    </w:div>
    <w:div w:id="795491067">
      <w:bodyDiv w:val="1"/>
      <w:marLeft w:val="0"/>
      <w:marRight w:val="0"/>
      <w:marTop w:val="0"/>
      <w:marBottom w:val="0"/>
      <w:divBdr>
        <w:top w:val="none" w:sz="0" w:space="0" w:color="auto"/>
        <w:left w:val="none" w:sz="0" w:space="0" w:color="auto"/>
        <w:bottom w:val="none" w:sz="0" w:space="0" w:color="auto"/>
        <w:right w:val="none" w:sz="0" w:space="0" w:color="auto"/>
      </w:divBdr>
    </w:div>
    <w:div w:id="796292757">
      <w:bodyDiv w:val="1"/>
      <w:marLeft w:val="0"/>
      <w:marRight w:val="0"/>
      <w:marTop w:val="0"/>
      <w:marBottom w:val="0"/>
      <w:divBdr>
        <w:top w:val="none" w:sz="0" w:space="0" w:color="auto"/>
        <w:left w:val="none" w:sz="0" w:space="0" w:color="auto"/>
        <w:bottom w:val="none" w:sz="0" w:space="0" w:color="auto"/>
        <w:right w:val="none" w:sz="0" w:space="0" w:color="auto"/>
      </w:divBdr>
    </w:div>
    <w:div w:id="800221716">
      <w:bodyDiv w:val="1"/>
      <w:marLeft w:val="0"/>
      <w:marRight w:val="0"/>
      <w:marTop w:val="0"/>
      <w:marBottom w:val="0"/>
      <w:divBdr>
        <w:top w:val="none" w:sz="0" w:space="0" w:color="auto"/>
        <w:left w:val="none" w:sz="0" w:space="0" w:color="auto"/>
        <w:bottom w:val="none" w:sz="0" w:space="0" w:color="auto"/>
        <w:right w:val="none" w:sz="0" w:space="0" w:color="auto"/>
      </w:divBdr>
    </w:div>
    <w:div w:id="802191116">
      <w:bodyDiv w:val="1"/>
      <w:marLeft w:val="0"/>
      <w:marRight w:val="0"/>
      <w:marTop w:val="0"/>
      <w:marBottom w:val="0"/>
      <w:divBdr>
        <w:top w:val="none" w:sz="0" w:space="0" w:color="auto"/>
        <w:left w:val="none" w:sz="0" w:space="0" w:color="auto"/>
        <w:bottom w:val="none" w:sz="0" w:space="0" w:color="auto"/>
        <w:right w:val="none" w:sz="0" w:space="0" w:color="auto"/>
      </w:divBdr>
    </w:div>
    <w:div w:id="818613599">
      <w:bodyDiv w:val="1"/>
      <w:marLeft w:val="0"/>
      <w:marRight w:val="0"/>
      <w:marTop w:val="0"/>
      <w:marBottom w:val="0"/>
      <w:divBdr>
        <w:top w:val="none" w:sz="0" w:space="0" w:color="auto"/>
        <w:left w:val="none" w:sz="0" w:space="0" w:color="auto"/>
        <w:bottom w:val="none" w:sz="0" w:space="0" w:color="auto"/>
        <w:right w:val="none" w:sz="0" w:space="0" w:color="auto"/>
      </w:divBdr>
      <w:divsChild>
        <w:div w:id="1613433648">
          <w:marLeft w:val="0"/>
          <w:marRight w:val="0"/>
          <w:marTop w:val="0"/>
          <w:marBottom w:val="0"/>
          <w:divBdr>
            <w:top w:val="none" w:sz="0" w:space="0" w:color="auto"/>
            <w:left w:val="none" w:sz="0" w:space="0" w:color="auto"/>
            <w:bottom w:val="none" w:sz="0" w:space="0" w:color="auto"/>
            <w:right w:val="none" w:sz="0" w:space="0" w:color="auto"/>
          </w:divBdr>
          <w:divsChild>
            <w:div w:id="473108723">
              <w:blockQuote w:val="1"/>
              <w:marLeft w:val="720"/>
              <w:marRight w:val="720"/>
              <w:marTop w:val="100"/>
              <w:marBottom w:val="100"/>
              <w:divBdr>
                <w:top w:val="none" w:sz="0" w:space="0" w:color="auto"/>
                <w:left w:val="none" w:sz="0" w:space="0" w:color="auto"/>
                <w:bottom w:val="none" w:sz="0" w:space="0" w:color="auto"/>
                <w:right w:val="none" w:sz="0" w:space="0" w:color="auto"/>
              </w:divBdr>
            </w:div>
            <w:div w:id="1333600903">
              <w:blockQuote w:val="1"/>
              <w:marLeft w:val="720"/>
              <w:marRight w:val="720"/>
              <w:marTop w:val="100"/>
              <w:marBottom w:val="100"/>
              <w:divBdr>
                <w:top w:val="none" w:sz="0" w:space="0" w:color="auto"/>
                <w:left w:val="none" w:sz="0" w:space="0" w:color="auto"/>
                <w:bottom w:val="none" w:sz="0" w:space="0" w:color="auto"/>
                <w:right w:val="none" w:sz="0" w:space="0" w:color="auto"/>
              </w:divBdr>
            </w:div>
            <w:div w:id="387345969">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6140">
              <w:blockQuote w:val="1"/>
              <w:marLeft w:val="720"/>
              <w:marRight w:val="720"/>
              <w:marTop w:val="100"/>
              <w:marBottom w:val="100"/>
              <w:divBdr>
                <w:top w:val="none" w:sz="0" w:space="0" w:color="auto"/>
                <w:left w:val="none" w:sz="0" w:space="0" w:color="auto"/>
                <w:bottom w:val="none" w:sz="0" w:space="0" w:color="auto"/>
                <w:right w:val="none" w:sz="0" w:space="0" w:color="auto"/>
              </w:divBdr>
            </w:div>
            <w:div w:id="10124131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79545461">
              <w:blockQuote w:val="1"/>
              <w:marLeft w:val="720"/>
              <w:marRight w:val="720"/>
              <w:marTop w:val="100"/>
              <w:marBottom w:val="100"/>
              <w:divBdr>
                <w:top w:val="none" w:sz="0" w:space="0" w:color="auto"/>
                <w:left w:val="none" w:sz="0" w:space="0" w:color="auto"/>
                <w:bottom w:val="none" w:sz="0" w:space="0" w:color="auto"/>
                <w:right w:val="none" w:sz="0" w:space="0" w:color="auto"/>
              </w:divBdr>
            </w:div>
            <w:div w:id="11155588">
              <w:blockQuote w:val="1"/>
              <w:marLeft w:val="720"/>
              <w:marRight w:val="720"/>
              <w:marTop w:val="100"/>
              <w:marBottom w:val="100"/>
              <w:divBdr>
                <w:top w:val="none" w:sz="0" w:space="0" w:color="auto"/>
                <w:left w:val="none" w:sz="0" w:space="0" w:color="auto"/>
                <w:bottom w:val="none" w:sz="0" w:space="0" w:color="auto"/>
                <w:right w:val="none" w:sz="0" w:space="0" w:color="auto"/>
              </w:divBdr>
            </w:div>
            <w:div w:id="832917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126563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325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19427201">
      <w:bodyDiv w:val="1"/>
      <w:marLeft w:val="0"/>
      <w:marRight w:val="0"/>
      <w:marTop w:val="0"/>
      <w:marBottom w:val="0"/>
      <w:divBdr>
        <w:top w:val="none" w:sz="0" w:space="0" w:color="auto"/>
        <w:left w:val="none" w:sz="0" w:space="0" w:color="auto"/>
        <w:bottom w:val="none" w:sz="0" w:space="0" w:color="auto"/>
        <w:right w:val="none" w:sz="0" w:space="0" w:color="auto"/>
      </w:divBdr>
    </w:div>
    <w:div w:id="819806291">
      <w:bodyDiv w:val="1"/>
      <w:marLeft w:val="0"/>
      <w:marRight w:val="0"/>
      <w:marTop w:val="0"/>
      <w:marBottom w:val="0"/>
      <w:divBdr>
        <w:top w:val="none" w:sz="0" w:space="0" w:color="auto"/>
        <w:left w:val="none" w:sz="0" w:space="0" w:color="auto"/>
        <w:bottom w:val="none" w:sz="0" w:space="0" w:color="auto"/>
        <w:right w:val="none" w:sz="0" w:space="0" w:color="auto"/>
      </w:divBdr>
    </w:div>
    <w:div w:id="820267315">
      <w:bodyDiv w:val="1"/>
      <w:marLeft w:val="0"/>
      <w:marRight w:val="0"/>
      <w:marTop w:val="0"/>
      <w:marBottom w:val="0"/>
      <w:divBdr>
        <w:top w:val="none" w:sz="0" w:space="0" w:color="auto"/>
        <w:left w:val="none" w:sz="0" w:space="0" w:color="auto"/>
        <w:bottom w:val="none" w:sz="0" w:space="0" w:color="auto"/>
        <w:right w:val="none" w:sz="0" w:space="0" w:color="auto"/>
      </w:divBdr>
    </w:div>
    <w:div w:id="823012433">
      <w:bodyDiv w:val="1"/>
      <w:marLeft w:val="0"/>
      <w:marRight w:val="0"/>
      <w:marTop w:val="0"/>
      <w:marBottom w:val="0"/>
      <w:divBdr>
        <w:top w:val="none" w:sz="0" w:space="0" w:color="auto"/>
        <w:left w:val="none" w:sz="0" w:space="0" w:color="auto"/>
        <w:bottom w:val="none" w:sz="0" w:space="0" w:color="auto"/>
        <w:right w:val="none" w:sz="0" w:space="0" w:color="auto"/>
      </w:divBdr>
    </w:div>
    <w:div w:id="825702957">
      <w:bodyDiv w:val="1"/>
      <w:marLeft w:val="0"/>
      <w:marRight w:val="0"/>
      <w:marTop w:val="0"/>
      <w:marBottom w:val="0"/>
      <w:divBdr>
        <w:top w:val="none" w:sz="0" w:space="0" w:color="auto"/>
        <w:left w:val="none" w:sz="0" w:space="0" w:color="auto"/>
        <w:bottom w:val="none" w:sz="0" w:space="0" w:color="auto"/>
        <w:right w:val="none" w:sz="0" w:space="0" w:color="auto"/>
      </w:divBdr>
    </w:div>
    <w:div w:id="831027589">
      <w:bodyDiv w:val="1"/>
      <w:marLeft w:val="0"/>
      <w:marRight w:val="0"/>
      <w:marTop w:val="0"/>
      <w:marBottom w:val="0"/>
      <w:divBdr>
        <w:top w:val="none" w:sz="0" w:space="0" w:color="auto"/>
        <w:left w:val="none" w:sz="0" w:space="0" w:color="auto"/>
        <w:bottom w:val="none" w:sz="0" w:space="0" w:color="auto"/>
        <w:right w:val="none" w:sz="0" w:space="0" w:color="auto"/>
      </w:divBdr>
    </w:div>
    <w:div w:id="831221221">
      <w:bodyDiv w:val="1"/>
      <w:marLeft w:val="0"/>
      <w:marRight w:val="0"/>
      <w:marTop w:val="0"/>
      <w:marBottom w:val="0"/>
      <w:divBdr>
        <w:top w:val="none" w:sz="0" w:space="0" w:color="auto"/>
        <w:left w:val="none" w:sz="0" w:space="0" w:color="auto"/>
        <w:bottom w:val="none" w:sz="0" w:space="0" w:color="auto"/>
        <w:right w:val="none" w:sz="0" w:space="0" w:color="auto"/>
      </w:divBdr>
      <w:divsChild>
        <w:div w:id="421951353">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77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953538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213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2294522">
          <w:blockQuote w:val="1"/>
          <w:marLeft w:val="720"/>
          <w:marRight w:val="720"/>
          <w:marTop w:val="100"/>
          <w:marBottom w:val="100"/>
          <w:divBdr>
            <w:top w:val="none" w:sz="0" w:space="0" w:color="auto"/>
            <w:left w:val="none" w:sz="0" w:space="0" w:color="auto"/>
            <w:bottom w:val="none" w:sz="0" w:space="0" w:color="auto"/>
            <w:right w:val="none" w:sz="0" w:space="0" w:color="auto"/>
          </w:divBdr>
        </w:div>
        <w:div w:id="38314130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41094">
          <w:blockQuote w:val="1"/>
          <w:marLeft w:val="720"/>
          <w:marRight w:val="720"/>
          <w:marTop w:val="100"/>
          <w:marBottom w:val="100"/>
          <w:divBdr>
            <w:top w:val="none" w:sz="0" w:space="0" w:color="auto"/>
            <w:left w:val="none" w:sz="0" w:space="0" w:color="auto"/>
            <w:bottom w:val="none" w:sz="0" w:space="0" w:color="auto"/>
            <w:right w:val="none" w:sz="0" w:space="0" w:color="auto"/>
          </w:divBdr>
        </w:div>
        <w:div w:id="506750390">
          <w:blockQuote w:val="1"/>
          <w:marLeft w:val="720"/>
          <w:marRight w:val="720"/>
          <w:marTop w:val="100"/>
          <w:marBottom w:val="100"/>
          <w:divBdr>
            <w:top w:val="none" w:sz="0" w:space="0" w:color="auto"/>
            <w:left w:val="none" w:sz="0" w:space="0" w:color="auto"/>
            <w:bottom w:val="none" w:sz="0" w:space="0" w:color="auto"/>
            <w:right w:val="none" w:sz="0" w:space="0" w:color="auto"/>
          </w:divBdr>
        </w:div>
        <w:div w:id="5180805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6847095">
      <w:bodyDiv w:val="1"/>
      <w:marLeft w:val="0"/>
      <w:marRight w:val="0"/>
      <w:marTop w:val="0"/>
      <w:marBottom w:val="0"/>
      <w:divBdr>
        <w:top w:val="none" w:sz="0" w:space="0" w:color="auto"/>
        <w:left w:val="none" w:sz="0" w:space="0" w:color="auto"/>
        <w:bottom w:val="none" w:sz="0" w:space="0" w:color="auto"/>
        <w:right w:val="none" w:sz="0" w:space="0" w:color="auto"/>
      </w:divBdr>
      <w:divsChild>
        <w:div w:id="17468803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7312484">
      <w:bodyDiv w:val="1"/>
      <w:marLeft w:val="0"/>
      <w:marRight w:val="0"/>
      <w:marTop w:val="0"/>
      <w:marBottom w:val="0"/>
      <w:divBdr>
        <w:top w:val="none" w:sz="0" w:space="0" w:color="auto"/>
        <w:left w:val="none" w:sz="0" w:space="0" w:color="auto"/>
        <w:bottom w:val="none" w:sz="0" w:space="0" w:color="auto"/>
        <w:right w:val="none" w:sz="0" w:space="0" w:color="auto"/>
      </w:divBdr>
    </w:div>
    <w:div w:id="840510179">
      <w:bodyDiv w:val="1"/>
      <w:marLeft w:val="0"/>
      <w:marRight w:val="0"/>
      <w:marTop w:val="0"/>
      <w:marBottom w:val="0"/>
      <w:divBdr>
        <w:top w:val="none" w:sz="0" w:space="0" w:color="auto"/>
        <w:left w:val="none" w:sz="0" w:space="0" w:color="auto"/>
        <w:bottom w:val="none" w:sz="0" w:space="0" w:color="auto"/>
        <w:right w:val="none" w:sz="0" w:space="0" w:color="auto"/>
      </w:divBdr>
      <w:divsChild>
        <w:div w:id="15300995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0701904">
      <w:bodyDiv w:val="1"/>
      <w:marLeft w:val="0"/>
      <w:marRight w:val="0"/>
      <w:marTop w:val="0"/>
      <w:marBottom w:val="0"/>
      <w:divBdr>
        <w:top w:val="none" w:sz="0" w:space="0" w:color="auto"/>
        <w:left w:val="none" w:sz="0" w:space="0" w:color="auto"/>
        <w:bottom w:val="none" w:sz="0" w:space="0" w:color="auto"/>
        <w:right w:val="none" w:sz="0" w:space="0" w:color="auto"/>
      </w:divBdr>
      <w:divsChild>
        <w:div w:id="14789559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0951101">
      <w:bodyDiv w:val="1"/>
      <w:marLeft w:val="0"/>
      <w:marRight w:val="0"/>
      <w:marTop w:val="0"/>
      <w:marBottom w:val="0"/>
      <w:divBdr>
        <w:top w:val="none" w:sz="0" w:space="0" w:color="auto"/>
        <w:left w:val="none" w:sz="0" w:space="0" w:color="auto"/>
        <w:bottom w:val="none" w:sz="0" w:space="0" w:color="auto"/>
        <w:right w:val="none" w:sz="0" w:space="0" w:color="auto"/>
      </w:divBdr>
    </w:div>
    <w:div w:id="857504252">
      <w:bodyDiv w:val="1"/>
      <w:marLeft w:val="0"/>
      <w:marRight w:val="0"/>
      <w:marTop w:val="0"/>
      <w:marBottom w:val="0"/>
      <w:divBdr>
        <w:top w:val="none" w:sz="0" w:space="0" w:color="auto"/>
        <w:left w:val="none" w:sz="0" w:space="0" w:color="auto"/>
        <w:bottom w:val="none" w:sz="0" w:space="0" w:color="auto"/>
        <w:right w:val="none" w:sz="0" w:space="0" w:color="auto"/>
      </w:divBdr>
      <w:divsChild>
        <w:div w:id="138233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8764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9589793">
      <w:bodyDiv w:val="1"/>
      <w:marLeft w:val="0"/>
      <w:marRight w:val="0"/>
      <w:marTop w:val="0"/>
      <w:marBottom w:val="0"/>
      <w:divBdr>
        <w:top w:val="none" w:sz="0" w:space="0" w:color="auto"/>
        <w:left w:val="none" w:sz="0" w:space="0" w:color="auto"/>
        <w:bottom w:val="none" w:sz="0" w:space="0" w:color="auto"/>
        <w:right w:val="none" w:sz="0" w:space="0" w:color="auto"/>
      </w:divBdr>
    </w:div>
    <w:div w:id="859859105">
      <w:bodyDiv w:val="1"/>
      <w:marLeft w:val="0"/>
      <w:marRight w:val="0"/>
      <w:marTop w:val="0"/>
      <w:marBottom w:val="0"/>
      <w:divBdr>
        <w:top w:val="none" w:sz="0" w:space="0" w:color="auto"/>
        <w:left w:val="none" w:sz="0" w:space="0" w:color="auto"/>
        <w:bottom w:val="none" w:sz="0" w:space="0" w:color="auto"/>
        <w:right w:val="none" w:sz="0" w:space="0" w:color="auto"/>
      </w:divBdr>
    </w:div>
    <w:div w:id="864319984">
      <w:bodyDiv w:val="1"/>
      <w:marLeft w:val="0"/>
      <w:marRight w:val="0"/>
      <w:marTop w:val="0"/>
      <w:marBottom w:val="0"/>
      <w:divBdr>
        <w:top w:val="none" w:sz="0" w:space="0" w:color="auto"/>
        <w:left w:val="none" w:sz="0" w:space="0" w:color="auto"/>
        <w:bottom w:val="none" w:sz="0" w:space="0" w:color="auto"/>
        <w:right w:val="none" w:sz="0" w:space="0" w:color="auto"/>
      </w:divBdr>
    </w:div>
    <w:div w:id="865748403">
      <w:bodyDiv w:val="1"/>
      <w:marLeft w:val="0"/>
      <w:marRight w:val="0"/>
      <w:marTop w:val="0"/>
      <w:marBottom w:val="0"/>
      <w:divBdr>
        <w:top w:val="none" w:sz="0" w:space="0" w:color="auto"/>
        <w:left w:val="none" w:sz="0" w:space="0" w:color="auto"/>
        <w:bottom w:val="none" w:sz="0" w:space="0" w:color="auto"/>
        <w:right w:val="none" w:sz="0" w:space="0" w:color="auto"/>
      </w:divBdr>
    </w:div>
    <w:div w:id="868487392">
      <w:bodyDiv w:val="1"/>
      <w:marLeft w:val="0"/>
      <w:marRight w:val="0"/>
      <w:marTop w:val="0"/>
      <w:marBottom w:val="0"/>
      <w:divBdr>
        <w:top w:val="none" w:sz="0" w:space="0" w:color="auto"/>
        <w:left w:val="none" w:sz="0" w:space="0" w:color="auto"/>
        <w:bottom w:val="none" w:sz="0" w:space="0" w:color="auto"/>
        <w:right w:val="none" w:sz="0" w:space="0" w:color="auto"/>
      </w:divBdr>
    </w:div>
    <w:div w:id="868878084">
      <w:bodyDiv w:val="1"/>
      <w:marLeft w:val="0"/>
      <w:marRight w:val="0"/>
      <w:marTop w:val="0"/>
      <w:marBottom w:val="0"/>
      <w:divBdr>
        <w:top w:val="none" w:sz="0" w:space="0" w:color="auto"/>
        <w:left w:val="none" w:sz="0" w:space="0" w:color="auto"/>
        <w:bottom w:val="none" w:sz="0" w:space="0" w:color="auto"/>
        <w:right w:val="none" w:sz="0" w:space="0" w:color="auto"/>
      </w:divBdr>
    </w:div>
    <w:div w:id="870536810">
      <w:bodyDiv w:val="1"/>
      <w:marLeft w:val="0"/>
      <w:marRight w:val="0"/>
      <w:marTop w:val="0"/>
      <w:marBottom w:val="0"/>
      <w:divBdr>
        <w:top w:val="none" w:sz="0" w:space="0" w:color="auto"/>
        <w:left w:val="none" w:sz="0" w:space="0" w:color="auto"/>
        <w:bottom w:val="none" w:sz="0" w:space="0" w:color="auto"/>
        <w:right w:val="none" w:sz="0" w:space="0" w:color="auto"/>
      </w:divBdr>
    </w:div>
    <w:div w:id="882063350">
      <w:bodyDiv w:val="1"/>
      <w:marLeft w:val="0"/>
      <w:marRight w:val="0"/>
      <w:marTop w:val="0"/>
      <w:marBottom w:val="0"/>
      <w:divBdr>
        <w:top w:val="none" w:sz="0" w:space="0" w:color="auto"/>
        <w:left w:val="none" w:sz="0" w:space="0" w:color="auto"/>
        <w:bottom w:val="none" w:sz="0" w:space="0" w:color="auto"/>
        <w:right w:val="none" w:sz="0" w:space="0" w:color="auto"/>
      </w:divBdr>
    </w:div>
    <w:div w:id="885871499">
      <w:bodyDiv w:val="1"/>
      <w:marLeft w:val="0"/>
      <w:marRight w:val="0"/>
      <w:marTop w:val="0"/>
      <w:marBottom w:val="0"/>
      <w:divBdr>
        <w:top w:val="none" w:sz="0" w:space="0" w:color="auto"/>
        <w:left w:val="none" w:sz="0" w:space="0" w:color="auto"/>
        <w:bottom w:val="none" w:sz="0" w:space="0" w:color="auto"/>
        <w:right w:val="none" w:sz="0" w:space="0" w:color="auto"/>
      </w:divBdr>
    </w:div>
    <w:div w:id="888607531">
      <w:bodyDiv w:val="1"/>
      <w:marLeft w:val="0"/>
      <w:marRight w:val="0"/>
      <w:marTop w:val="0"/>
      <w:marBottom w:val="0"/>
      <w:divBdr>
        <w:top w:val="none" w:sz="0" w:space="0" w:color="auto"/>
        <w:left w:val="none" w:sz="0" w:space="0" w:color="auto"/>
        <w:bottom w:val="none" w:sz="0" w:space="0" w:color="auto"/>
        <w:right w:val="none" w:sz="0" w:space="0" w:color="auto"/>
      </w:divBdr>
    </w:div>
    <w:div w:id="894003590">
      <w:bodyDiv w:val="1"/>
      <w:marLeft w:val="0"/>
      <w:marRight w:val="0"/>
      <w:marTop w:val="0"/>
      <w:marBottom w:val="0"/>
      <w:divBdr>
        <w:top w:val="none" w:sz="0" w:space="0" w:color="auto"/>
        <w:left w:val="none" w:sz="0" w:space="0" w:color="auto"/>
        <w:bottom w:val="none" w:sz="0" w:space="0" w:color="auto"/>
        <w:right w:val="none" w:sz="0" w:space="0" w:color="auto"/>
      </w:divBdr>
    </w:div>
    <w:div w:id="896475529">
      <w:bodyDiv w:val="1"/>
      <w:marLeft w:val="0"/>
      <w:marRight w:val="0"/>
      <w:marTop w:val="0"/>
      <w:marBottom w:val="0"/>
      <w:divBdr>
        <w:top w:val="none" w:sz="0" w:space="0" w:color="auto"/>
        <w:left w:val="none" w:sz="0" w:space="0" w:color="auto"/>
        <w:bottom w:val="none" w:sz="0" w:space="0" w:color="auto"/>
        <w:right w:val="none" w:sz="0" w:space="0" w:color="auto"/>
      </w:divBdr>
    </w:div>
    <w:div w:id="897320565">
      <w:bodyDiv w:val="1"/>
      <w:marLeft w:val="0"/>
      <w:marRight w:val="0"/>
      <w:marTop w:val="0"/>
      <w:marBottom w:val="0"/>
      <w:divBdr>
        <w:top w:val="none" w:sz="0" w:space="0" w:color="auto"/>
        <w:left w:val="none" w:sz="0" w:space="0" w:color="auto"/>
        <w:bottom w:val="none" w:sz="0" w:space="0" w:color="auto"/>
        <w:right w:val="none" w:sz="0" w:space="0" w:color="auto"/>
      </w:divBdr>
    </w:div>
    <w:div w:id="900596696">
      <w:bodyDiv w:val="1"/>
      <w:marLeft w:val="0"/>
      <w:marRight w:val="0"/>
      <w:marTop w:val="0"/>
      <w:marBottom w:val="0"/>
      <w:divBdr>
        <w:top w:val="none" w:sz="0" w:space="0" w:color="auto"/>
        <w:left w:val="none" w:sz="0" w:space="0" w:color="auto"/>
        <w:bottom w:val="none" w:sz="0" w:space="0" w:color="auto"/>
        <w:right w:val="none" w:sz="0" w:space="0" w:color="auto"/>
      </w:divBdr>
    </w:div>
    <w:div w:id="901407139">
      <w:bodyDiv w:val="1"/>
      <w:marLeft w:val="0"/>
      <w:marRight w:val="0"/>
      <w:marTop w:val="0"/>
      <w:marBottom w:val="0"/>
      <w:divBdr>
        <w:top w:val="none" w:sz="0" w:space="0" w:color="auto"/>
        <w:left w:val="none" w:sz="0" w:space="0" w:color="auto"/>
        <w:bottom w:val="none" w:sz="0" w:space="0" w:color="auto"/>
        <w:right w:val="none" w:sz="0" w:space="0" w:color="auto"/>
      </w:divBdr>
    </w:div>
    <w:div w:id="906300156">
      <w:bodyDiv w:val="1"/>
      <w:marLeft w:val="0"/>
      <w:marRight w:val="0"/>
      <w:marTop w:val="0"/>
      <w:marBottom w:val="0"/>
      <w:divBdr>
        <w:top w:val="none" w:sz="0" w:space="0" w:color="auto"/>
        <w:left w:val="none" w:sz="0" w:space="0" w:color="auto"/>
        <w:bottom w:val="none" w:sz="0" w:space="0" w:color="auto"/>
        <w:right w:val="none" w:sz="0" w:space="0" w:color="auto"/>
      </w:divBdr>
      <w:divsChild>
        <w:div w:id="620310653">
          <w:marLeft w:val="0"/>
          <w:marRight w:val="0"/>
          <w:marTop w:val="0"/>
          <w:marBottom w:val="0"/>
          <w:divBdr>
            <w:top w:val="none" w:sz="0" w:space="0" w:color="auto"/>
            <w:left w:val="none" w:sz="0" w:space="0" w:color="auto"/>
            <w:bottom w:val="none" w:sz="0" w:space="0" w:color="auto"/>
            <w:right w:val="none" w:sz="0" w:space="0" w:color="auto"/>
          </w:divBdr>
        </w:div>
      </w:divsChild>
    </w:div>
    <w:div w:id="909847288">
      <w:bodyDiv w:val="1"/>
      <w:marLeft w:val="0"/>
      <w:marRight w:val="0"/>
      <w:marTop w:val="0"/>
      <w:marBottom w:val="0"/>
      <w:divBdr>
        <w:top w:val="none" w:sz="0" w:space="0" w:color="auto"/>
        <w:left w:val="none" w:sz="0" w:space="0" w:color="auto"/>
        <w:bottom w:val="none" w:sz="0" w:space="0" w:color="auto"/>
        <w:right w:val="none" w:sz="0" w:space="0" w:color="auto"/>
      </w:divBdr>
    </w:div>
    <w:div w:id="913321713">
      <w:bodyDiv w:val="1"/>
      <w:marLeft w:val="0"/>
      <w:marRight w:val="0"/>
      <w:marTop w:val="0"/>
      <w:marBottom w:val="0"/>
      <w:divBdr>
        <w:top w:val="none" w:sz="0" w:space="0" w:color="auto"/>
        <w:left w:val="none" w:sz="0" w:space="0" w:color="auto"/>
        <w:bottom w:val="none" w:sz="0" w:space="0" w:color="auto"/>
        <w:right w:val="none" w:sz="0" w:space="0" w:color="auto"/>
      </w:divBdr>
    </w:div>
    <w:div w:id="914583901">
      <w:bodyDiv w:val="1"/>
      <w:marLeft w:val="0"/>
      <w:marRight w:val="0"/>
      <w:marTop w:val="0"/>
      <w:marBottom w:val="0"/>
      <w:divBdr>
        <w:top w:val="none" w:sz="0" w:space="0" w:color="auto"/>
        <w:left w:val="none" w:sz="0" w:space="0" w:color="auto"/>
        <w:bottom w:val="none" w:sz="0" w:space="0" w:color="auto"/>
        <w:right w:val="none" w:sz="0" w:space="0" w:color="auto"/>
      </w:divBdr>
    </w:div>
    <w:div w:id="920986275">
      <w:bodyDiv w:val="1"/>
      <w:marLeft w:val="0"/>
      <w:marRight w:val="0"/>
      <w:marTop w:val="0"/>
      <w:marBottom w:val="0"/>
      <w:divBdr>
        <w:top w:val="none" w:sz="0" w:space="0" w:color="auto"/>
        <w:left w:val="none" w:sz="0" w:space="0" w:color="auto"/>
        <w:bottom w:val="none" w:sz="0" w:space="0" w:color="auto"/>
        <w:right w:val="none" w:sz="0" w:space="0" w:color="auto"/>
      </w:divBdr>
    </w:div>
    <w:div w:id="923150820">
      <w:bodyDiv w:val="1"/>
      <w:marLeft w:val="0"/>
      <w:marRight w:val="0"/>
      <w:marTop w:val="0"/>
      <w:marBottom w:val="0"/>
      <w:divBdr>
        <w:top w:val="none" w:sz="0" w:space="0" w:color="auto"/>
        <w:left w:val="none" w:sz="0" w:space="0" w:color="auto"/>
        <w:bottom w:val="none" w:sz="0" w:space="0" w:color="auto"/>
        <w:right w:val="none" w:sz="0" w:space="0" w:color="auto"/>
      </w:divBdr>
      <w:divsChild>
        <w:div w:id="11175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6854785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5120493">
      <w:bodyDiv w:val="1"/>
      <w:marLeft w:val="0"/>
      <w:marRight w:val="0"/>
      <w:marTop w:val="0"/>
      <w:marBottom w:val="0"/>
      <w:divBdr>
        <w:top w:val="none" w:sz="0" w:space="0" w:color="auto"/>
        <w:left w:val="none" w:sz="0" w:space="0" w:color="auto"/>
        <w:bottom w:val="none" w:sz="0" w:space="0" w:color="auto"/>
        <w:right w:val="none" w:sz="0" w:space="0" w:color="auto"/>
      </w:divBdr>
    </w:div>
    <w:div w:id="946425591">
      <w:bodyDiv w:val="1"/>
      <w:marLeft w:val="0"/>
      <w:marRight w:val="0"/>
      <w:marTop w:val="0"/>
      <w:marBottom w:val="0"/>
      <w:divBdr>
        <w:top w:val="none" w:sz="0" w:space="0" w:color="auto"/>
        <w:left w:val="none" w:sz="0" w:space="0" w:color="auto"/>
        <w:bottom w:val="none" w:sz="0" w:space="0" w:color="auto"/>
        <w:right w:val="none" w:sz="0" w:space="0" w:color="auto"/>
      </w:divBdr>
    </w:div>
    <w:div w:id="960958972">
      <w:bodyDiv w:val="1"/>
      <w:marLeft w:val="0"/>
      <w:marRight w:val="0"/>
      <w:marTop w:val="0"/>
      <w:marBottom w:val="0"/>
      <w:divBdr>
        <w:top w:val="none" w:sz="0" w:space="0" w:color="auto"/>
        <w:left w:val="none" w:sz="0" w:space="0" w:color="auto"/>
        <w:bottom w:val="none" w:sz="0" w:space="0" w:color="auto"/>
        <w:right w:val="none" w:sz="0" w:space="0" w:color="auto"/>
      </w:divBdr>
    </w:div>
    <w:div w:id="961765930">
      <w:bodyDiv w:val="1"/>
      <w:marLeft w:val="0"/>
      <w:marRight w:val="0"/>
      <w:marTop w:val="0"/>
      <w:marBottom w:val="0"/>
      <w:divBdr>
        <w:top w:val="none" w:sz="0" w:space="0" w:color="auto"/>
        <w:left w:val="none" w:sz="0" w:space="0" w:color="auto"/>
        <w:bottom w:val="none" w:sz="0" w:space="0" w:color="auto"/>
        <w:right w:val="none" w:sz="0" w:space="0" w:color="auto"/>
      </w:divBdr>
    </w:div>
    <w:div w:id="967315793">
      <w:bodyDiv w:val="1"/>
      <w:marLeft w:val="0"/>
      <w:marRight w:val="0"/>
      <w:marTop w:val="0"/>
      <w:marBottom w:val="0"/>
      <w:divBdr>
        <w:top w:val="none" w:sz="0" w:space="0" w:color="auto"/>
        <w:left w:val="none" w:sz="0" w:space="0" w:color="auto"/>
        <w:bottom w:val="none" w:sz="0" w:space="0" w:color="auto"/>
        <w:right w:val="none" w:sz="0" w:space="0" w:color="auto"/>
      </w:divBdr>
    </w:div>
    <w:div w:id="971247683">
      <w:bodyDiv w:val="1"/>
      <w:marLeft w:val="0"/>
      <w:marRight w:val="0"/>
      <w:marTop w:val="0"/>
      <w:marBottom w:val="0"/>
      <w:divBdr>
        <w:top w:val="none" w:sz="0" w:space="0" w:color="auto"/>
        <w:left w:val="none" w:sz="0" w:space="0" w:color="auto"/>
        <w:bottom w:val="none" w:sz="0" w:space="0" w:color="auto"/>
        <w:right w:val="none" w:sz="0" w:space="0" w:color="auto"/>
      </w:divBdr>
    </w:div>
    <w:div w:id="987055225">
      <w:bodyDiv w:val="1"/>
      <w:marLeft w:val="0"/>
      <w:marRight w:val="0"/>
      <w:marTop w:val="0"/>
      <w:marBottom w:val="0"/>
      <w:divBdr>
        <w:top w:val="none" w:sz="0" w:space="0" w:color="auto"/>
        <w:left w:val="none" w:sz="0" w:space="0" w:color="auto"/>
        <w:bottom w:val="none" w:sz="0" w:space="0" w:color="auto"/>
        <w:right w:val="none" w:sz="0" w:space="0" w:color="auto"/>
      </w:divBdr>
      <w:divsChild>
        <w:div w:id="1388257460">
          <w:marLeft w:val="0"/>
          <w:marRight w:val="0"/>
          <w:marTop w:val="0"/>
          <w:marBottom w:val="0"/>
          <w:divBdr>
            <w:top w:val="none" w:sz="0" w:space="0" w:color="auto"/>
            <w:left w:val="none" w:sz="0" w:space="0" w:color="auto"/>
            <w:bottom w:val="none" w:sz="0" w:space="0" w:color="auto"/>
            <w:right w:val="none" w:sz="0" w:space="0" w:color="auto"/>
          </w:divBdr>
          <w:divsChild>
            <w:div w:id="5997949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2528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52718370">
              <w:blockQuote w:val="1"/>
              <w:marLeft w:val="720"/>
              <w:marRight w:val="720"/>
              <w:marTop w:val="100"/>
              <w:marBottom w:val="100"/>
              <w:divBdr>
                <w:top w:val="none" w:sz="0" w:space="0" w:color="auto"/>
                <w:left w:val="none" w:sz="0" w:space="0" w:color="auto"/>
                <w:bottom w:val="none" w:sz="0" w:space="0" w:color="auto"/>
                <w:right w:val="none" w:sz="0" w:space="0" w:color="auto"/>
              </w:divBdr>
            </w:div>
            <w:div w:id="544026511">
              <w:blockQuote w:val="1"/>
              <w:marLeft w:val="720"/>
              <w:marRight w:val="720"/>
              <w:marTop w:val="100"/>
              <w:marBottom w:val="100"/>
              <w:divBdr>
                <w:top w:val="none" w:sz="0" w:space="0" w:color="auto"/>
                <w:left w:val="none" w:sz="0" w:space="0" w:color="auto"/>
                <w:bottom w:val="none" w:sz="0" w:space="0" w:color="auto"/>
                <w:right w:val="none" w:sz="0" w:space="0" w:color="auto"/>
              </w:divBdr>
            </w:div>
            <w:div w:id="3235547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7484403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706836">
              <w:blockQuote w:val="1"/>
              <w:marLeft w:val="720"/>
              <w:marRight w:val="720"/>
              <w:marTop w:val="100"/>
              <w:marBottom w:val="100"/>
              <w:divBdr>
                <w:top w:val="none" w:sz="0" w:space="0" w:color="auto"/>
                <w:left w:val="none" w:sz="0" w:space="0" w:color="auto"/>
                <w:bottom w:val="none" w:sz="0" w:space="0" w:color="auto"/>
                <w:right w:val="none" w:sz="0" w:space="0" w:color="auto"/>
              </w:divBdr>
            </w:div>
            <w:div w:id="2124834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6691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58544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87974412">
      <w:bodyDiv w:val="1"/>
      <w:marLeft w:val="0"/>
      <w:marRight w:val="0"/>
      <w:marTop w:val="0"/>
      <w:marBottom w:val="0"/>
      <w:divBdr>
        <w:top w:val="none" w:sz="0" w:space="0" w:color="auto"/>
        <w:left w:val="none" w:sz="0" w:space="0" w:color="auto"/>
        <w:bottom w:val="none" w:sz="0" w:space="0" w:color="auto"/>
        <w:right w:val="none" w:sz="0" w:space="0" w:color="auto"/>
      </w:divBdr>
    </w:div>
    <w:div w:id="990215697">
      <w:bodyDiv w:val="1"/>
      <w:marLeft w:val="0"/>
      <w:marRight w:val="0"/>
      <w:marTop w:val="0"/>
      <w:marBottom w:val="0"/>
      <w:divBdr>
        <w:top w:val="none" w:sz="0" w:space="0" w:color="auto"/>
        <w:left w:val="none" w:sz="0" w:space="0" w:color="auto"/>
        <w:bottom w:val="none" w:sz="0" w:space="0" w:color="auto"/>
        <w:right w:val="none" w:sz="0" w:space="0" w:color="auto"/>
      </w:divBdr>
      <w:divsChild>
        <w:div w:id="13777818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5855836">
          <w:blockQuote w:val="1"/>
          <w:marLeft w:val="720"/>
          <w:marRight w:val="720"/>
          <w:marTop w:val="100"/>
          <w:marBottom w:val="100"/>
          <w:divBdr>
            <w:top w:val="none" w:sz="0" w:space="0" w:color="auto"/>
            <w:left w:val="none" w:sz="0" w:space="0" w:color="auto"/>
            <w:bottom w:val="none" w:sz="0" w:space="0" w:color="auto"/>
            <w:right w:val="none" w:sz="0" w:space="0" w:color="auto"/>
          </w:divBdr>
        </w:div>
        <w:div w:id="3768615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1161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682361383">
          <w:blockQuote w:val="1"/>
          <w:marLeft w:val="720"/>
          <w:marRight w:val="720"/>
          <w:marTop w:val="100"/>
          <w:marBottom w:val="100"/>
          <w:divBdr>
            <w:top w:val="none" w:sz="0" w:space="0" w:color="auto"/>
            <w:left w:val="none" w:sz="0" w:space="0" w:color="auto"/>
            <w:bottom w:val="none" w:sz="0" w:space="0" w:color="auto"/>
            <w:right w:val="none" w:sz="0" w:space="0" w:color="auto"/>
          </w:divBdr>
        </w:div>
        <w:div w:id="4476287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9721374">
      <w:bodyDiv w:val="1"/>
      <w:marLeft w:val="0"/>
      <w:marRight w:val="0"/>
      <w:marTop w:val="0"/>
      <w:marBottom w:val="0"/>
      <w:divBdr>
        <w:top w:val="none" w:sz="0" w:space="0" w:color="auto"/>
        <w:left w:val="none" w:sz="0" w:space="0" w:color="auto"/>
        <w:bottom w:val="none" w:sz="0" w:space="0" w:color="auto"/>
        <w:right w:val="none" w:sz="0" w:space="0" w:color="auto"/>
      </w:divBdr>
    </w:div>
    <w:div w:id="1010370403">
      <w:bodyDiv w:val="1"/>
      <w:marLeft w:val="0"/>
      <w:marRight w:val="0"/>
      <w:marTop w:val="0"/>
      <w:marBottom w:val="0"/>
      <w:divBdr>
        <w:top w:val="none" w:sz="0" w:space="0" w:color="auto"/>
        <w:left w:val="none" w:sz="0" w:space="0" w:color="auto"/>
        <w:bottom w:val="none" w:sz="0" w:space="0" w:color="auto"/>
        <w:right w:val="none" w:sz="0" w:space="0" w:color="auto"/>
      </w:divBdr>
      <w:divsChild>
        <w:div w:id="135896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763073">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065870">
          <w:blockQuote w:val="1"/>
          <w:marLeft w:val="720"/>
          <w:marRight w:val="720"/>
          <w:marTop w:val="100"/>
          <w:marBottom w:val="100"/>
          <w:divBdr>
            <w:top w:val="none" w:sz="0" w:space="0" w:color="auto"/>
            <w:left w:val="none" w:sz="0" w:space="0" w:color="auto"/>
            <w:bottom w:val="none" w:sz="0" w:space="0" w:color="auto"/>
            <w:right w:val="none" w:sz="0" w:space="0" w:color="auto"/>
          </w:divBdr>
        </w:div>
        <w:div w:id="2247311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9358336">
      <w:bodyDiv w:val="1"/>
      <w:marLeft w:val="0"/>
      <w:marRight w:val="0"/>
      <w:marTop w:val="0"/>
      <w:marBottom w:val="0"/>
      <w:divBdr>
        <w:top w:val="none" w:sz="0" w:space="0" w:color="auto"/>
        <w:left w:val="none" w:sz="0" w:space="0" w:color="auto"/>
        <w:bottom w:val="none" w:sz="0" w:space="0" w:color="auto"/>
        <w:right w:val="none" w:sz="0" w:space="0" w:color="auto"/>
      </w:divBdr>
    </w:div>
    <w:div w:id="1030883346">
      <w:bodyDiv w:val="1"/>
      <w:marLeft w:val="0"/>
      <w:marRight w:val="0"/>
      <w:marTop w:val="0"/>
      <w:marBottom w:val="0"/>
      <w:divBdr>
        <w:top w:val="none" w:sz="0" w:space="0" w:color="auto"/>
        <w:left w:val="none" w:sz="0" w:space="0" w:color="auto"/>
        <w:bottom w:val="none" w:sz="0" w:space="0" w:color="auto"/>
        <w:right w:val="none" w:sz="0" w:space="0" w:color="auto"/>
      </w:divBdr>
    </w:div>
    <w:div w:id="1032995268">
      <w:bodyDiv w:val="1"/>
      <w:marLeft w:val="0"/>
      <w:marRight w:val="0"/>
      <w:marTop w:val="0"/>
      <w:marBottom w:val="0"/>
      <w:divBdr>
        <w:top w:val="none" w:sz="0" w:space="0" w:color="auto"/>
        <w:left w:val="none" w:sz="0" w:space="0" w:color="auto"/>
        <w:bottom w:val="none" w:sz="0" w:space="0" w:color="auto"/>
        <w:right w:val="none" w:sz="0" w:space="0" w:color="auto"/>
      </w:divBdr>
      <w:divsChild>
        <w:div w:id="2121025385">
          <w:blockQuote w:val="1"/>
          <w:marLeft w:val="720"/>
          <w:marRight w:val="720"/>
          <w:marTop w:val="100"/>
          <w:marBottom w:val="100"/>
          <w:divBdr>
            <w:top w:val="none" w:sz="0" w:space="0" w:color="auto"/>
            <w:left w:val="none" w:sz="0" w:space="0" w:color="auto"/>
            <w:bottom w:val="none" w:sz="0" w:space="0" w:color="auto"/>
            <w:right w:val="none" w:sz="0" w:space="0" w:color="auto"/>
          </w:divBdr>
        </w:div>
        <w:div w:id="839806367">
          <w:blockQuote w:val="1"/>
          <w:marLeft w:val="720"/>
          <w:marRight w:val="720"/>
          <w:marTop w:val="100"/>
          <w:marBottom w:val="100"/>
          <w:divBdr>
            <w:top w:val="none" w:sz="0" w:space="0" w:color="auto"/>
            <w:left w:val="none" w:sz="0" w:space="0" w:color="auto"/>
            <w:bottom w:val="none" w:sz="0" w:space="0" w:color="auto"/>
            <w:right w:val="none" w:sz="0" w:space="0" w:color="auto"/>
          </w:divBdr>
        </w:div>
        <w:div w:id="533421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310766">
          <w:blockQuote w:val="1"/>
          <w:marLeft w:val="720"/>
          <w:marRight w:val="720"/>
          <w:marTop w:val="100"/>
          <w:marBottom w:val="100"/>
          <w:divBdr>
            <w:top w:val="none" w:sz="0" w:space="0" w:color="auto"/>
            <w:left w:val="none" w:sz="0" w:space="0" w:color="auto"/>
            <w:bottom w:val="none" w:sz="0" w:space="0" w:color="auto"/>
            <w:right w:val="none" w:sz="0" w:space="0" w:color="auto"/>
          </w:divBdr>
        </w:div>
        <w:div w:id="423494466">
          <w:blockQuote w:val="1"/>
          <w:marLeft w:val="720"/>
          <w:marRight w:val="720"/>
          <w:marTop w:val="100"/>
          <w:marBottom w:val="100"/>
          <w:divBdr>
            <w:top w:val="none" w:sz="0" w:space="0" w:color="auto"/>
            <w:left w:val="none" w:sz="0" w:space="0" w:color="auto"/>
            <w:bottom w:val="none" w:sz="0" w:space="0" w:color="auto"/>
            <w:right w:val="none" w:sz="0" w:space="0" w:color="auto"/>
          </w:divBdr>
        </w:div>
        <w:div w:id="96006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3534710">
      <w:bodyDiv w:val="1"/>
      <w:marLeft w:val="0"/>
      <w:marRight w:val="0"/>
      <w:marTop w:val="0"/>
      <w:marBottom w:val="0"/>
      <w:divBdr>
        <w:top w:val="none" w:sz="0" w:space="0" w:color="auto"/>
        <w:left w:val="none" w:sz="0" w:space="0" w:color="auto"/>
        <w:bottom w:val="none" w:sz="0" w:space="0" w:color="auto"/>
        <w:right w:val="none" w:sz="0" w:space="0" w:color="auto"/>
      </w:divBdr>
    </w:div>
    <w:div w:id="1046369573">
      <w:bodyDiv w:val="1"/>
      <w:marLeft w:val="0"/>
      <w:marRight w:val="0"/>
      <w:marTop w:val="0"/>
      <w:marBottom w:val="0"/>
      <w:divBdr>
        <w:top w:val="none" w:sz="0" w:space="0" w:color="auto"/>
        <w:left w:val="none" w:sz="0" w:space="0" w:color="auto"/>
        <w:bottom w:val="none" w:sz="0" w:space="0" w:color="auto"/>
        <w:right w:val="none" w:sz="0" w:space="0" w:color="auto"/>
      </w:divBdr>
      <w:divsChild>
        <w:div w:id="19449955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0109234">
      <w:bodyDiv w:val="1"/>
      <w:marLeft w:val="0"/>
      <w:marRight w:val="0"/>
      <w:marTop w:val="0"/>
      <w:marBottom w:val="0"/>
      <w:divBdr>
        <w:top w:val="none" w:sz="0" w:space="0" w:color="auto"/>
        <w:left w:val="none" w:sz="0" w:space="0" w:color="auto"/>
        <w:bottom w:val="none" w:sz="0" w:space="0" w:color="auto"/>
        <w:right w:val="none" w:sz="0" w:space="0" w:color="auto"/>
      </w:divBdr>
    </w:div>
    <w:div w:id="1050611036">
      <w:bodyDiv w:val="1"/>
      <w:marLeft w:val="0"/>
      <w:marRight w:val="0"/>
      <w:marTop w:val="0"/>
      <w:marBottom w:val="0"/>
      <w:divBdr>
        <w:top w:val="none" w:sz="0" w:space="0" w:color="auto"/>
        <w:left w:val="none" w:sz="0" w:space="0" w:color="auto"/>
        <w:bottom w:val="none" w:sz="0" w:space="0" w:color="auto"/>
        <w:right w:val="none" w:sz="0" w:space="0" w:color="auto"/>
      </w:divBdr>
    </w:div>
    <w:div w:id="1051995893">
      <w:bodyDiv w:val="1"/>
      <w:marLeft w:val="0"/>
      <w:marRight w:val="0"/>
      <w:marTop w:val="0"/>
      <w:marBottom w:val="0"/>
      <w:divBdr>
        <w:top w:val="none" w:sz="0" w:space="0" w:color="auto"/>
        <w:left w:val="none" w:sz="0" w:space="0" w:color="auto"/>
        <w:bottom w:val="none" w:sz="0" w:space="0" w:color="auto"/>
        <w:right w:val="none" w:sz="0" w:space="0" w:color="auto"/>
      </w:divBdr>
    </w:div>
    <w:div w:id="1052971490">
      <w:bodyDiv w:val="1"/>
      <w:marLeft w:val="0"/>
      <w:marRight w:val="0"/>
      <w:marTop w:val="0"/>
      <w:marBottom w:val="0"/>
      <w:divBdr>
        <w:top w:val="none" w:sz="0" w:space="0" w:color="auto"/>
        <w:left w:val="none" w:sz="0" w:space="0" w:color="auto"/>
        <w:bottom w:val="none" w:sz="0" w:space="0" w:color="auto"/>
        <w:right w:val="none" w:sz="0" w:space="0" w:color="auto"/>
      </w:divBdr>
    </w:div>
    <w:div w:id="1055662167">
      <w:bodyDiv w:val="1"/>
      <w:marLeft w:val="0"/>
      <w:marRight w:val="0"/>
      <w:marTop w:val="0"/>
      <w:marBottom w:val="0"/>
      <w:divBdr>
        <w:top w:val="none" w:sz="0" w:space="0" w:color="auto"/>
        <w:left w:val="none" w:sz="0" w:space="0" w:color="auto"/>
        <w:bottom w:val="none" w:sz="0" w:space="0" w:color="auto"/>
        <w:right w:val="none" w:sz="0" w:space="0" w:color="auto"/>
      </w:divBdr>
    </w:div>
    <w:div w:id="1057317073">
      <w:bodyDiv w:val="1"/>
      <w:marLeft w:val="0"/>
      <w:marRight w:val="0"/>
      <w:marTop w:val="0"/>
      <w:marBottom w:val="0"/>
      <w:divBdr>
        <w:top w:val="none" w:sz="0" w:space="0" w:color="auto"/>
        <w:left w:val="none" w:sz="0" w:space="0" w:color="auto"/>
        <w:bottom w:val="none" w:sz="0" w:space="0" w:color="auto"/>
        <w:right w:val="none" w:sz="0" w:space="0" w:color="auto"/>
      </w:divBdr>
    </w:div>
    <w:div w:id="1058700011">
      <w:bodyDiv w:val="1"/>
      <w:marLeft w:val="0"/>
      <w:marRight w:val="0"/>
      <w:marTop w:val="0"/>
      <w:marBottom w:val="0"/>
      <w:divBdr>
        <w:top w:val="none" w:sz="0" w:space="0" w:color="auto"/>
        <w:left w:val="none" w:sz="0" w:space="0" w:color="auto"/>
        <w:bottom w:val="none" w:sz="0" w:space="0" w:color="auto"/>
        <w:right w:val="none" w:sz="0" w:space="0" w:color="auto"/>
      </w:divBdr>
    </w:div>
    <w:div w:id="1062677471">
      <w:bodyDiv w:val="1"/>
      <w:marLeft w:val="0"/>
      <w:marRight w:val="0"/>
      <w:marTop w:val="0"/>
      <w:marBottom w:val="0"/>
      <w:divBdr>
        <w:top w:val="none" w:sz="0" w:space="0" w:color="auto"/>
        <w:left w:val="none" w:sz="0" w:space="0" w:color="auto"/>
        <w:bottom w:val="none" w:sz="0" w:space="0" w:color="auto"/>
        <w:right w:val="none" w:sz="0" w:space="0" w:color="auto"/>
      </w:divBdr>
    </w:div>
    <w:div w:id="1063143800">
      <w:bodyDiv w:val="1"/>
      <w:marLeft w:val="0"/>
      <w:marRight w:val="0"/>
      <w:marTop w:val="0"/>
      <w:marBottom w:val="0"/>
      <w:divBdr>
        <w:top w:val="none" w:sz="0" w:space="0" w:color="auto"/>
        <w:left w:val="none" w:sz="0" w:space="0" w:color="auto"/>
        <w:bottom w:val="none" w:sz="0" w:space="0" w:color="auto"/>
        <w:right w:val="none" w:sz="0" w:space="0" w:color="auto"/>
      </w:divBdr>
      <w:divsChild>
        <w:div w:id="6487493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4448216">
      <w:bodyDiv w:val="1"/>
      <w:marLeft w:val="0"/>
      <w:marRight w:val="0"/>
      <w:marTop w:val="0"/>
      <w:marBottom w:val="0"/>
      <w:divBdr>
        <w:top w:val="none" w:sz="0" w:space="0" w:color="auto"/>
        <w:left w:val="none" w:sz="0" w:space="0" w:color="auto"/>
        <w:bottom w:val="none" w:sz="0" w:space="0" w:color="auto"/>
        <w:right w:val="none" w:sz="0" w:space="0" w:color="auto"/>
      </w:divBdr>
    </w:div>
    <w:div w:id="1065493750">
      <w:bodyDiv w:val="1"/>
      <w:marLeft w:val="0"/>
      <w:marRight w:val="0"/>
      <w:marTop w:val="0"/>
      <w:marBottom w:val="0"/>
      <w:divBdr>
        <w:top w:val="none" w:sz="0" w:space="0" w:color="auto"/>
        <w:left w:val="none" w:sz="0" w:space="0" w:color="auto"/>
        <w:bottom w:val="none" w:sz="0" w:space="0" w:color="auto"/>
        <w:right w:val="none" w:sz="0" w:space="0" w:color="auto"/>
      </w:divBdr>
    </w:div>
    <w:div w:id="1068310803">
      <w:bodyDiv w:val="1"/>
      <w:marLeft w:val="0"/>
      <w:marRight w:val="0"/>
      <w:marTop w:val="0"/>
      <w:marBottom w:val="0"/>
      <w:divBdr>
        <w:top w:val="none" w:sz="0" w:space="0" w:color="auto"/>
        <w:left w:val="none" w:sz="0" w:space="0" w:color="auto"/>
        <w:bottom w:val="none" w:sz="0" w:space="0" w:color="auto"/>
        <w:right w:val="none" w:sz="0" w:space="0" w:color="auto"/>
      </w:divBdr>
    </w:div>
    <w:div w:id="1073159049">
      <w:bodyDiv w:val="1"/>
      <w:marLeft w:val="0"/>
      <w:marRight w:val="0"/>
      <w:marTop w:val="0"/>
      <w:marBottom w:val="0"/>
      <w:divBdr>
        <w:top w:val="none" w:sz="0" w:space="0" w:color="auto"/>
        <w:left w:val="none" w:sz="0" w:space="0" w:color="auto"/>
        <w:bottom w:val="none" w:sz="0" w:space="0" w:color="auto"/>
        <w:right w:val="none" w:sz="0" w:space="0" w:color="auto"/>
      </w:divBdr>
    </w:div>
    <w:div w:id="1077093701">
      <w:bodyDiv w:val="1"/>
      <w:marLeft w:val="0"/>
      <w:marRight w:val="0"/>
      <w:marTop w:val="0"/>
      <w:marBottom w:val="0"/>
      <w:divBdr>
        <w:top w:val="none" w:sz="0" w:space="0" w:color="auto"/>
        <w:left w:val="none" w:sz="0" w:space="0" w:color="auto"/>
        <w:bottom w:val="none" w:sz="0" w:space="0" w:color="auto"/>
        <w:right w:val="none" w:sz="0" w:space="0" w:color="auto"/>
      </w:divBdr>
    </w:div>
    <w:div w:id="1081947870">
      <w:bodyDiv w:val="1"/>
      <w:marLeft w:val="0"/>
      <w:marRight w:val="0"/>
      <w:marTop w:val="0"/>
      <w:marBottom w:val="0"/>
      <w:divBdr>
        <w:top w:val="none" w:sz="0" w:space="0" w:color="auto"/>
        <w:left w:val="none" w:sz="0" w:space="0" w:color="auto"/>
        <w:bottom w:val="none" w:sz="0" w:space="0" w:color="auto"/>
        <w:right w:val="none" w:sz="0" w:space="0" w:color="auto"/>
      </w:divBdr>
    </w:div>
    <w:div w:id="1082682510">
      <w:bodyDiv w:val="1"/>
      <w:marLeft w:val="0"/>
      <w:marRight w:val="0"/>
      <w:marTop w:val="0"/>
      <w:marBottom w:val="0"/>
      <w:divBdr>
        <w:top w:val="none" w:sz="0" w:space="0" w:color="auto"/>
        <w:left w:val="none" w:sz="0" w:space="0" w:color="auto"/>
        <w:bottom w:val="none" w:sz="0" w:space="0" w:color="auto"/>
        <w:right w:val="none" w:sz="0" w:space="0" w:color="auto"/>
      </w:divBdr>
    </w:div>
    <w:div w:id="1084183025">
      <w:bodyDiv w:val="1"/>
      <w:marLeft w:val="0"/>
      <w:marRight w:val="0"/>
      <w:marTop w:val="0"/>
      <w:marBottom w:val="0"/>
      <w:divBdr>
        <w:top w:val="none" w:sz="0" w:space="0" w:color="auto"/>
        <w:left w:val="none" w:sz="0" w:space="0" w:color="auto"/>
        <w:bottom w:val="none" w:sz="0" w:space="0" w:color="auto"/>
        <w:right w:val="none" w:sz="0" w:space="0" w:color="auto"/>
      </w:divBdr>
    </w:div>
    <w:div w:id="1087460879">
      <w:bodyDiv w:val="1"/>
      <w:marLeft w:val="0"/>
      <w:marRight w:val="0"/>
      <w:marTop w:val="0"/>
      <w:marBottom w:val="0"/>
      <w:divBdr>
        <w:top w:val="none" w:sz="0" w:space="0" w:color="auto"/>
        <w:left w:val="none" w:sz="0" w:space="0" w:color="auto"/>
        <w:bottom w:val="none" w:sz="0" w:space="0" w:color="auto"/>
        <w:right w:val="none" w:sz="0" w:space="0" w:color="auto"/>
      </w:divBdr>
    </w:div>
    <w:div w:id="1090663048">
      <w:bodyDiv w:val="1"/>
      <w:marLeft w:val="0"/>
      <w:marRight w:val="0"/>
      <w:marTop w:val="0"/>
      <w:marBottom w:val="0"/>
      <w:divBdr>
        <w:top w:val="none" w:sz="0" w:space="0" w:color="auto"/>
        <w:left w:val="none" w:sz="0" w:space="0" w:color="auto"/>
        <w:bottom w:val="none" w:sz="0" w:space="0" w:color="auto"/>
        <w:right w:val="none" w:sz="0" w:space="0" w:color="auto"/>
      </w:divBdr>
    </w:div>
    <w:div w:id="1093357373">
      <w:bodyDiv w:val="1"/>
      <w:marLeft w:val="0"/>
      <w:marRight w:val="0"/>
      <w:marTop w:val="0"/>
      <w:marBottom w:val="0"/>
      <w:divBdr>
        <w:top w:val="none" w:sz="0" w:space="0" w:color="auto"/>
        <w:left w:val="none" w:sz="0" w:space="0" w:color="auto"/>
        <w:bottom w:val="none" w:sz="0" w:space="0" w:color="auto"/>
        <w:right w:val="none" w:sz="0" w:space="0" w:color="auto"/>
      </w:divBdr>
    </w:div>
    <w:div w:id="1101951794">
      <w:bodyDiv w:val="1"/>
      <w:marLeft w:val="0"/>
      <w:marRight w:val="0"/>
      <w:marTop w:val="0"/>
      <w:marBottom w:val="0"/>
      <w:divBdr>
        <w:top w:val="none" w:sz="0" w:space="0" w:color="auto"/>
        <w:left w:val="none" w:sz="0" w:space="0" w:color="auto"/>
        <w:bottom w:val="none" w:sz="0" w:space="0" w:color="auto"/>
        <w:right w:val="none" w:sz="0" w:space="0" w:color="auto"/>
      </w:divBdr>
    </w:div>
    <w:div w:id="1104349948">
      <w:bodyDiv w:val="1"/>
      <w:marLeft w:val="0"/>
      <w:marRight w:val="0"/>
      <w:marTop w:val="0"/>
      <w:marBottom w:val="0"/>
      <w:divBdr>
        <w:top w:val="none" w:sz="0" w:space="0" w:color="auto"/>
        <w:left w:val="none" w:sz="0" w:space="0" w:color="auto"/>
        <w:bottom w:val="none" w:sz="0" w:space="0" w:color="auto"/>
        <w:right w:val="none" w:sz="0" w:space="0" w:color="auto"/>
      </w:divBdr>
      <w:divsChild>
        <w:div w:id="406266634">
          <w:marLeft w:val="0"/>
          <w:marRight w:val="0"/>
          <w:marTop w:val="0"/>
          <w:marBottom w:val="0"/>
          <w:divBdr>
            <w:top w:val="none" w:sz="0" w:space="0" w:color="auto"/>
            <w:left w:val="none" w:sz="0" w:space="0" w:color="auto"/>
            <w:bottom w:val="none" w:sz="0" w:space="0" w:color="auto"/>
            <w:right w:val="none" w:sz="0" w:space="0" w:color="auto"/>
          </w:divBdr>
          <w:divsChild>
            <w:div w:id="196353270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2042732">
              <w:blockQuote w:val="1"/>
              <w:marLeft w:val="720"/>
              <w:marRight w:val="720"/>
              <w:marTop w:val="100"/>
              <w:marBottom w:val="100"/>
              <w:divBdr>
                <w:top w:val="none" w:sz="0" w:space="0" w:color="auto"/>
                <w:left w:val="none" w:sz="0" w:space="0" w:color="auto"/>
                <w:bottom w:val="none" w:sz="0" w:space="0" w:color="auto"/>
                <w:right w:val="none" w:sz="0" w:space="0" w:color="auto"/>
              </w:divBdr>
            </w:div>
            <w:div w:id="1330207842">
              <w:blockQuote w:val="1"/>
              <w:marLeft w:val="720"/>
              <w:marRight w:val="720"/>
              <w:marTop w:val="100"/>
              <w:marBottom w:val="100"/>
              <w:divBdr>
                <w:top w:val="none" w:sz="0" w:space="0" w:color="auto"/>
                <w:left w:val="none" w:sz="0" w:space="0" w:color="auto"/>
                <w:bottom w:val="none" w:sz="0" w:space="0" w:color="auto"/>
                <w:right w:val="none" w:sz="0" w:space="0" w:color="auto"/>
              </w:divBdr>
            </w:div>
            <w:div w:id="857696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797710">
              <w:blockQuote w:val="1"/>
              <w:marLeft w:val="720"/>
              <w:marRight w:val="720"/>
              <w:marTop w:val="100"/>
              <w:marBottom w:val="100"/>
              <w:divBdr>
                <w:top w:val="none" w:sz="0" w:space="0" w:color="auto"/>
                <w:left w:val="none" w:sz="0" w:space="0" w:color="auto"/>
                <w:bottom w:val="none" w:sz="0" w:space="0" w:color="auto"/>
                <w:right w:val="none" w:sz="0" w:space="0" w:color="auto"/>
              </w:divBdr>
            </w:div>
            <w:div w:id="785075978">
              <w:blockQuote w:val="1"/>
              <w:marLeft w:val="720"/>
              <w:marRight w:val="720"/>
              <w:marTop w:val="100"/>
              <w:marBottom w:val="100"/>
              <w:divBdr>
                <w:top w:val="none" w:sz="0" w:space="0" w:color="auto"/>
                <w:left w:val="none" w:sz="0" w:space="0" w:color="auto"/>
                <w:bottom w:val="none" w:sz="0" w:space="0" w:color="auto"/>
                <w:right w:val="none" w:sz="0" w:space="0" w:color="auto"/>
              </w:divBdr>
            </w:div>
            <w:div w:id="1598251981">
              <w:blockQuote w:val="1"/>
              <w:marLeft w:val="720"/>
              <w:marRight w:val="720"/>
              <w:marTop w:val="100"/>
              <w:marBottom w:val="100"/>
              <w:divBdr>
                <w:top w:val="none" w:sz="0" w:space="0" w:color="auto"/>
                <w:left w:val="none" w:sz="0" w:space="0" w:color="auto"/>
                <w:bottom w:val="none" w:sz="0" w:space="0" w:color="auto"/>
                <w:right w:val="none" w:sz="0" w:space="0" w:color="auto"/>
              </w:divBdr>
            </w:div>
            <w:div w:id="1386030114">
              <w:blockQuote w:val="1"/>
              <w:marLeft w:val="720"/>
              <w:marRight w:val="720"/>
              <w:marTop w:val="100"/>
              <w:marBottom w:val="100"/>
              <w:divBdr>
                <w:top w:val="none" w:sz="0" w:space="0" w:color="auto"/>
                <w:left w:val="none" w:sz="0" w:space="0" w:color="auto"/>
                <w:bottom w:val="none" w:sz="0" w:space="0" w:color="auto"/>
                <w:right w:val="none" w:sz="0" w:space="0" w:color="auto"/>
              </w:divBdr>
            </w:div>
            <w:div w:id="911541821">
              <w:blockQuote w:val="1"/>
              <w:marLeft w:val="720"/>
              <w:marRight w:val="720"/>
              <w:marTop w:val="100"/>
              <w:marBottom w:val="100"/>
              <w:divBdr>
                <w:top w:val="none" w:sz="0" w:space="0" w:color="auto"/>
                <w:left w:val="none" w:sz="0" w:space="0" w:color="auto"/>
                <w:bottom w:val="none" w:sz="0" w:space="0" w:color="auto"/>
                <w:right w:val="none" w:sz="0" w:space="0" w:color="auto"/>
              </w:divBdr>
            </w:div>
            <w:div w:id="13358415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05341396">
      <w:bodyDiv w:val="1"/>
      <w:marLeft w:val="0"/>
      <w:marRight w:val="0"/>
      <w:marTop w:val="0"/>
      <w:marBottom w:val="0"/>
      <w:divBdr>
        <w:top w:val="none" w:sz="0" w:space="0" w:color="auto"/>
        <w:left w:val="none" w:sz="0" w:space="0" w:color="auto"/>
        <w:bottom w:val="none" w:sz="0" w:space="0" w:color="auto"/>
        <w:right w:val="none" w:sz="0" w:space="0" w:color="auto"/>
      </w:divBdr>
    </w:div>
    <w:div w:id="1106269987">
      <w:bodyDiv w:val="1"/>
      <w:marLeft w:val="0"/>
      <w:marRight w:val="0"/>
      <w:marTop w:val="0"/>
      <w:marBottom w:val="0"/>
      <w:divBdr>
        <w:top w:val="none" w:sz="0" w:space="0" w:color="auto"/>
        <w:left w:val="none" w:sz="0" w:space="0" w:color="auto"/>
        <w:bottom w:val="none" w:sz="0" w:space="0" w:color="auto"/>
        <w:right w:val="none" w:sz="0" w:space="0" w:color="auto"/>
      </w:divBdr>
    </w:div>
    <w:div w:id="1107965013">
      <w:bodyDiv w:val="1"/>
      <w:marLeft w:val="0"/>
      <w:marRight w:val="0"/>
      <w:marTop w:val="0"/>
      <w:marBottom w:val="0"/>
      <w:divBdr>
        <w:top w:val="none" w:sz="0" w:space="0" w:color="auto"/>
        <w:left w:val="none" w:sz="0" w:space="0" w:color="auto"/>
        <w:bottom w:val="none" w:sz="0" w:space="0" w:color="auto"/>
        <w:right w:val="none" w:sz="0" w:space="0" w:color="auto"/>
      </w:divBdr>
    </w:div>
    <w:div w:id="1113204320">
      <w:bodyDiv w:val="1"/>
      <w:marLeft w:val="0"/>
      <w:marRight w:val="0"/>
      <w:marTop w:val="0"/>
      <w:marBottom w:val="0"/>
      <w:divBdr>
        <w:top w:val="none" w:sz="0" w:space="0" w:color="auto"/>
        <w:left w:val="none" w:sz="0" w:space="0" w:color="auto"/>
        <w:bottom w:val="none" w:sz="0" w:space="0" w:color="auto"/>
        <w:right w:val="none" w:sz="0" w:space="0" w:color="auto"/>
      </w:divBdr>
    </w:div>
    <w:div w:id="1117528905">
      <w:bodyDiv w:val="1"/>
      <w:marLeft w:val="0"/>
      <w:marRight w:val="0"/>
      <w:marTop w:val="0"/>
      <w:marBottom w:val="0"/>
      <w:divBdr>
        <w:top w:val="none" w:sz="0" w:space="0" w:color="auto"/>
        <w:left w:val="none" w:sz="0" w:space="0" w:color="auto"/>
        <w:bottom w:val="none" w:sz="0" w:space="0" w:color="auto"/>
        <w:right w:val="none" w:sz="0" w:space="0" w:color="auto"/>
      </w:divBdr>
    </w:div>
    <w:div w:id="1118380731">
      <w:bodyDiv w:val="1"/>
      <w:marLeft w:val="0"/>
      <w:marRight w:val="0"/>
      <w:marTop w:val="0"/>
      <w:marBottom w:val="0"/>
      <w:divBdr>
        <w:top w:val="none" w:sz="0" w:space="0" w:color="auto"/>
        <w:left w:val="none" w:sz="0" w:space="0" w:color="auto"/>
        <w:bottom w:val="none" w:sz="0" w:space="0" w:color="auto"/>
        <w:right w:val="none" w:sz="0" w:space="0" w:color="auto"/>
      </w:divBdr>
      <w:divsChild>
        <w:div w:id="6349859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0033585">
      <w:bodyDiv w:val="1"/>
      <w:marLeft w:val="0"/>
      <w:marRight w:val="0"/>
      <w:marTop w:val="0"/>
      <w:marBottom w:val="0"/>
      <w:divBdr>
        <w:top w:val="none" w:sz="0" w:space="0" w:color="auto"/>
        <w:left w:val="none" w:sz="0" w:space="0" w:color="auto"/>
        <w:bottom w:val="none" w:sz="0" w:space="0" w:color="auto"/>
        <w:right w:val="none" w:sz="0" w:space="0" w:color="auto"/>
      </w:divBdr>
    </w:div>
    <w:div w:id="1129325665">
      <w:bodyDiv w:val="1"/>
      <w:marLeft w:val="0"/>
      <w:marRight w:val="0"/>
      <w:marTop w:val="0"/>
      <w:marBottom w:val="0"/>
      <w:divBdr>
        <w:top w:val="none" w:sz="0" w:space="0" w:color="auto"/>
        <w:left w:val="none" w:sz="0" w:space="0" w:color="auto"/>
        <w:bottom w:val="none" w:sz="0" w:space="0" w:color="auto"/>
        <w:right w:val="none" w:sz="0" w:space="0" w:color="auto"/>
      </w:divBdr>
    </w:div>
    <w:div w:id="1129591149">
      <w:bodyDiv w:val="1"/>
      <w:marLeft w:val="0"/>
      <w:marRight w:val="0"/>
      <w:marTop w:val="0"/>
      <w:marBottom w:val="0"/>
      <w:divBdr>
        <w:top w:val="none" w:sz="0" w:space="0" w:color="auto"/>
        <w:left w:val="none" w:sz="0" w:space="0" w:color="auto"/>
        <w:bottom w:val="none" w:sz="0" w:space="0" w:color="auto"/>
        <w:right w:val="none" w:sz="0" w:space="0" w:color="auto"/>
      </w:divBdr>
    </w:div>
    <w:div w:id="1138641955">
      <w:bodyDiv w:val="1"/>
      <w:marLeft w:val="0"/>
      <w:marRight w:val="0"/>
      <w:marTop w:val="0"/>
      <w:marBottom w:val="0"/>
      <w:divBdr>
        <w:top w:val="none" w:sz="0" w:space="0" w:color="auto"/>
        <w:left w:val="none" w:sz="0" w:space="0" w:color="auto"/>
        <w:bottom w:val="none" w:sz="0" w:space="0" w:color="auto"/>
        <w:right w:val="none" w:sz="0" w:space="0" w:color="auto"/>
      </w:divBdr>
    </w:div>
    <w:div w:id="1157041123">
      <w:bodyDiv w:val="1"/>
      <w:marLeft w:val="0"/>
      <w:marRight w:val="0"/>
      <w:marTop w:val="0"/>
      <w:marBottom w:val="0"/>
      <w:divBdr>
        <w:top w:val="none" w:sz="0" w:space="0" w:color="auto"/>
        <w:left w:val="none" w:sz="0" w:space="0" w:color="auto"/>
        <w:bottom w:val="none" w:sz="0" w:space="0" w:color="auto"/>
        <w:right w:val="none" w:sz="0" w:space="0" w:color="auto"/>
      </w:divBdr>
    </w:div>
    <w:div w:id="1166507028">
      <w:bodyDiv w:val="1"/>
      <w:marLeft w:val="0"/>
      <w:marRight w:val="0"/>
      <w:marTop w:val="0"/>
      <w:marBottom w:val="0"/>
      <w:divBdr>
        <w:top w:val="none" w:sz="0" w:space="0" w:color="auto"/>
        <w:left w:val="none" w:sz="0" w:space="0" w:color="auto"/>
        <w:bottom w:val="none" w:sz="0" w:space="0" w:color="auto"/>
        <w:right w:val="none" w:sz="0" w:space="0" w:color="auto"/>
      </w:divBdr>
    </w:div>
    <w:div w:id="1167591725">
      <w:bodyDiv w:val="1"/>
      <w:marLeft w:val="0"/>
      <w:marRight w:val="0"/>
      <w:marTop w:val="0"/>
      <w:marBottom w:val="0"/>
      <w:divBdr>
        <w:top w:val="none" w:sz="0" w:space="0" w:color="auto"/>
        <w:left w:val="none" w:sz="0" w:space="0" w:color="auto"/>
        <w:bottom w:val="none" w:sz="0" w:space="0" w:color="auto"/>
        <w:right w:val="none" w:sz="0" w:space="0" w:color="auto"/>
      </w:divBdr>
    </w:div>
    <w:div w:id="1167984517">
      <w:bodyDiv w:val="1"/>
      <w:marLeft w:val="0"/>
      <w:marRight w:val="0"/>
      <w:marTop w:val="0"/>
      <w:marBottom w:val="0"/>
      <w:divBdr>
        <w:top w:val="none" w:sz="0" w:space="0" w:color="auto"/>
        <w:left w:val="none" w:sz="0" w:space="0" w:color="auto"/>
        <w:bottom w:val="none" w:sz="0" w:space="0" w:color="auto"/>
        <w:right w:val="none" w:sz="0" w:space="0" w:color="auto"/>
      </w:divBdr>
    </w:div>
    <w:div w:id="1175339032">
      <w:bodyDiv w:val="1"/>
      <w:marLeft w:val="0"/>
      <w:marRight w:val="0"/>
      <w:marTop w:val="0"/>
      <w:marBottom w:val="0"/>
      <w:divBdr>
        <w:top w:val="none" w:sz="0" w:space="0" w:color="auto"/>
        <w:left w:val="none" w:sz="0" w:space="0" w:color="auto"/>
        <w:bottom w:val="none" w:sz="0" w:space="0" w:color="auto"/>
        <w:right w:val="none" w:sz="0" w:space="0" w:color="auto"/>
      </w:divBdr>
    </w:div>
    <w:div w:id="1176000702">
      <w:bodyDiv w:val="1"/>
      <w:marLeft w:val="0"/>
      <w:marRight w:val="0"/>
      <w:marTop w:val="0"/>
      <w:marBottom w:val="0"/>
      <w:divBdr>
        <w:top w:val="none" w:sz="0" w:space="0" w:color="auto"/>
        <w:left w:val="none" w:sz="0" w:space="0" w:color="auto"/>
        <w:bottom w:val="none" w:sz="0" w:space="0" w:color="auto"/>
        <w:right w:val="none" w:sz="0" w:space="0" w:color="auto"/>
      </w:divBdr>
    </w:div>
    <w:div w:id="1180581422">
      <w:bodyDiv w:val="1"/>
      <w:marLeft w:val="0"/>
      <w:marRight w:val="0"/>
      <w:marTop w:val="0"/>
      <w:marBottom w:val="0"/>
      <w:divBdr>
        <w:top w:val="none" w:sz="0" w:space="0" w:color="auto"/>
        <w:left w:val="none" w:sz="0" w:space="0" w:color="auto"/>
        <w:bottom w:val="none" w:sz="0" w:space="0" w:color="auto"/>
        <w:right w:val="none" w:sz="0" w:space="0" w:color="auto"/>
      </w:divBdr>
    </w:div>
    <w:div w:id="1182738944">
      <w:bodyDiv w:val="1"/>
      <w:marLeft w:val="0"/>
      <w:marRight w:val="0"/>
      <w:marTop w:val="0"/>
      <w:marBottom w:val="0"/>
      <w:divBdr>
        <w:top w:val="none" w:sz="0" w:space="0" w:color="auto"/>
        <w:left w:val="none" w:sz="0" w:space="0" w:color="auto"/>
        <w:bottom w:val="none" w:sz="0" w:space="0" w:color="auto"/>
        <w:right w:val="none" w:sz="0" w:space="0" w:color="auto"/>
      </w:divBdr>
    </w:div>
    <w:div w:id="1183132794">
      <w:bodyDiv w:val="1"/>
      <w:marLeft w:val="0"/>
      <w:marRight w:val="0"/>
      <w:marTop w:val="0"/>
      <w:marBottom w:val="0"/>
      <w:divBdr>
        <w:top w:val="none" w:sz="0" w:space="0" w:color="auto"/>
        <w:left w:val="none" w:sz="0" w:space="0" w:color="auto"/>
        <w:bottom w:val="none" w:sz="0" w:space="0" w:color="auto"/>
        <w:right w:val="none" w:sz="0" w:space="0" w:color="auto"/>
      </w:divBdr>
      <w:divsChild>
        <w:div w:id="17456869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9275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6478485">
      <w:bodyDiv w:val="1"/>
      <w:marLeft w:val="0"/>
      <w:marRight w:val="0"/>
      <w:marTop w:val="0"/>
      <w:marBottom w:val="0"/>
      <w:divBdr>
        <w:top w:val="none" w:sz="0" w:space="0" w:color="auto"/>
        <w:left w:val="none" w:sz="0" w:space="0" w:color="auto"/>
        <w:bottom w:val="none" w:sz="0" w:space="0" w:color="auto"/>
        <w:right w:val="none" w:sz="0" w:space="0" w:color="auto"/>
      </w:divBdr>
    </w:div>
    <w:div w:id="1188062926">
      <w:bodyDiv w:val="1"/>
      <w:marLeft w:val="0"/>
      <w:marRight w:val="0"/>
      <w:marTop w:val="0"/>
      <w:marBottom w:val="0"/>
      <w:divBdr>
        <w:top w:val="none" w:sz="0" w:space="0" w:color="auto"/>
        <w:left w:val="none" w:sz="0" w:space="0" w:color="auto"/>
        <w:bottom w:val="none" w:sz="0" w:space="0" w:color="auto"/>
        <w:right w:val="none" w:sz="0" w:space="0" w:color="auto"/>
      </w:divBdr>
    </w:div>
    <w:div w:id="1188329189">
      <w:bodyDiv w:val="1"/>
      <w:marLeft w:val="0"/>
      <w:marRight w:val="0"/>
      <w:marTop w:val="0"/>
      <w:marBottom w:val="0"/>
      <w:divBdr>
        <w:top w:val="none" w:sz="0" w:space="0" w:color="auto"/>
        <w:left w:val="none" w:sz="0" w:space="0" w:color="auto"/>
        <w:bottom w:val="none" w:sz="0" w:space="0" w:color="auto"/>
        <w:right w:val="none" w:sz="0" w:space="0" w:color="auto"/>
      </w:divBdr>
    </w:div>
    <w:div w:id="1189106162">
      <w:bodyDiv w:val="1"/>
      <w:marLeft w:val="0"/>
      <w:marRight w:val="0"/>
      <w:marTop w:val="0"/>
      <w:marBottom w:val="0"/>
      <w:divBdr>
        <w:top w:val="none" w:sz="0" w:space="0" w:color="auto"/>
        <w:left w:val="none" w:sz="0" w:space="0" w:color="auto"/>
        <w:bottom w:val="none" w:sz="0" w:space="0" w:color="auto"/>
        <w:right w:val="none" w:sz="0" w:space="0" w:color="auto"/>
      </w:divBdr>
    </w:div>
    <w:div w:id="1200126352">
      <w:bodyDiv w:val="1"/>
      <w:marLeft w:val="0"/>
      <w:marRight w:val="0"/>
      <w:marTop w:val="0"/>
      <w:marBottom w:val="0"/>
      <w:divBdr>
        <w:top w:val="none" w:sz="0" w:space="0" w:color="auto"/>
        <w:left w:val="none" w:sz="0" w:space="0" w:color="auto"/>
        <w:bottom w:val="none" w:sz="0" w:space="0" w:color="auto"/>
        <w:right w:val="none" w:sz="0" w:space="0" w:color="auto"/>
      </w:divBdr>
      <w:divsChild>
        <w:div w:id="1278099144">
          <w:blockQuote w:val="1"/>
          <w:marLeft w:val="720"/>
          <w:marRight w:val="720"/>
          <w:marTop w:val="100"/>
          <w:marBottom w:val="100"/>
          <w:divBdr>
            <w:top w:val="none" w:sz="0" w:space="0" w:color="auto"/>
            <w:left w:val="none" w:sz="0" w:space="0" w:color="auto"/>
            <w:bottom w:val="none" w:sz="0" w:space="0" w:color="auto"/>
            <w:right w:val="none" w:sz="0" w:space="0" w:color="auto"/>
          </w:divBdr>
        </w:div>
        <w:div w:id="4079702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0897269">
      <w:bodyDiv w:val="1"/>
      <w:marLeft w:val="0"/>
      <w:marRight w:val="0"/>
      <w:marTop w:val="0"/>
      <w:marBottom w:val="0"/>
      <w:divBdr>
        <w:top w:val="none" w:sz="0" w:space="0" w:color="auto"/>
        <w:left w:val="none" w:sz="0" w:space="0" w:color="auto"/>
        <w:bottom w:val="none" w:sz="0" w:space="0" w:color="auto"/>
        <w:right w:val="none" w:sz="0" w:space="0" w:color="auto"/>
      </w:divBdr>
    </w:div>
    <w:div w:id="1201362169">
      <w:bodyDiv w:val="1"/>
      <w:marLeft w:val="0"/>
      <w:marRight w:val="0"/>
      <w:marTop w:val="0"/>
      <w:marBottom w:val="0"/>
      <w:divBdr>
        <w:top w:val="none" w:sz="0" w:space="0" w:color="auto"/>
        <w:left w:val="none" w:sz="0" w:space="0" w:color="auto"/>
        <w:bottom w:val="none" w:sz="0" w:space="0" w:color="auto"/>
        <w:right w:val="none" w:sz="0" w:space="0" w:color="auto"/>
      </w:divBdr>
    </w:div>
    <w:div w:id="1203785222">
      <w:bodyDiv w:val="1"/>
      <w:marLeft w:val="0"/>
      <w:marRight w:val="0"/>
      <w:marTop w:val="0"/>
      <w:marBottom w:val="0"/>
      <w:divBdr>
        <w:top w:val="none" w:sz="0" w:space="0" w:color="auto"/>
        <w:left w:val="none" w:sz="0" w:space="0" w:color="auto"/>
        <w:bottom w:val="none" w:sz="0" w:space="0" w:color="auto"/>
        <w:right w:val="none" w:sz="0" w:space="0" w:color="auto"/>
      </w:divBdr>
    </w:div>
    <w:div w:id="1212612865">
      <w:bodyDiv w:val="1"/>
      <w:marLeft w:val="0"/>
      <w:marRight w:val="0"/>
      <w:marTop w:val="0"/>
      <w:marBottom w:val="0"/>
      <w:divBdr>
        <w:top w:val="none" w:sz="0" w:space="0" w:color="auto"/>
        <w:left w:val="none" w:sz="0" w:space="0" w:color="auto"/>
        <w:bottom w:val="none" w:sz="0" w:space="0" w:color="auto"/>
        <w:right w:val="none" w:sz="0" w:space="0" w:color="auto"/>
      </w:divBdr>
      <w:divsChild>
        <w:div w:id="461928331">
          <w:blockQuote w:val="1"/>
          <w:marLeft w:val="720"/>
          <w:marRight w:val="720"/>
          <w:marTop w:val="100"/>
          <w:marBottom w:val="100"/>
          <w:divBdr>
            <w:top w:val="none" w:sz="0" w:space="0" w:color="auto"/>
            <w:left w:val="none" w:sz="0" w:space="0" w:color="auto"/>
            <w:bottom w:val="none" w:sz="0" w:space="0" w:color="auto"/>
            <w:right w:val="none" w:sz="0" w:space="0" w:color="auto"/>
          </w:divBdr>
        </w:div>
        <w:div w:id="808939606">
          <w:blockQuote w:val="1"/>
          <w:marLeft w:val="720"/>
          <w:marRight w:val="720"/>
          <w:marTop w:val="100"/>
          <w:marBottom w:val="100"/>
          <w:divBdr>
            <w:top w:val="none" w:sz="0" w:space="0" w:color="auto"/>
            <w:left w:val="none" w:sz="0" w:space="0" w:color="auto"/>
            <w:bottom w:val="none" w:sz="0" w:space="0" w:color="auto"/>
            <w:right w:val="none" w:sz="0" w:space="0" w:color="auto"/>
          </w:divBdr>
        </w:div>
        <w:div w:id="949313983">
          <w:blockQuote w:val="1"/>
          <w:marLeft w:val="720"/>
          <w:marRight w:val="720"/>
          <w:marTop w:val="100"/>
          <w:marBottom w:val="100"/>
          <w:divBdr>
            <w:top w:val="none" w:sz="0" w:space="0" w:color="auto"/>
            <w:left w:val="none" w:sz="0" w:space="0" w:color="auto"/>
            <w:bottom w:val="none" w:sz="0" w:space="0" w:color="auto"/>
            <w:right w:val="none" w:sz="0" w:space="0" w:color="auto"/>
          </w:divBdr>
        </w:div>
        <w:div w:id="222328157">
          <w:blockQuote w:val="1"/>
          <w:marLeft w:val="720"/>
          <w:marRight w:val="720"/>
          <w:marTop w:val="100"/>
          <w:marBottom w:val="100"/>
          <w:divBdr>
            <w:top w:val="none" w:sz="0" w:space="0" w:color="auto"/>
            <w:left w:val="none" w:sz="0" w:space="0" w:color="auto"/>
            <w:bottom w:val="none" w:sz="0" w:space="0" w:color="auto"/>
            <w:right w:val="none" w:sz="0" w:space="0" w:color="auto"/>
          </w:divBdr>
        </w:div>
        <w:div w:id="489636856">
          <w:blockQuote w:val="1"/>
          <w:marLeft w:val="720"/>
          <w:marRight w:val="720"/>
          <w:marTop w:val="100"/>
          <w:marBottom w:val="100"/>
          <w:divBdr>
            <w:top w:val="none" w:sz="0" w:space="0" w:color="auto"/>
            <w:left w:val="none" w:sz="0" w:space="0" w:color="auto"/>
            <w:bottom w:val="none" w:sz="0" w:space="0" w:color="auto"/>
            <w:right w:val="none" w:sz="0" w:space="0" w:color="auto"/>
          </w:divBdr>
        </w:div>
        <w:div w:id="609052420">
          <w:blockQuote w:val="1"/>
          <w:marLeft w:val="720"/>
          <w:marRight w:val="720"/>
          <w:marTop w:val="100"/>
          <w:marBottom w:val="100"/>
          <w:divBdr>
            <w:top w:val="none" w:sz="0" w:space="0" w:color="auto"/>
            <w:left w:val="none" w:sz="0" w:space="0" w:color="auto"/>
            <w:bottom w:val="none" w:sz="0" w:space="0" w:color="auto"/>
            <w:right w:val="none" w:sz="0" w:space="0" w:color="auto"/>
          </w:divBdr>
        </w:div>
        <w:div w:id="876504035">
          <w:blockQuote w:val="1"/>
          <w:marLeft w:val="720"/>
          <w:marRight w:val="720"/>
          <w:marTop w:val="100"/>
          <w:marBottom w:val="100"/>
          <w:divBdr>
            <w:top w:val="none" w:sz="0" w:space="0" w:color="auto"/>
            <w:left w:val="none" w:sz="0" w:space="0" w:color="auto"/>
            <w:bottom w:val="none" w:sz="0" w:space="0" w:color="auto"/>
            <w:right w:val="none" w:sz="0" w:space="0" w:color="auto"/>
          </w:divBdr>
        </w:div>
        <w:div w:id="454909556">
          <w:blockQuote w:val="1"/>
          <w:marLeft w:val="720"/>
          <w:marRight w:val="720"/>
          <w:marTop w:val="100"/>
          <w:marBottom w:val="100"/>
          <w:divBdr>
            <w:top w:val="none" w:sz="0" w:space="0" w:color="auto"/>
            <w:left w:val="none" w:sz="0" w:space="0" w:color="auto"/>
            <w:bottom w:val="none" w:sz="0" w:space="0" w:color="auto"/>
            <w:right w:val="none" w:sz="0" w:space="0" w:color="auto"/>
          </w:divBdr>
        </w:div>
        <w:div w:id="9846228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5771819">
      <w:bodyDiv w:val="1"/>
      <w:marLeft w:val="0"/>
      <w:marRight w:val="0"/>
      <w:marTop w:val="0"/>
      <w:marBottom w:val="0"/>
      <w:divBdr>
        <w:top w:val="none" w:sz="0" w:space="0" w:color="auto"/>
        <w:left w:val="none" w:sz="0" w:space="0" w:color="auto"/>
        <w:bottom w:val="none" w:sz="0" w:space="0" w:color="auto"/>
        <w:right w:val="none" w:sz="0" w:space="0" w:color="auto"/>
      </w:divBdr>
    </w:div>
    <w:div w:id="1215775500">
      <w:bodyDiv w:val="1"/>
      <w:marLeft w:val="0"/>
      <w:marRight w:val="0"/>
      <w:marTop w:val="0"/>
      <w:marBottom w:val="0"/>
      <w:divBdr>
        <w:top w:val="none" w:sz="0" w:space="0" w:color="auto"/>
        <w:left w:val="none" w:sz="0" w:space="0" w:color="auto"/>
        <w:bottom w:val="none" w:sz="0" w:space="0" w:color="auto"/>
        <w:right w:val="none" w:sz="0" w:space="0" w:color="auto"/>
      </w:divBdr>
    </w:div>
    <w:div w:id="1218934931">
      <w:bodyDiv w:val="1"/>
      <w:marLeft w:val="0"/>
      <w:marRight w:val="0"/>
      <w:marTop w:val="0"/>
      <w:marBottom w:val="0"/>
      <w:divBdr>
        <w:top w:val="none" w:sz="0" w:space="0" w:color="auto"/>
        <w:left w:val="none" w:sz="0" w:space="0" w:color="auto"/>
        <w:bottom w:val="none" w:sz="0" w:space="0" w:color="auto"/>
        <w:right w:val="none" w:sz="0" w:space="0" w:color="auto"/>
      </w:divBdr>
    </w:div>
    <w:div w:id="1219632093">
      <w:bodyDiv w:val="1"/>
      <w:marLeft w:val="0"/>
      <w:marRight w:val="0"/>
      <w:marTop w:val="0"/>
      <w:marBottom w:val="0"/>
      <w:divBdr>
        <w:top w:val="none" w:sz="0" w:space="0" w:color="auto"/>
        <w:left w:val="none" w:sz="0" w:space="0" w:color="auto"/>
        <w:bottom w:val="none" w:sz="0" w:space="0" w:color="auto"/>
        <w:right w:val="none" w:sz="0" w:space="0" w:color="auto"/>
      </w:divBdr>
    </w:div>
    <w:div w:id="1235777050">
      <w:bodyDiv w:val="1"/>
      <w:marLeft w:val="0"/>
      <w:marRight w:val="0"/>
      <w:marTop w:val="0"/>
      <w:marBottom w:val="0"/>
      <w:divBdr>
        <w:top w:val="none" w:sz="0" w:space="0" w:color="auto"/>
        <w:left w:val="none" w:sz="0" w:space="0" w:color="auto"/>
        <w:bottom w:val="none" w:sz="0" w:space="0" w:color="auto"/>
        <w:right w:val="none" w:sz="0" w:space="0" w:color="auto"/>
      </w:divBdr>
    </w:div>
    <w:div w:id="1236940136">
      <w:bodyDiv w:val="1"/>
      <w:marLeft w:val="0"/>
      <w:marRight w:val="0"/>
      <w:marTop w:val="0"/>
      <w:marBottom w:val="0"/>
      <w:divBdr>
        <w:top w:val="none" w:sz="0" w:space="0" w:color="auto"/>
        <w:left w:val="none" w:sz="0" w:space="0" w:color="auto"/>
        <w:bottom w:val="none" w:sz="0" w:space="0" w:color="auto"/>
        <w:right w:val="none" w:sz="0" w:space="0" w:color="auto"/>
      </w:divBdr>
    </w:div>
    <w:div w:id="1240556802">
      <w:bodyDiv w:val="1"/>
      <w:marLeft w:val="0"/>
      <w:marRight w:val="0"/>
      <w:marTop w:val="0"/>
      <w:marBottom w:val="0"/>
      <w:divBdr>
        <w:top w:val="none" w:sz="0" w:space="0" w:color="auto"/>
        <w:left w:val="none" w:sz="0" w:space="0" w:color="auto"/>
        <w:bottom w:val="none" w:sz="0" w:space="0" w:color="auto"/>
        <w:right w:val="none" w:sz="0" w:space="0" w:color="auto"/>
      </w:divBdr>
    </w:div>
    <w:div w:id="1253008163">
      <w:bodyDiv w:val="1"/>
      <w:marLeft w:val="0"/>
      <w:marRight w:val="0"/>
      <w:marTop w:val="0"/>
      <w:marBottom w:val="0"/>
      <w:divBdr>
        <w:top w:val="none" w:sz="0" w:space="0" w:color="auto"/>
        <w:left w:val="none" w:sz="0" w:space="0" w:color="auto"/>
        <w:bottom w:val="none" w:sz="0" w:space="0" w:color="auto"/>
        <w:right w:val="none" w:sz="0" w:space="0" w:color="auto"/>
      </w:divBdr>
      <w:divsChild>
        <w:div w:id="686371205">
          <w:marLeft w:val="0"/>
          <w:marRight w:val="0"/>
          <w:marTop w:val="0"/>
          <w:marBottom w:val="0"/>
          <w:divBdr>
            <w:top w:val="none" w:sz="0" w:space="0" w:color="auto"/>
            <w:left w:val="none" w:sz="0" w:space="0" w:color="auto"/>
            <w:bottom w:val="none" w:sz="0" w:space="0" w:color="auto"/>
            <w:right w:val="none" w:sz="0" w:space="0" w:color="auto"/>
          </w:divBdr>
        </w:div>
      </w:divsChild>
    </w:div>
    <w:div w:id="1254587363">
      <w:bodyDiv w:val="1"/>
      <w:marLeft w:val="0"/>
      <w:marRight w:val="0"/>
      <w:marTop w:val="0"/>
      <w:marBottom w:val="0"/>
      <w:divBdr>
        <w:top w:val="none" w:sz="0" w:space="0" w:color="auto"/>
        <w:left w:val="none" w:sz="0" w:space="0" w:color="auto"/>
        <w:bottom w:val="none" w:sz="0" w:space="0" w:color="auto"/>
        <w:right w:val="none" w:sz="0" w:space="0" w:color="auto"/>
      </w:divBdr>
      <w:divsChild>
        <w:div w:id="1368988201">
          <w:blockQuote w:val="1"/>
          <w:marLeft w:val="720"/>
          <w:marRight w:val="720"/>
          <w:marTop w:val="100"/>
          <w:marBottom w:val="100"/>
          <w:divBdr>
            <w:top w:val="none" w:sz="0" w:space="0" w:color="auto"/>
            <w:left w:val="none" w:sz="0" w:space="0" w:color="auto"/>
            <w:bottom w:val="none" w:sz="0" w:space="0" w:color="auto"/>
            <w:right w:val="none" w:sz="0" w:space="0" w:color="auto"/>
          </w:divBdr>
        </w:div>
        <w:div w:id="744226915">
          <w:blockQuote w:val="1"/>
          <w:marLeft w:val="720"/>
          <w:marRight w:val="720"/>
          <w:marTop w:val="100"/>
          <w:marBottom w:val="100"/>
          <w:divBdr>
            <w:top w:val="none" w:sz="0" w:space="0" w:color="auto"/>
            <w:left w:val="none" w:sz="0" w:space="0" w:color="auto"/>
            <w:bottom w:val="none" w:sz="0" w:space="0" w:color="auto"/>
            <w:right w:val="none" w:sz="0" w:space="0" w:color="auto"/>
          </w:divBdr>
        </w:div>
        <w:div w:id="17192795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61913">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214969">
          <w:blockQuote w:val="1"/>
          <w:marLeft w:val="720"/>
          <w:marRight w:val="720"/>
          <w:marTop w:val="100"/>
          <w:marBottom w:val="100"/>
          <w:divBdr>
            <w:top w:val="none" w:sz="0" w:space="0" w:color="auto"/>
            <w:left w:val="none" w:sz="0" w:space="0" w:color="auto"/>
            <w:bottom w:val="none" w:sz="0" w:space="0" w:color="auto"/>
            <w:right w:val="none" w:sz="0" w:space="0" w:color="auto"/>
          </w:divBdr>
        </w:div>
        <w:div w:id="242253617">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70856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91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82384514">
          <w:blockQuote w:val="1"/>
          <w:marLeft w:val="720"/>
          <w:marRight w:val="720"/>
          <w:marTop w:val="100"/>
          <w:marBottom w:val="100"/>
          <w:divBdr>
            <w:top w:val="none" w:sz="0" w:space="0" w:color="auto"/>
            <w:left w:val="none" w:sz="0" w:space="0" w:color="auto"/>
            <w:bottom w:val="none" w:sz="0" w:space="0" w:color="auto"/>
            <w:right w:val="none" w:sz="0" w:space="0" w:color="auto"/>
          </w:divBdr>
        </w:div>
        <w:div w:id="21220632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1883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1804011">
          <w:blockQuote w:val="1"/>
          <w:marLeft w:val="720"/>
          <w:marRight w:val="720"/>
          <w:marTop w:val="100"/>
          <w:marBottom w:val="100"/>
          <w:divBdr>
            <w:top w:val="none" w:sz="0" w:space="0" w:color="auto"/>
            <w:left w:val="none" w:sz="0" w:space="0" w:color="auto"/>
            <w:bottom w:val="none" w:sz="0" w:space="0" w:color="auto"/>
            <w:right w:val="none" w:sz="0" w:space="0" w:color="auto"/>
          </w:divBdr>
        </w:div>
        <w:div w:id="29714929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180276">
          <w:blockQuote w:val="1"/>
          <w:marLeft w:val="720"/>
          <w:marRight w:val="720"/>
          <w:marTop w:val="100"/>
          <w:marBottom w:val="100"/>
          <w:divBdr>
            <w:top w:val="none" w:sz="0" w:space="0" w:color="auto"/>
            <w:left w:val="none" w:sz="0" w:space="0" w:color="auto"/>
            <w:bottom w:val="none" w:sz="0" w:space="0" w:color="auto"/>
            <w:right w:val="none" w:sz="0" w:space="0" w:color="auto"/>
          </w:divBdr>
        </w:div>
        <w:div w:id="3744259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5020410">
      <w:bodyDiv w:val="1"/>
      <w:marLeft w:val="0"/>
      <w:marRight w:val="0"/>
      <w:marTop w:val="0"/>
      <w:marBottom w:val="0"/>
      <w:divBdr>
        <w:top w:val="none" w:sz="0" w:space="0" w:color="auto"/>
        <w:left w:val="none" w:sz="0" w:space="0" w:color="auto"/>
        <w:bottom w:val="none" w:sz="0" w:space="0" w:color="auto"/>
        <w:right w:val="none" w:sz="0" w:space="0" w:color="auto"/>
      </w:divBdr>
    </w:div>
    <w:div w:id="1261796489">
      <w:bodyDiv w:val="1"/>
      <w:marLeft w:val="0"/>
      <w:marRight w:val="0"/>
      <w:marTop w:val="0"/>
      <w:marBottom w:val="0"/>
      <w:divBdr>
        <w:top w:val="none" w:sz="0" w:space="0" w:color="auto"/>
        <w:left w:val="none" w:sz="0" w:space="0" w:color="auto"/>
        <w:bottom w:val="none" w:sz="0" w:space="0" w:color="auto"/>
        <w:right w:val="none" w:sz="0" w:space="0" w:color="auto"/>
      </w:divBdr>
    </w:div>
    <w:div w:id="1262105945">
      <w:bodyDiv w:val="1"/>
      <w:marLeft w:val="0"/>
      <w:marRight w:val="0"/>
      <w:marTop w:val="0"/>
      <w:marBottom w:val="0"/>
      <w:divBdr>
        <w:top w:val="none" w:sz="0" w:space="0" w:color="auto"/>
        <w:left w:val="none" w:sz="0" w:space="0" w:color="auto"/>
        <w:bottom w:val="none" w:sz="0" w:space="0" w:color="auto"/>
        <w:right w:val="none" w:sz="0" w:space="0" w:color="auto"/>
      </w:divBdr>
    </w:div>
    <w:div w:id="1262295402">
      <w:bodyDiv w:val="1"/>
      <w:marLeft w:val="0"/>
      <w:marRight w:val="0"/>
      <w:marTop w:val="0"/>
      <w:marBottom w:val="0"/>
      <w:divBdr>
        <w:top w:val="none" w:sz="0" w:space="0" w:color="auto"/>
        <w:left w:val="none" w:sz="0" w:space="0" w:color="auto"/>
        <w:bottom w:val="none" w:sz="0" w:space="0" w:color="auto"/>
        <w:right w:val="none" w:sz="0" w:space="0" w:color="auto"/>
      </w:divBdr>
    </w:div>
    <w:div w:id="1263145441">
      <w:bodyDiv w:val="1"/>
      <w:marLeft w:val="0"/>
      <w:marRight w:val="0"/>
      <w:marTop w:val="0"/>
      <w:marBottom w:val="0"/>
      <w:divBdr>
        <w:top w:val="none" w:sz="0" w:space="0" w:color="auto"/>
        <w:left w:val="none" w:sz="0" w:space="0" w:color="auto"/>
        <w:bottom w:val="none" w:sz="0" w:space="0" w:color="auto"/>
        <w:right w:val="none" w:sz="0" w:space="0" w:color="auto"/>
      </w:divBdr>
    </w:div>
    <w:div w:id="1268659290">
      <w:bodyDiv w:val="1"/>
      <w:marLeft w:val="0"/>
      <w:marRight w:val="0"/>
      <w:marTop w:val="0"/>
      <w:marBottom w:val="0"/>
      <w:divBdr>
        <w:top w:val="none" w:sz="0" w:space="0" w:color="auto"/>
        <w:left w:val="none" w:sz="0" w:space="0" w:color="auto"/>
        <w:bottom w:val="none" w:sz="0" w:space="0" w:color="auto"/>
        <w:right w:val="none" w:sz="0" w:space="0" w:color="auto"/>
      </w:divBdr>
    </w:div>
    <w:div w:id="1270158236">
      <w:bodyDiv w:val="1"/>
      <w:marLeft w:val="0"/>
      <w:marRight w:val="0"/>
      <w:marTop w:val="0"/>
      <w:marBottom w:val="0"/>
      <w:divBdr>
        <w:top w:val="none" w:sz="0" w:space="0" w:color="auto"/>
        <w:left w:val="none" w:sz="0" w:space="0" w:color="auto"/>
        <w:bottom w:val="none" w:sz="0" w:space="0" w:color="auto"/>
        <w:right w:val="none" w:sz="0" w:space="0" w:color="auto"/>
      </w:divBdr>
    </w:div>
    <w:div w:id="1270770412">
      <w:bodyDiv w:val="1"/>
      <w:marLeft w:val="0"/>
      <w:marRight w:val="0"/>
      <w:marTop w:val="0"/>
      <w:marBottom w:val="0"/>
      <w:divBdr>
        <w:top w:val="none" w:sz="0" w:space="0" w:color="auto"/>
        <w:left w:val="none" w:sz="0" w:space="0" w:color="auto"/>
        <w:bottom w:val="none" w:sz="0" w:space="0" w:color="auto"/>
        <w:right w:val="none" w:sz="0" w:space="0" w:color="auto"/>
      </w:divBdr>
      <w:divsChild>
        <w:div w:id="727723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3682448">
      <w:bodyDiv w:val="1"/>
      <w:marLeft w:val="0"/>
      <w:marRight w:val="0"/>
      <w:marTop w:val="0"/>
      <w:marBottom w:val="0"/>
      <w:divBdr>
        <w:top w:val="none" w:sz="0" w:space="0" w:color="auto"/>
        <w:left w:val="none" w:sz="0" w:space="0" w:color="auto"/>
        <w:bottom w:val="none" w:sz="0" w:space="0" w:color="auto"/>
        <w:right w:val="none" w:sz="0" w:space="0" w:color="auto"/>
      </w:divBdr>
    </w:div>
    <w:div w:id="1286736121">
      <w:bodyDiv w:val="1"/>
      <w:marLeft w:val="0"/>
      <w:marRight w:val="0"/>
      <w:marTop w:val="0"/>
      <w:marBottom w:val="0"/>
      <w:divBdr>
        <w:top w:val="none" w:sz="0" w:space="0" w:color="auto"/>
        <w:left w:val="none" w:sz="0" w:space="0" w:color="auto"/>
        <w:bottom w:val="none" w:sz="0" w:space="0" w:color="auto"/>
        <w:right w:val="none" w:sz="0" w:space="0" w:color="auto"/>
      </w:divBdr>
    </w:div>
    <w:div w:id="1289555136">
      <w:bodyDiv w:val="1"/>
      <w:marLeft w:val="0"/>
      <w:marRight w:val="0"/>
      <w:marTop w:val="0"/>
      <w:marBottom w:val="0"/>
      <w:divBdr>
        <w:top w:val="none" w:sz="0" w:space="0" w:color="auto"/>
        <w:left w:val="none" w:sz="0" w:space="0" w:color="auto"/>
        <w:bottom w:val="none" w:sz="0" w:space="0" w:color="auto"/>
        <w:right w:val="none" w:sz="0" w:space="0" w:color="auto"/>
      </w:divBdr>
    </w:div>
    <w:div w:id="1292979543">
      <w:bodyDiv w:val="1"/>
      <w:marLeft w:val="0"/>
      <w:marRight w:val="0"/>
      <w:marTop w:val="0"/>
      <w:marBottom w:val="0"/>
      <w:divBdr>
        <w:top w:val="none" w:sz="0" w:space="0" w:color="auto"/>
        <w:left w:val="none" w:sz="0" w:space="0" w:color="auto"/>
        <w:bottom w:val="none" w:sz="0" w:space="0" w:color="auto"/>
        <w:right w:val="none" w:sz="0" w:space="0" w:color="auto"/>
      </w:divBdr>
    </w:div>
    <w:div w:id="1298218618">
      <w:bodyDiv w:val="1"/>
      <w:marLeft w:val="0"/>
      <w:marRight w:val="0"/>
      <w:marTop w:val="0"/>
      <w:marBottom w:val="0"/>
      <w:divBdr>
        <w:top w:val="none" w:sz="0" w:space="0" w:color="auto"/>
        <w:left w:val="none" w:sz="0" w:space="0" w:color="auto"/>
        <w:bottom w:val="none" w:sz="0" w:space="0" w:color="auto"/>
        <w:right w:val="none" w:sz="0" w:space="0" w:color="auto"/>
      </w:divBdr>
    </w:div>
    <w:div w:id="1300963113">
      <w:bodyDiv w:val="1"/>
      <w:marLeft w:val="0"/>
      <w:marRight w:val="0"/>
      <w:marTop w:val="0"/>
      <w:marBottom w:val="0"/>
      <w:divBdr>
        <w:top w:val="none" w:sz="0" w:space="0" w:color="auto"/>
        <w:left w:val="none" w:sz="0" w:space="0" w:color="auto"/>
        <w:bottom w:val="none" w:sz="0" w:space="0" w:color="auto"/>
        <w:right w:val="none" w:sz="0" w:space="0" w:color="auto"/>
      </w:divBdr>
    </w:div>
    <w:div w:id="1308898191">
      <w:bodyDiv w:val="1"/>
      <w:marLeft w:val="0"/>
      <w:marRight w:val="0"/>
      <w:marTop w:val="0"/>
      <w:marBottom w:val="0"/>
      <w:divBdr>
        <w:top w:val="none" w:sz="0" w:space="0" w:color="auto"/>
        <w:left w:val="none" w:sz="0" w:space="0" w:color="auto"/>
        <w:bottom w:val="none" w:sz="0" w:space="0" w:color="auto"/>
        <w:right w:val="none" w:sz="0" w:space="0" w:color="auto"/>
      </w:divBdr>
    </w:div>
    <w:div w:id="1309893463">
      <w:bodyDiv w:val="1"/>
      <w:marLeft w:val="0"/>
      <w:marRight w:val="0"/>
      <w:marTop w:val="0"/>
      <w:marBottom w:val="0"/>
      <w:divBdr>
        <w:top w:val="none" w:sz="0" w:space="0" w:color="auto"/>
        <w:left w:val="none" w:sz="0" w:space="0" w:color="auto"/>
        <w:bottom w:val="none" w:sz="0" w:space="0" w:color="auto"/>
        <w:right w:val="none" w:sz="0" w:space="0" w:color="auto"/>
      </w:divBdr>
    </w:div>
    <w:div w:id="1318150963">
      <w:bodyDiv w:val="1"/>
      <w:marLeft w:val="0"/>
      <w:marRight w:val="0"/>
      <w:marTop w:val="0"/>
      <w:marBottom w:val="0"/>
      <w:divBdr>
        <w:top w:val="none" w:sz="0" w:space="0" w:color="auto"/>
        <w:left w:val="none" w:sz="0" w:space="0" w:color="auto"/>
        <w:bottom w:val="none" w:sz="0" w:space="0" w:color="auto"/>
        <w:right w:val="none" w:sz="0" w:space="0" w:color="auto"/>
      </w:divBdr>
    </w:div>
    <w:div w:id="1318218381">
      <w:bodyDiv w:val="1"/>
      <w:marLeft w:val="0"/>
      <w:marRight w:val="0"/>
      <w:marTop w:val="0"/>
      <w:marBottom w:val="0"/>
      <w:divBdr>
        <w:top w:val="none" w:sz="0" w:space="0" w:color="auto"/>
        <w:left w:val="none" w:sz="0" w:space="0" w:color="auto"/>
        <w:bottom w:val="none" w:sz="0" w:space="0" w:color="auto"/>
        <w:right w:val="none" w:sz="0" w:space="0" w:color="auto"/>
      </w:divBdr>
    </w:div>
    <w:div w:id="1323654541">
      <w:bodyDiv w:val="1"/>
      <w:marLeft w:val="0"/>
      <w:marRight w:val="0"/>
      <w:marTop w:val="0"/>
      <w:marBottom w:val="0"/>
      <w:divBdr>
        <w:top w:val="none" w:sz="0" w:space="0" w:color="auto"/>
        <w:left w:val="none" w:sz="0" w:space="0" w:color="auto"/>
        <w:bottom w:val="none" w:sz="0" w:space="0" w:color="auto"/>
        <w:right w:val="none" w:sz="0" w:space="0" w:color="auto"/>
      </w:divBdr>
      <w:divsChild>
        <w:div w:id="6008392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2029301">
      <w:bodyDiv w:val="1"/>
      <w:marLeft w:val="0"/>
      <w:marRight w:val="0"/>
      <w:marTop w:val="0"/>
      <w:marBottom w:val="0"/>
      <w:divBdr>
        <w:top w:val="none" w:sz="0" w:space="0" w:color="auto"/>
        <w:left w:val="none" w:sz="0" w:space="0" w:color="auto"/>
        <w:bottom w:val="none" w:sz="0" w:space="0" w:color="auto"/>
        <w:right w:val="none" w:sz="0" w:space="0" w:color="auto"/>
      </w:divBdr>
    </w:div>
    <w:div w:id="1335183125">
      <w:bodyDiv w:val="1"/>
      <w:marLeft w:val="0"/>
      <w:marRight w:val="0"/>
      <w:marTop w:val="0"/>
      <w:marBottom w:val="0"/>
      <w:divBdr>
        <w:top w:val="none" w:sz="0" w:space="0" w:color="auto"/>
        <w:left w:val="none" w:sz="0" w:space="0" w:color="auto"/>
        <w:bottom w:val="none" w:sz="0" w:space="0" w:color="auto"/>
        <w:right w:val="none" w:sz="0" w:space="0" w:color="auto"/>
      </w:divBdr>
      <w:divsChild>
        <w:div w:id="14517794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8266103">
      <w:bodyDiv w:val="1"/>
      <w:marLeft w:val="0"/>
      <w:marRight w:val="0"/>
      <w:marTop w:val="0"/>
      <w:marBottom w:val="0"/>
      <w:divBdr>
        <w:top w:val="none" w:sz="0" w:space="0" w:color="auto"/>
        <w:left w:val="none" w:sz="0" w:space="0" w:color="auto"/>
        <w:bottom w:val="none" w:sz="0" w:space="0" w:color="auto"/>
        <w:right w:val="none" w:sz="0" w:space="0" w:color="auto"/>
      </w:divBdr>
    </w:div>
    <w:div w:id="1341737879">
      <w:bodyDiv w:val="1"/>
      <w:marLeft w:val="0"/>
      <w:marRight w:val="0"/>
      <w:marTop w:val="0"/>
      <w:marBottom w:val="0"/>
      <w:divBdr>
        <w:top w:val="none" w:sz="0" w:space="0" w:color="auto"/>
        <w:left w:val="none" w:sz="0" w:space="0" w:color="auto"/>
        <w:bottom w:val="none" w:sz="0" w:space="0" w:color="auto"/>
        <w:right w:val="none" w:sz="0" w:space="0" w:color="auto"/>
      </w:divBdr>
    </w:div>
    <w:div w:id="1347712925">
      <w:bodyDiv w:val="1"/>
      <w:marLeft w:val="0"/>
      <w:marRight w:val="0"/>
      <w:marTop w:val="0"/>
      <w:marBottom w:val="0"/>
      <w:divBdr>
        <w:top w:val="none" w:sz="0" w:space="0" w:color="auto"/>
        <w:left w:val="none" w:sz="0" w:space="0" w:color="auto"/>
        <w:bottom w:val="none" w:sz="0" w:space="0" w:color="auto"/>
        <w:right w:val="none" w:sz="0" w:space="0" w:color="auto"/>
      </w:divBdr>
    </w:div>
    <w:div w:id="1353338627">
      <w:bodyDiv w:val="1"/>
      <w:marLeft w:val="0"/>
      <w:marRight w:val="0"/>
      <w:marTop w:val="0"/>
      <w:marBottom w:val="0"/>
      <w:divBdr>
        <w:top w:val="none" w:sz="0" w:space="0" w:color="auto"/>
        <w:left w:val="none" w:sz="0" w:space="0" w:color="auto"/>
        <w:bottom w:val="none" w:sz="0" w:space="0" w:color="auto"/>
        <w:right w:val="none" w:sz="0" w:space="0" w:color="auto"/>
      </w:divBdr>
    </w:div>
    <w:div w:id="1356805315">
      <w:bodyDiv w:val="1"/>
      <w:marLeft w:val="0"/>
      <w:marRight w:val="0"/>
      <w:marTop w:val="0"/>
      <w:marBottom w:val="0"/>
      <w:divBdr>
        <w:top w:val="none" w:sz="0" w:space="0" w:color="auto"/>
        <w:left w:val="none" w:sz="0" w:space="0" w:color="auto"/>
        <w:bottom w:val="none" w:sz="0" w:space="0" w:color="auto"/>
        <w:right w:val="none" w:sz="0" w:space="0" w:color="auto"/>
      </w:divBdr>
      <w:divsChild>
        <w:div w:id="1632519050">
          <w:blockQuote w:val="1"/>
          <w:marLeft w:val="720"/>
          <w:marRight w:val="720"/>
          <w:marTop w:val="100"/>
          <w:marBottom w:val="100"/>
          <w:divBdr>
            <w:top w:val="none" w:sz="0" w:space="0" w:color="auto"/>
            <w:left w:val="none" w:sz="0" w:space="0" w:color="auto"/>
            <w:bottom w:val="none" w:sz="0" w:space="0" w:color="auto"/>
            <w:right w:val="none" w:sz="0" w:space="0" w:color="auto"/>
          </w:divBdr>
        </w:div>
        <w:div w:id="6115966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3894082">
      <w:bodyDiv w:val="1"/>
      <w:marLeft w:val="0"/>
      <w:marRight w:val="0"/>
      <w:marTop w:val="0"/>
      <w:marBottom w:val="0"/>
      <w:divBdr>
        <w:top w:val="none" w:sz="0" w:space="0" w:color="auto"/>
        <w:left w:val="none" w:sz="0" w:space="0" w:color="auto"/>
        <w:bottom w:val="none" w:sz="0" w:space="0" w:color="auto"/>
        <w:right w:val="none" w:sz="0" w:space="0" w:color="auto"/>
      </w:divBdr>
    </w:div>
    <w:div w:id="1368749540">
      <w:bodyDiv w:val="1"/>
      <w:marLeft w:val="0"/>
      <w:marRight w:val="0"/>
      <w:marTop w:val="0"/>
      <w:marBottom w:val="0"/>
      <w:divBdr>
        <w:top w:val="none" w:sz="0" w:space="0" w:color="auto"/>
        <w:left w:val="none" w:sz="0" w:space="0" w:color="auto"/>
        <w:bottom w:val="none" w:sz="0" w:space="0" w:color="auto"/>
        <w:right w:val="none" w:sz="0" w:space="0" w:color="auto"/>
      </w:divBdr>
    </w:div>
    <w:div w:id="1369600370">
      <w:bodyDiv w:val="1"/>
      <w:marLeft w:val="0"/>
      <w:marRight w:val="0"/>
      <w:marTop w:val="0"/>
      <w:marBottom w:val="0"/>
      <w:divBdr>
        <w:top w:val="none" w:sz="0" w:space="0" w:color="auto"/>
        <w:left w:val="none" w:sz="0" w:space="0" w:color="auto"/>
        <w:bottom w:val="none" w:sz="0" w:space="0" w:color="auto"/>
        <w:right w:val="none" w:sz="0" w:space="0" w:color="auto"/>
      </w:divBdr>
    </w:div>
    <w:div w:id="1370035460">
      <w:bodyDiv w:val="1"/>
      <w:marLeft w:val="0"/>
      <w:marRight w:val="0"/>
      <w:marTop w:val="0"/>
      <w:marBottom w:val="0"/>
      <w:divBdr>
        <w:top w:val="none" w:sz="0" w:space="0" w:color="auto"/>
        <w:left w:val="none" w:sz="0" w:space="0" w:color="auto"/>
        <w:bottom w:val="none" w:sz="0" w:space="0" w:color="auto"/>
        <w:right w:val="none" w:sz="0" w:space="0" w:color="auto"/>
      </w:divBdr>
    </w:div>
    <w:div w:id="1378507221">
      <w:bodyDiv w:val="1"/>
      <w:marLeft w:val="0"/>
      <w:marRight w:val="0"/>
      <w:marTop w:val="0"/>
      <w:marBottom w:val="0"/>
      <w:divBdr>
        <w:top w:val="none" w:sz="0" w:space="0" w:color="auto"/>
        <w:left w:val="none" w:sz="0" w:space="0" w:color="auto"/>
        <w:bottom w:val="none" w:sz="0" w:space="0" w:color="auto"/>
        <w:right w:val="none" w:sz="0" w:space="0" w:color="auto"/>
      </w:divBdr>
    </w:div>
    <w:div w:id="1385175609">
      <w:bodyDiv w:val="1"/>
      <w:marLeft w:val="0"/>
      <w:marRight w:val="0"/>
      <w:marTop w:val="0"/>
      <w:marBottom w:val="0"/>
      <w:divBdr>
        <w:top w:val="none" w:sz="0" w:space="0" w:color="auto"/>
        <w:left w:val="none" w:sz="0" w:space="0" w:color="auto"/>
        <w:bottom w:val="none" w:sz="0" w:space="0" w:color="auto"/>
        <w:right w:val="none" w:sz="0" w:space="0" w:color="auto"/>
      </w:divBdr>
    </w:div>
    <w:div w:id="1385254177">
      <w:bodyDiv w:val="1"/>
      <w:marLeft w:val="0"/>
      <w:marRight w:val="0"/>
      <w:marTop w:val="0"/>
      <w:marBottom w:val="0"/>
      <w:divBdr>
        <w:top w:val="none" w:sz="0" w:space="0" w:color="auto"/>
        <w:left w:val="none" w:sz="0" w:space="0" w:color="auto"/>
        <w:bottom w:val="none" w:sz="0" w:space="0" w:color="auto"/>
        <w:right w:val="none" w:sz="0" w:space="0" w:color="auto"/>
      </w:divBdr>
      <w:divsChild>
        <w:div w:id="18263894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6028521">
      <w:bodyDiv w:val="1"/>
      <w:marLeft w:val="0"/>
      <w:marRight w:val="0"/>
      <w:marTop w:val="0"/>
      <w:marBottom w:val="0"/>
      <w:divBdr>
        <w:top w:val="none" w:sz="0" w:space="0" w:color="auto"/>
        <w:left w:val="none" w:sz="0" w:space="0" w:color="auto"/>
        <w:bottom w:val="none" w:sz="0" w:space="0" w:color="auto"/>
        <w:right w:val="none" w:sz="0" w:space="0" w:color="auto"/>
      </w:divBdr>
      <w:divsChild>
        <w:div w:id="1981114177">
          <w:marLeft w:val="0"/>
          <w:marRight w:val="0"/>
          <w:marTop w:val="0"/>
          <w:marBottom w:val="0"/>
          <w:divBdr>
            <w:top w:val="none" w:sz="0" w:space="0" w:color="auto"/>
            <w:left w:val="none" w:sz="0" w:space="0" w:color="auto"/>
            <w:bottom w:val="none" w:sz="0" w:space="0" w:color="auto"/>
            <w:right w:val="none" w:sz="0" w:space="0" w:color="auto"/>
          </w:divBdr>
        </w:div>
      </w:divsChild>
    </w:div>
    <w:div w:id="1386104642">
      <w:bodyDiv w:val="1"/>
      <w:marLeft w:val="0"/>
      <w:marRight w:val="0"/>
      <w:marTop w:val="0"/>
      <w:marBottom w:val="0"/>
      <w:divBdr>
        <w:top w:val="none" w:sz="0" w:space="0" w:color="auto"/>
        <w:left w:val="none" w:sz="0" w:space="0" w:color="auto"/>
        <w:bottom w:val="none" w:sz="0" w:space="0" w:color="auto"/>
        <w:right w:val="none" w:sz="0" w:space="0" w:color="auto"/>
      </w:divBdr>
    </w:div>
    <w:div w:id="1387026737">
      <w:bodyDiv w:val="1"/>
      <w:marLeft w:val="0"/>
      <w:marRight w:val="0"/>
      <w:marTop w:val="0"/>
      <w:marBottom w:val="0"/>
      <w:divBdr>
        <w:top w:val="none" w:sz="0" w:space="0" w:color="auto"/>
        <w:left w:val="none" w:sz="0" w:space="0" w:color="auto"/>
        <w:bottom w:val="none" w:sz="0" w:space="0" w:color="auto"/>
        <w:right w:val="none" w:sz="0" w:space="0" w:color="auto"/>
      </w:divBdr>
      <w:divsChild>
        <w:div w:id="1817599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745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8338233">
      <w:bodyDiv w:val="1"/>
      <w:marLeft w:val="0"/>
      <w:marRight w:val="0"/>
      <w:marTop w:val="0"/>
      <w:marBottom w:val="0"/>
      <w:divBdr>
        <w:top w:val="none" w:sz="0" w:space="0" w:color="auto"/>
        <w:left w:val="none" w:sz="0" w:space="0" w:color="auto"/>
        <w:bottom w:val="none" w:sz="0" w:space="0" w:color="auto"/>
        <w:right w:val="none" w:sz="0" w:space="0" w:color="auto"/>
      </w:divBdr>
      <w:divsChild>
        <w:div w:id="6072719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2654339">
      <w:bodyDiv w:val="1"/>
      <w:marLeft w:val="0"/>
      <w:marRight w:val="0"/>
      <w:marTop w:val="0"/>
      <w:marBottom w:val="0"/>
      <w:divBdr>
        <w:top w:val="none" w:sz="0" w:space="0" w:color="auto"/>
        <w:left w:val="none" w:sz="0" w:space="0" w:color="auto"/>
        <w:bottom w:val="none" w:sz="0" w:space="0" w:color="auto"/>
        <w:right w:val="none" w:sz="0" w:space="0" w:color="auto"/>
      </w:divBdr>
    </w:div>
    <w:div w:id="1399481114">
      <w:bodyDiv w:val="1"/>
      <w:marLeft w:val="0"/>
      <w:marRight w:val="0"/>
      <w:marTop w:val="0"/>
      <w:marBottom w:val="0"/>
      <w:divBdr>
        <w:top w:val="none" w:sz="0" w:space="0" w:color="auto"/>
        <w:left w:val="none" w:sz="0" w:space="0" w:color="auto"/>
        <w:bottom w:val="none" w:sz="0" w:space="0" w:color="auto"/>
        <w:right w:val="none" w:sz="0" w:space="0" w:color="auto"/>
      </w:divBdr>
    </w:div>
    <w:div w:id="1400056341">
      <w:bodyDiv w:val="1"/>
      <w:marLeft w:val="0"/>
      <w:marRight w:val="0"/>
      <w:marTop w:val="0"/>
      <w:marBottom w:val="0"/>
      <w:divBdr>
        <w:top w:val="none" w:sz="0" w:space="0" w:color="auto"/>
        <w:left w:val="none" w:sz="0" w:space="0" w:color="auto"/>
        <w:bottom w:val="none" w:sz="0" w:space="0" w:color="auto"/>
        <w:right w:val="none" w:sz="0" w:space="0" w:color="auto"/>
      </w:divBdr>
    </w:div>
    <w:div w:id="1400905306">
      <w:bodyDiv w:val="1"/>
      <w:marLeft w:val="0"/>
      <w:marRight w:val="0"/>
      <w:marTop w:val="0"/>
      <w:marBottom w:val="0"/>
      <w:divBdr>
        <w:top w:val="none" w:sz="0" w:space="0" w:color="auto"/>
        <w:left w:val="none" w:sz="0" w:space="0" w:color="auto"/>
        <w:bottom w:val="none" w:sz="0" w:space="0" w:color="auto"/>
        <w:right w:val="none" w:sz="0" w:space="0" w:color="auto"/>
      </w:divBdr>
    </w:div>
    <w:div w:id="1402172278">
      <w:bodyDiv w:val="1"/>
      <w:marLeft w:val="0"/>
      <w:marRight w:val="0"/>
      <w:marTop w:val="0"/>
      <w:marBottom w:val="0"/>
      <w:divBdr>
        <w:top w:val="none" w:sz="0" w:space="0" w:color="auto"/>
        <w:left w:val="none" w:sz="0" w:space="0" w:color="auto"/>
        <w:bottom w:val="none" w:sz="0" w:space="0" w:color="auto"/>
        <w:right w:val="none" w:sz="0" w:space="0" w:color="auto"/>
      </w:divBdr>
      <w:divsChild>
        <w:div w:id="699205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0438078">
          <w:blockQuote w:val="1"/>
          <w:marLeft w:val="720"/>
          <w:marRight w:val="720"/>
          <w:marTop w:val="100"/>
          <w:marBottom w:val="100"/>
          <w:divBdr>
            <w:top w:val="none" w:sz="0" w:space="0" w:color="auto"/>
            <w:left w:val="none" w:sz="0" w:space="0" w:color="auto"/>
            <w:bottom w:val="none" w:sz="0" w:space="0" w:color="auto"/>
            <w:right w:val="none" w:sz="0" w:space="0" w:color="auto"/>
          </w:divBdr>
        </w:div>
        <w:div w:id="1118447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08418245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44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3981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4066490">
      <w:bodyDiv w:val="1"/>
      <w:marLeft w:val="0"/>
      <w:marRight w:val="0"/>
      <w:marTop w:val="0"/>
      <w:marBottom w:val="0"/>
      <w:divBdr>
        <w:top w:val="none" w:sz="0" w:space="0" w:color="auto"/>
        <w:left w:val="none" w:sz="0" w:space="0" w:color="auto"/>
        <w:bottom w:val="none" w:sz="0" w:space="0" w:color="auto"/>
        <w:right w:val="none" w:sz="0" w:space="0" w:color="auto"/>
      </w:divBdr>
    </w:div>
    <w:div w:id="1410232549">
      <w:bodyDiv w:val="1"/>
      <w:marLeft w:val="0"/>
      <w:marRight w:val="0"/>
      <w:marTop w:val="0"/>
      <w:marBottom w:val="0"/>
      <w:divBdr>
        <w:top w:val="none" w:sz="0" w:space="0" w:color="auto"/>
        <w:left w:val="none" w:sz="0" w:space="0" w:color="auto"/>
        <w:bottom w:val="none" w:sz="0" w:space="0" w:color="auto"/>
        <w:right w:val="none" w:sz="0" w:space="0" w:color="auto"/>
      </w:divBdr>
    </w:div>
    <w:div w:id="1416123307">
      <w:bodyDiv w:val="1"/>
      <w:marLeft w:val="0"/>
      <w:marRight w:val="0"/>
      <w:marTop w:val="0"/>
      <w:marBottom w:val="0"/>
      <w:divBdr>
        <w:top w:val="none" w:sz="0" w:space="0" w:color="auto"/>
        <w:left w:val="none" w:sz="0" w:space="0" w:color="auto"/>
        <w:bottom w:val="none" w:sz="0" w:space="0" w:color="auto"/>
        <w:right w:val="none" w:sz="0" w:space="0" w:color="auto"/>
      </w:divBdr>
    </w:div>
    <w:div w:id="1421681500">
      <w:bodyDiv w:val="1"/>
      <w:marLeft w:val="0"/>
      <w:marRight w:val="0"/>
      <w:marTop w:val="0"/>
      <w:marBottom w:val="0"/>
      <w:divBdr>
        <w:top w:val="none" w:sz="0" w:space="0" w:color="auto"/>
        <w:left w:val="none" w:sz="0" w:space="0" w:color="auto"/>
        <w:bottom w:val="none" w:sz="0" w:space="0" w:color="auto"/>
        <w:right w:val="none" w:sz="0" w:space="0" w:color="auto"/>
      </w:divBdr>
    </w:div>
    <w:div w:id="1421947770">
      <w:bodyDiv w:val="1"/>
      <w:marLeft w:val="0"/>
      <w:marRight w:val="0"/>
      <w:marTop w:val="0"/>
      <w:marBottom w:val="0"/>
      <w:divBdr>
        <w:top w:val="none" w:sz="0" w:space="0" w:color="auto"/>
        <w:left w:val="none" w:sz="0" w:space="0" w:color="auto"/>
        <w:bottom w:val="none" w:sz="0" w:space="0" w:color="auto"/>
        <w:right w:val="none" w:sz="0" w:space="0" w:color="auto"/>
      </w:divBdr>
    </w:div>
    <w:div w:id="1423791841">
      <w:bodyDiv w:val="1"/>
      <w:marLeft w:val="0"/>
      <w:marRight w:val="0"/>
      <w:marTop w:val="0"/>
      <w:marBottom w:val="0"/>
      <w:divBdr>
        <w:top w:val="none" w:sz="0" w:space="0" w:color="auto"/>
        <w:left w:val="none" w:sz="0" w:space="0" w:color="auto"/>
        <w:bottom w:val="none" w:sz="0" w:space="0" w:color="auto"/>
        <w:right w:val="none" w:sz="0" w:space="0" w:color="auto"/>
      </w:divBdr>
    </w:div>
    <w:div w:id="1435132062">
      <w:bodyDiv w:val="1"/>
      <w:marLeft w:val="0"/>
      <w:marRight w:val="0"/>
      <w:marTop w:val="0"/>
      <w:marBottom w:val="0"/>
      <w:divBdr>
        <w:top w:val="none" w:sz="0" w:space="0" w:color="auto"/>
        <w:left w:val="none" w:sz="0" w:space="0" w:color="auto"/>
        <w:bottom w:val="none" w:sz="0" w:space="0" w:color="auto"/>
        <w:right w:val="none" w:sz="0" w:space="0" w:color="auto"/>
      </w:divBdr>
    </w:div>
    <w:div w:id="1437478850">
      <w:bodyDiv w:val="1"/>
      <w:marLeft w:val="0"/>
      <w:marRight w:val="0"/>
      <w:marTop w:val="0"/>
      <w:marBottom w:val="0"/>
      <w:divBdr>
        <w:top w:val="none" w:sz="0" w:space="0" w:color="auto"/>
        <w:left w:val="none" w:sz="0" w:space="0" w:color="auto"/>
        <w:bottom w:val="none" w:sz="0" w:space="0" w:color="auto"/>
        <w:right w:val="none" w:sz="0" w:space="0" w:color="auto"/>
      </w:divBdr>
    </w:div>
    <w:div w:id="1443450405">
      <w:bodyDiv w:val="1"/>
      <w:marLeft w:val="0"/>
      <w:marRight w:val="0"/>
      <w:marTop w:val="0"/>
      <w:marBottom w:val="0"/>
      <w:divBdr>
        <w:top w:val="none" w:sz="0" w:space="0" w:color="auto"/>
        <w:left w:val="none" w:sz="0" w:space="0" w:color="auto"/>
        <w:bottom w:val="none" w:sz="0" w:space="0" w:color="auto"/>
        <w:right w:val="none" w:sz="0" w:space="0" w:color="auto"/>
      </w:divBdr>
      <w:divsChild>
        <w:div w:id="1716542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3496118">
      <w:bodyDiv w:val="1"/>
      <w:marLeft w:val="0"/>
      <w:marRight w:val="0"/>
      <w:marTop w:val="0"/>
      <w:marBottom w:val="0"/>
      <w:divBdr>
        <w:top w:val="none" w:sz="0" w:space="0" w:color="auto"/>
        <w:left w:val="none" w:sz="0" w:space="0" w:color="auto"/>
        <w:bottom w:val="none" w:sz="0" w:space="0" w:color="auto"/>
        <w:right w:val="none" w:sz="0" w:space="0" w:color="auto"/>
      </w:divBdr>
    </w:div>
    <w:div w:id="1451628633">
      <w:bodyDiv w:val="1"/>
      <w:marLeft w:val="0"/>
      <w:marRight w:val="0"/>
      <w:marTop w:val="0"/>
      <w:marBottom w:val="0"/>
      <w:divBdr>
        <w:top w:val="none" w:sz="0" w:space="0" w:color="auto"/>
        <w:left w:val="none" w:sz="0" w:space="0" w:color="auto"/>
        <w:bottom w:val="none" w:sz="0" w:space="0" w:color="auto"/>
        <w:right w:val="none" w:sz="0" w:space="0" w:color="auto"/>
      </w:divBdr>
    </w:div>
    <w:div w:id="1460102211">
      <w:bodyDiv w:val="1"/>
      <w:marLeft w:val="0"/>
      <w:marRight w:val="0"/>
      <w:marTop w:val="0"/>
      <w:marBottom w:val="0"/>
      <w:divBdr>
        <w:top w:val="none" w:sz="0" w:space="0" w:color="auto"/>
        <w:left w:val="none" w:sz="0" w:space="0" w:color="auto"/>
        <w:bottom w:val="none" w:sz="0" w:space="0" w:color="auto"/>
        <w:right w:val="none" w:sz="0" w:space="0" w:color="auto"/>
      </w:divBdr>
    </w:div>
    <w:div w:id="1473521193">
      <w:bodyDiv w:val="1"/>
      <w:marLeft w:val="0"/>
      <w:marRight w:val="0"/>
      <w:marTop w:val="0"/>
      <w:marBottom w:val="0"/>
      <w:divBdr>
        <w:top w:val="none" w:sz="0" w:space="0" w:color="auto"/>
        <w:left w:val="none" w:sz="0" w:space="0" w:color="auto"/>
        <w:bottom w:val="none" w:sz="0" w:space="0" w:color="auto"/>
        <w:right w:val="none" w:sz="0" w:space="0" w:color="auto"/>
      </w:divBdr>
    </w:div>
    <w:div w:id="1476799070">
      <w:bodyDiv w:val="1"/>
      <w:marLeft w:val="0"/>
      <w:marRight w:val="0"/>
      <w:marTop w:val="0"/>
      <w:marBottom w:val="0"/>
      <w:divBdr>
        <w:top w:val="none" w:sz="0" w:space="0" w:color="auto"/>
        <w:left w:val="none" w:sz="0" w:space="0" w:color="auto"/>
        <w:bottom w:val="none" w:sz="0" w:space="0" w:color="auto"/>
        <w:right w:val="none" w:sz="0" w:space="0" w:color="auto"/>
      </w:divBdr>
    </w:div>
    <w:div w:id="1478255064">
      <w:bodyDiv w:val="1"/>
      <w:marLeft w:val="0"/>
      <w:marRight w:val="0"/>
      <w:marTop w:val="0"/>
      <w:marBottom w:val="0"/>
      <w:divBdr>
        <w:top w:val="none" w:sz="0" w:space="0" w:color="auto"/>
        <w:left w:val="none" w:sz="0" w:space="0" w:color="auto"/>
        <w:bottom w:val="none" w:sz="0" w:space="0" w:color="auto"/>
        <w:right w:val="none" w:sz="0" w:space="0" w:color="auto"/>
      </w:divBdr>
      <w:divsChild>
        <w:div w:id="436484746">
          <w:marLeft w:val="0"/>
          <w:marRight w:val="0"/>
          <w:marTop w:val="0"/>
          <w:marBottom w:val="0"/>
          <w:divBdr>
            <w:top w:val="none" w:sz="0" w:space="0" w:color="auto"/>
            <w:left w:val="none" w:sz="0" w:space="0" w:color="auto"/>
            <w:bottom w:val="none" w:sz="0" w:space="0" w:color="auto"/>
            <w:right w:val="none" w:sz="0" w:space="0" w:color="auto"/>
          </w:divBdr>
        </w:div>
      </w:divsChild>
    </w:div>
    <w:div w:id="1481575401">
      <w:bodyDiv w:val="1"/>
      <w:marLeft w:val="0"/>
      <w:marRight w:val="0"/>
      <w:marTop w:val="0"/>
      <w:marBottom w:val="0"/>
      <w:divBdr>
        <w:top w:val="none" w:sz="0" w:space="0" w:color="auto"/>
        <w:left w:val="none" w:sz="0" w:space="0" w:color="auto"/>
        <w:bottom w:val="none" w:sz="0" w:space="0" w:color="auto"/>
        <w:right w:val="none" w:sz="0" w:space="0" w:color="auto"/>
      </w:divBdr>
      <w:divsChild>
        <w:div w:id="7037534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4158459">
      <w:bodyDiv w:val="1"/>
      <w:marLeft w:val="0"/>
      <w:marRight w:val="0"/>
      <w:marTop w:val="0"/>
      <w:marBottom w:val="0"/>
      <w:divBdr>
        <w:top w:val="none" w:sz="0" w:space="0" w:color="auto"/>
        <w:left w:val="none" w:sz="0" w:space="0" w:color="auto"/>
        <w:bottom w:val="none" w:sz="0" w:space="0" w:color="auto"/>
        <w:right w:val="none" w:sz="0" w:space="0" w:color="auto"/>
      </w:divBdr>
      <w:divsChild>
        <w:div w:id="159824807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3730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4593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6311476">
      <w:bodyDiv w:val="1"/>
      <w:marLeft w:val="0"/>
      <w:marRight w:val="0"/>
      <w:marTop w:val="0"/>
      <w:marBottom w:val="0"/>
      <w:divBdr>
        <w:top w:val="none" w:sz="0" w:space="0" w:color="auto"/>
        <w:left w:val="none" w:sz="0" w:space="0" w:color="auto"/>
        <w:bottom w:val="none" w:sz="0" w:space="0" w:color="auto"/>
        <w:right w:val="none" w:sz="0" w:space="0" w:color="auto"/>
      </w:divBdr>
    </w:div>
    <w:div w:id="1490638729">
      <w:bodyDiv w:val="1"/>
      <w:marLeft w:val="0"/>
      <w:marRight w:val="0"/>
      <w:marTop w:val="0"/>
      <w:marBottom w:val="0"/>
      <w:divBdr>
        <w:top w:val="none" w:sz="0" w:space="0" w:color="auto"/>
        <w:left w:val="none" w:sz="0" w:space="0" w:color="auto"/>
        <w:bottom w:val="none" w:sz="0" w:space="0" w:color="auto"/>
        <w:right w:val="none" w:sz="0" w:space="0" w:color="auto"/>
      </w:divBdr>
    </w:div>
    <w:div w:id="1495951991">
      <w:bodyDiv w:val="1"/>
      <w:marLeft w:val="0"/>
      <w:marRight w:val="0"/>
      <w:marTop w:val="0"/>
      <w:marBottom w:val="0"/>
      <w:divBdr>
        <w:top w:val="none" w:sz="0" w:space="0" w:color="auto"/>
        <w:left w:val="none" w:sz="0" w:space="0" w:color="auto"/>
        <w:bottom w:val="none" w:sz="0" w:space="0" w:color="auto"/>
        <w:right w:val="none" w:sz="0" w:space="0" w:color="auto"/>
      </w:divBdr>
      <w:divsChild>
        <w:div w:id="1574123108">
          <w:blockQuote w:val="1"/>
          <w:marLeft w:val="720"/>
          <w:marRight w:val="720"/>
          <w:marTop w:val="100"/>
          <w:marBottom w:val="100"/>
          <w:divBdr>
            <w:top w:val="none" w:sz="0" w:space="0" w:color="auto"/>
            <w:left w:val="none" w:sz="0" w:space="0" w:color="auto"/>
            <w:bottom w:val="none" w:sz="0" w:space="0" w:color="auto"/>
            <w:right w:val="none" w:sz="0" w:space="0" w:color="auto"/>
          </w:divBdr>
        </w:div>
        <w:div w:id="882257761">
          <w:blockQuote w:val="1"/>
          <w:marLeft w:val="720"/>
          <w:marRight w:val="720"/>
          <w:marTop w:val="100"/>
          <w:marBottom w:val="100"/>
          <w:divBdr>
            <w:top w:val="none" w:sz="0" w:space="0" w:color="auto"/>
            <w:left w:val="none" w:sz="0" w:space="0" w:color="auto"/>
            <w:bottom w:val="none" w:sz="0" w:space="0" w:color="auto"/>
            <w:right w:val="none" w:sz="0" w:space="0" w:color="auto"/>
          </w:divBdr>
        </w:div>
        <w:div w:id="810293810">
          <w:blockQuote w:val="1"/>
          <w:marLeft w:val="720"/>
          <w:marRight w:val="720"/>
          <w:marTop w:val="100"/>
          <w:marBottom w:val="100"/>
          <w:divBdr>
            <w:top w:val="none" w:sz="0" w:space="0" w:color="auto"/>
            <w:left w:val="none" w:sz="0" w:space="0" w:color="auto"/>
            <w:bottom w:val="none" w:sz="0" w:space="0" w:color="auto"/>
            <w:right w:val="none" w:sz="0" w:space="0" w:color="auto"/>
          </w:divBdr>
        </w:div>
        <w:div w:id="3077103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6146508">
      <w:bodyDiv w:val="1"/>
      <w:marLeft w:val="0"/>
      <w:marRight w:val="0"/>
      <w:marTop w:val="0"/>
      <w:marBottom w:val="0"/>
      <w:divBdr>
        <w:top w:val="none" w:sz="0" w:space="0" w:color="auto"/>
        <w:left w:val="none" w:sz="0" w:space="0" w:color="auto"/>
        <w:bottom w:val="none" w:sz="0" w:space="0" w:color="auto"/>
        <w:right w:val="none" w:sz="0" w:space="0" w:color="auto"/>
      </w:divBdr>
    </w:div>
    <w:div w:id="1500854047">
      <w:bodyDiv w:val="1"/>
      <w:marLeft w:val="0"/>
      <w:marRight w:val="0"/>
      <w:marTop w:val="0"/>
      <w:marBottom w:val="0"/>
      <w:divBdr>
        <w:top w:val="none" w:sz="0" w:space="0" w:color="auto"/>
        <w:left w:val="none" w:sz="0" w:space="0" w:color="auto"/>
        <w:bottom w:val="none" w:sz="0" w:space="0" w:color="auto"/>
        <w:right w:val="none" w:sz="0" w:space="0" w:color="auto"/>
      </w:divBdr>
    </w:div>
    <w:div w:id="1506283260">
      <w:bodyDiv w:val="1"/>
      <w:marLeft w:val="0"/>
      <w:marRight w:val="0"/>
      <w:marTop w:val="0"/>
      <w:marBottom w:val="0"/>
      <w:divBdr>
        <w:top w:val="none" w:sz="0" w:space="0" w:color="auto"/>
        <w:left w:val="none" w:sz="0" w:space="0" w:color="auto"/>
        <w:bottom w:val="none" w:sz="0" w:space="0" w:color="auto"/>
        <w:right w:val="none" w:sz="0" w:space="0" w:color="auto"/>
      </w:divBdr>
    </w:div>
    <w:div w:id="1506629194">
      <w:bodyDiv w:val="1"/>
      <w:marLeft w:val="0"/>
      <w:marRight w:val="0"/>
      <w:marTop w:val="0"/>
      <w:marBottom w:val="0"/>
      <w:divBdr>
        <w:top w:val="none" w:sz="0" w:space="0" w:color="auto"/>
        <w:left w:val="none" w:sz="0" w:space="0" w:color="auto"/>
        <w:bottom w:val="none" w:sz="0" w:space="0" w:color="auto"/>
        <w:right w:val="none" w:sz="0" w:space="0" w:color="auto"/>
      </w:divBdr>
    </w:div>
    <w:div w:id="1516574023">
      <w:bodyDiv w:val="1"/>
      <w:marLeft w:val="0"/>
      <w:marRight w:val="0"/>
      <w:marTop w:val="0"/>
      <w:marBottom w:val="0"/>
      <w:divBdr>
        <w:top w:val="none" w:sz="0" w:space="0" w:color="auto"/>
        <w:left w:val="none" w:sz="0" w:space="0" w:color="auto"/>
        <w:bottom w:val="none" w:sz="0" w:space="0" w:color="auto"/>
        <w:right w:val="none" w:sz="0" w:space="0" w:color="auto"/>
      </w:divBdr>
    </w:div>
    <w:div w:id="1520122521">
      <w:bodyDiv w:val="1"/>
      <w:marLeft w:val="0"/>
      <w:marRight w:val="0"/>
      <w:marTop w:val="0"/>
      <w:marBottom w:val="0"/>
      <w:divBdr>
        <w:top w:val="none" w:sz="0" w:space="0" w:color="auto"/>
        <w:left w:val="none" w:sz="0" w:space="0" w:color="auto"/>
        <w:bottom w:val="none" w:sz="0" w:space="0" w:color="auto"/>
        <w:right w:val="none" w:sz="0" w:space="0" w:color="auto"/>
      </w:divBdr>
    </w:div>
    <w:div w:id="1520507930">
      <w:bodyDiv w:val="1"/>
      <w:marLeft w:val="0"/>
      <w:marRight w:val="0"/>
      <w:marTop w:val="0"/>
      <w:marBottom w:val="0"/>
      <w:divBdr>
        <w:top w:val="none" w:sz="0" w:space="0" w:color="auto"/>
        <w:left w:val="none" w:sz="0" w:space="0" w:color="auto"/>
        <w:bottom w:val="none" w:sz="0" w:space="0" w:color="auto"/>
        <w:right w:val="none" w:sz="0" w:space="0" w:color="auto"/>
      </w:divBdr>
    </w:div>
    <w:div w:id="1520771953">
      <w:bodyDiv w:val="1"/>
      <w:marLeft w:val="0"/>
      <w:marRight w:val="0"/>
      <w:marTop w:val="0"/>
      <w:marBottom w:val="0"/>
      <w:divBdr>
        <w:top w:val="none" w:sz="0" w:space="0" w:color="auto"/>
        <w:left w:val="none" w:sz="0" w:space="0" w:color="auto"/>
        <w:bottom w:val="none" w:sz="0" w:space="0" w:color="auto"/>
        <w:right w:val="none" w:sz="0" w:space="0" w:color="auto"/>
      </w:divBdr>
      <w:divsChild>
        <w:div w:id="18766538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5168292">
      <w:bodyDiv w:val="1"/>
      <w:marLeft w:val="0"/>
      <w:marRight w:val="0"/>
      <w:marTop w:val="0"/>
      <w:marBottom w:val="0"/>
      <w:divBdr>
        <w:top w:val="none" w:sz="0" w:space="0" w:color="auto"/>
        <w:left w:val="none" w:sz="0" w:space="0" w:color="auto"/>
        <w:bottom w:val="none" w:sz="0" w:space="0" w:color="auto"/>
        <w:right w:val="none" w:sz="0" w:space="0" w:color="auto"/>
      </w:divBdr>
    </w:div>
    <w:div w:id="1526097837">
      <w:bodyDiv w:val="1"/>
      <w:marLeft w:val="0"/>
      <w:marRight w:val="0"/>
      <w:marTop w:val="0"/>
      <w:marBottom w:val="0"/>
      <w:divBdr>
        <w:top w:val="none" w:sz="0" w:space="0" w:color="auto"/>
        <w:left w:val="none" w:sz="0" w:space="0" w:color="auto"/>
        <w:bottom w:val="none" w:sz="0" w:space="0" w:color="auto"/>
        <w:right w:val="none" w:sz="0" w:space="0" w:color="auto"/>
      </w:divBdr>
    </w:div>
    <w:div w:id="1528448026">
      <w:bodyDiv w:val="1"/>
      <w:marLeft w:val="0"/>
      <w:marRight w:val="0"/>
      <w:marTop w:val="0"/>
      <w:marBottom w:val="0"/>
      <w:divBdr>
        <w:top w:val="none" w:sz="0" w:space="0" w:color="auto"/>
        <w:left w:val="none" w:sz="0" w:space="0" w:color="auto"/>
        <w:bottom w:val="none" w:sz="0" w:space="0" w:color="auto"/>
        <w:right w:val="none" w:sz="0" w:space="0" w:color="auto"/>
      </w:divBdr>
      <w:divsChild>
        <w:div w:id="319621096">
          <w:blockQuote w:val="1"/>
          <w:marLeft w:val="720"/>
          <w:marRight w:val="720"/>
          <w:marTop w:val="100"/>
          <w:marBottom w:val="100"/>
          <w:divBdr>
            <w:top w:val="none" w:sz="0" w:space="0" w:color="auto"/>
            <w:left w:val="none" w:sz="0" w:space="0" w:color="auto"/>
            <w:bottom w:val="none" w:sz="0" w:space="0" w:color="auto"/>
            <w:right w:val="none" w:sz="0" w:space="0" w:color="auto"/>
          </w:divBdr>
        </w:div>
        <w:div w:id="172702608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5979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8396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1452559">
      <w:bodyDiv w:val="1"/>
      <w:marLeft w:val="0"/>
      <w:marRight w:val="0"/>
      <w:marTop w:val="0"/>
      <w:marBottom w:val="0"/>
      <w:divBdr>
        <w:top w:val="none" w:sz="0" w:space="0" w:color="auto"/>
        <w:left w:val="none" w:sz="0" w:space="0" w:color="auto"/>
        <w:bottom w:val="none" w:sz="0" w:space="0" w:color="auto"/>
        <w:right w:val="none" w:sz="0" w:space="0" w:color="auto"/>
      </w:divBdr>
      <w:divsChild>
        <w:div w:id="1257396243">
          <w:marLeft w:val="0"/>
          <w:marRight w:val="0"/>
          <w:marTop w:val="0"/>
          <w:marBottom w:val="0"/>
          <w:divBdr>
            <w:top w:val="single" w:sz="2" w:space="0" w:color="auto"/>
            <w:left w:val="single" w:sz="2" w:space="0" w:color="auto"/>
            <w:bottom w:val="single" w:sz="2" w:space="0" w:color="auto"/>
            <w:right w:val="single" w:sz="2" w:space="0" w:color="auto"/>
          </w:divBdr>
          <w:divsChild>
            <w:div w:id="1525942188">
              <w:marLeft w:val="0"/>
              <w:marRight w:val="0"/>
              <w:marTop w:val="0"/>
              <w:marBottom w:val="0"/>
              <w:divBdr>
                <w:top w:val="single" w:sz="2" w:space="0" w:color="auto"/>
                <w:left w:val="single" w:sz="2" w:space="0" w:color="auto"/>
                <w:bottom w:val="single" w:sz="2" w:space="0" w:color="auto"/>
                <w:right w:val="single" w:sz="2" w:space="0" w:color="auto"/>
              </w:divBdr>
            </w:div>
          </w:divsChild>
        </w:div>
        <w:div w:id="758059091">
          <w:marLeft w:val="0"/>
          <w:marRight w:val="0"/>
          <w:marTop w:val="0"/>
          <w:marBottom w:val="0"/>
          <w:divBdr>
            <w:top w:val="single" w:sz="2" w:space="0" w:color="auto"/>
            <w:left w:val="single" w:sz="2" w:space="0" w:color="auto"/>
            <w:bottom w:val="single" w:sz="2" w:space="0" w:color="auto"/>
            <w:right w:val="single" w:sz="2" w:space="0" w:color="auto"/>
          </w:divBdr>
          <w:divsChild>
            <w:div w:id="587269315">
              <w:marLeft w:val="0"/>
              <w:marRight w:val="0"/>
              <w:marTop w:val="0"/>
              <w:marBottom w:val="0"/>
              <w:divBdr>
                <w:top w:val="single" w:sz="2" w:space="0" w:color="auto"/>
                <w:left w:val="single" w:sz="2" w:space="0" w:color="auto"/>
                <w:bottom w:val="single" w:sz="2" w:space="0" w:color="auto"/>
                <w:right w:val="single" w:sz="2" w:space="0" w:color="auto"/>
              </w:divBdr>
              <w:divsChild>
                <w:div w:id="355161522">
                  <w:marLeft w:val="0"/>
                  <w:marRight w:val="0"/>
                  <w:marTop w:val="0"/>
                  <w:marBottom w:val="0"/>
                  <w:divBdr>
                    <w:top w:val="single" w:sz="2" w:space="0" w:color="auto"/>
                    <w:left w:val="single" w:sz="2" w:space="0" w:color="auto"/>
                    <w:bottom w:val="single" w:sz="2" w:space="0" w:color="auto"/>
                    <w:right w:val="single" w:sz="2" w:space="0" w:color="auto"/>
                  </w:divBdr>
                  <w:divsChild>
                    <w:div w:id="167071737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420058048">
              <w:marLeft w:val="0"/>
              <w:marRight w:val="0"/>
              <w:marTop w:val="0"/>
              <w:marBottom w:val="0"/>
              <w:divBdr>
                <w:top w:val="single" w:sz="2" w:space="0" w:color="auto"/>
                <w:left w:val="single" w:sz="2" w:space="0" w:color="auto"/>
                <w:bottom w:val="single" w:sz="2" w:space="0" w:color="auto"/>
                <w:right w:val="single" w:sz="2" w:space="0" w:color="auto"/>
              </w:divBdr>
              <w:divsChild>
                <w:div w:id="6188801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34853136">
      <w:bodyDiv w:val="1"/>
      <w:marLeft w:val="0"/>
      <w:marRight w:val="0"/>
      <w:marTop w:val="0"/>
      <w:marBottom w:val="0"/>
      <w:divBdr>
        <w:top w:val="none" w:sz="0" w:space="0" w:color="auto"/>
        <w:left w:val="none" w:sz="0" w:space="0" w:color="auto"/>
        <w:bottom w:val="none" w:sz="0" w:space="0" w:color="auto"/>
        <w:right w:val="none" w:sz="0" w:space="0" w:color="auto"/>
      </w:divBdr>
      <w:divsChild>
        <w:div w:id="5018169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5268499">
      <w:bodyDiv w:val="1"/>
      <w:marLeft w:val="0"/>
      <w:marRight w:val="0"/>
      <w:marTop w:val="0"/>
      <w:marBottom w:val="0"/>
      <w:divBdr>
        <w:top w:val="none" w:sz="0" w:space="0" w:color="auto"/>
        <w:left w:val="none" w:sz="0" w:space="0" w:color="auto"/>
        <w:bottom w:val="none" w:sz="0" w:space="0" w:color="auto"/>
        <w:right w:val="none" w:sz="0" w:space="0" w:color="auto"/>
      </w:divBdr>
    </w:div>
    <w:div w:id="1540704928">
      <w:bodyDiv w:val="1"/>
      <w:marLeft w:val="0"/>
      <w:marRight w:val="0"/>
      <w:marTop w:val="0"/>
      <w:marBottom w:val="0"/>
      <w:divBdr>
        <w:top w:val="none" w:sz="0" w:space="0" w:color="auto"/>
        <w:left w:val="none" w:sz="0" w:space="0" w:color="auto"/>
        <w:bottom w:val="none" w:sz="0" w:space="0" w:color="auto"/>
        <w:right w:val="none" w:sz="0" w:space="0" w:color="auto"/>
      </w:divBdr>
    </w:div>
    <w:div w:id="1544633057">
      <w:bodyDiv w:val="1"/>
      <w:marLeft w:val="0"/>
      <w:marRight w:val="0"/>
      <w:marTop w:val="0"/>
      <w:marBottom w:val="0"/>
      <w:divBdr>
        <w:top w:val="none" w:sz="0" w:space="0" w:color="auto"/>
        <w:left w:val="none" w:sz="0" w:space="0" w:color="auto"/>
        <w:bottom w:val="none" w:sz="0" w:space="0" w:color="auto"/>
        <w:right w:val="none" w:sz="0" w:space="0" w:color="auto"/>
      </w:divBdr>
    </w:div>
    <w:div w:id="1553347825">
      <w:bodyDiv w:val="1"/>
      <w:marLeft w:val="0"/>
      <w:marRight w:val="0"/>
      <w:marTop w:val="0"/>
      <w:marBottom w:val="0"/>
      <w:divBdr>
        <w:top w:val="none" w:sz="0" w:space="0" w:color="auto"/>
        <w:left w:val="none" w:sz="0" w:space="0" w:color="auto"/>
        <w:bottom w:val="none" w:sz="0" w:space="0" w:color="auto"/>
        <w:right w:val="none" w:sz="0" w:space="0" w:color="auto"/>
      </w:divBdr>
    </w:div>
    <w:div w:id="1555117316">
      <w:bodyDiv w:val="1"/>
      <w:marLeft w:val="0"/>
      <w:marRight w:val="0"/>
      <w:marTop w:val="0"/>
      <w:marBottom w:val="0"/>
      <w:divBdr>
        <w:top w:val="none" w:sz="0" w:space="0" w:color="auto"/>
        <w:left w:val="none" w:sz="0" w:space="0" w:color="auto"/>
        <w:bottom w:val="none" w:sz="0" w:space="0" w:color="auto"/>
        <w:right w:val="none" w:sz="0" w:space="0" w:color="auto"/>
      </w:divBdr>
    </w:div>
    <w:div w:id="1561593655">
      <w:bodyDiv w:val="1"/>
      <w:marLeft w:val="0"/>
      <w:marRight w:val="0"/>
      <w:marTop w:val="0"/>
      <w:marBottom w:val="0"/>
      <w:divBdr>
        <w:top w:val="none" w:sz="0" w:space="0" w:color="auto"/>
        <w:left w:val="none" w:sz="0" w:space="0" w:color="auto"/>
        <w:bottom w:val="none" w:sz="0" w:space="0" w:color="auto"/>
        <w:right w:val="none" w:sz="0" w:space="0" w:color="auto"/>
      </w:divBdr>
    </w:div>
    <w:div w:id="1562249207">
      <w:bodyDiv w:val="1"/>
      <w:marLeft w:val="0"/>
      <w:marRight w:val="0"/>
      <w:marTop w:val="0"/>
      <w:marBottom w:val="0"/>
      <w:divBdr>
        <w:top w:val="none" w:sz="0" w:space="0" w:color="auto"/>
        <w:left w:val="none" w:sz="0" w:space="0" w:color="auto"/>
        <w:bottom w:val="none" w:sz="0" w:space="0" w:color="auto"/>
        <w:right w:val="none" w:sz="0" w:space="0" w:color="auto"/>
      </w:divBdr>
    </w:div>
    <w:div w:id="1562594382">
      <w:bodyDiv w:val="1"/>
      <w:marLeft w:val="0"/>
      <w:marRight w:val="0"/>
      <w:marTop w:val="0"/>
      <w:marBottom w:val="0"/>
      <w:divBdr>
        <w:top w:val="none" w:sz="0" w:space="0" w:color="auto"/>
        <w:left w:val="none" w:sz="0" w:space="0" w:color="auto"/>
        <w:bottom w:val="none" w:sz="0" w:space="0" w:color="auto"/>
        <w:right w:val="none" w:sz="0" w:space="0" w:color="auto"/>
      </w:divBdr>
    </w:div>
    <w:div w:id="1565943779">
      <w:bodyDiv w:val="1"/>
      <w:marLeft w:val="0"/>
      <w:marRight w:val="0"/>
      <w:marTop w:val="0"/>
      <w:marBottom w:val="0"/>
      <w:divBdr>
        <w:top w:val="none" w:sz="0" w:space="0" w:color="auto"/>
        <w:left w:val="none" w:sz="0" w:space="0" w:color="auto"/>
        <w:bottom w:val="none" w:sz="0" w:space="0" w:color="auto"/>
        <w:right w:val="none" w:sz="0" w:space="0" w:color="auto"/>
      </w:divBdr>
    </w:div>
    <w:div w:id="1569420225">
      <w:bodyDiv w:val="1"/>
      <w:marLeft w:val="0"/>
      <w:marRight w:val="0"/>
      <w:marTop w:val="0"/>
      <w:marBottom w:val="0"/>
      <w:divBdr>
        <w:top w:val="none" w:sz="0" w:space="0" w:color="auto"/>
        <w:left w:val="none" w:sz="0" w:space="0" w:color="auto"/>
        <w:bottom w:val="none" w:sz="0" w:space="0" w:color="auto"/>
        <w:right w:val="none" w:sz="0" w:space="0" w:color="auto"/>
      </w:divBdr>
      <w:divsChild>
        <w:div w:id="1058363133">
          <w:blockQuote w:val="1"/>
          <w:marLeft w:val="720"/>
          <w:marRight w:val="720"/>
          <w:marTop w:val="100"/>
          <w:marBottom w:val="100"/>
          <w:divBdr>
            <w:top w:val="none" w:sz="0" w:space="0" w:color="auto"/>
            <w:left w:val="none" w:sz="0" w:space="0" w:color="auto"/>
            <w:bottom w:val="none" w:sz="0" w:space="0" w:color="auto"/>
            <w:right w:val="none" w:sz="0" w:space="0" w:color="auto"/>
          </w:divBdr>
        </w:div>
        <w:div w:id="1500921018">
          <w:blockQuote w:val="1"/>
          <w:marLeft w:val="720"/>
          <w:marRight w:val="720"/>
          <w:marTop w:val="100"/>
          <w:marBottom w:val="100"/>
          <w:divBdr>
            <w:top w:val="none" w:sz="0" w:space="0" w:color="auto"/>
            <w:left w:val="none" w:sz="0" w:space="0" w:color="auto"/>
            <w:bottom w:val="none" w:sz="0" w:space="0" w:color="auto"/>
            <w:right w:val="none" w:sz="0" w:space="0" w:color="auto"/>
          </w:divBdr>
        </w:div>
        <w:div w:id="57288734">
          <w:blockQuote w:val="1"/>
          <w:marLeft w:val="720"/>
          <w:marRight w:val="720"/>
          <w:marTop w:val="100"/>
          <w:marBottom w:val="100"/>
          <w:divBdr>
            <w:top w:val="none" w:sz="0" w:space="0" w:color="auto"/>
            <w:left w:val="none" w:sz="0" w:space="0" w:color="auto"/>
            <w:bottom w:val="none" w:sz="0" w:space="0" w:color="auto"/>
            <w:right w:val="none" w:sz="0" w:space="0" w:color="auto"/>
          </w:divBdr>
        </w:div>
        <w:div w:id="315955219">
          <w:blockQuote w:val="1"/>
          <w:marLeft w:val="720"/>
          <w:marRight w:val="720"/>
          <w:marTop w:val="100"/>
          <w:marBottom w:val="100"/>
          <w:divBdr>
            <w:top w:val="none" w:sz="0" w:space="0" w:color="auto"/>
            <w:left w:val="none" w:sz="0" w:space="0" w:color="auto"/>
            <w:bottom w:val="none" w:sz="0" w:space="0" w:color="auto"/>
            <w:right w:val="none" w:sz="0" w:space="0" w:color="auto"/>
          </w:divBdr>
        </w:div>
        <w:div w:id="825173169">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838155">
          <w:blockQuote w:val="1"/>
          <w:marLeft w:val="720"/>
          <w:marRight w:val="720"/>
          <w:marTop w:val="100"/>
          <w:marBottom w:val="100"/>
          <w:divBdr>
            <w:top w:val="none" w:sz="0" w:space="0" w:color="auto"/>
            <w:left w:val="none" w:sz="0" w:space="0" w:color="auto"/>
            <w:bottom w:val="none" w:sz="0" w:space="0" w:color="auto"/>
            <w:right w:val="none" w:sz="0" w:space="0" w:color="auto"/>
          </w:divBdr>
        </w:div>
        <w:div w:id="360011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263626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0382427">
      <w:bodyDiv w:val="1"/>
      <w:marLeft w:val="0"/>
      <w:marRight w:val="0"/>
      <w:marTop w:val="0"/>
      <w:marBottom w:val="0"/>
      <w:divBdr>
        <w:top w:val="none" w:sz="0" w:space="0" w:color="auto"/>
        <w:left w:val="none" w:sz="0" w:space="0" w:color="auto"/>
        <w:bottom w:val="none" w:sz="0" w:space="0" w:color="auto"/>
        <w:right w:val="none" w:sz="0" w:space="0" w:color="auto"/>
      </w:divBdr>
    </w:div>
    <w:div w:id="1570385446">
      <w:bodyDiv w:val="1"/>
      <w:marLeft w:val="0"/>
      <w:marRight w:val="0"/>
      <w:marTop w:val="0"/>
      <w:marBottom w:val="0"/>
      <w:divBdr>
        <w:top w:val="none" w:sz="0" w:space="0" w:color="auto"/>
        <w:left w:val="none" w:sz="0" w:space="0" w:color="auto"/>
        <w:bottom w:val="none" w:sz="0" w:space="0" w:color="auto"/>
        <w:right w:val="none" w:sz="0" w:space="0" w:color="auto"/>
      </w:divBdr>
    </w:div>
    <w:div w:id="1571501334">
      <w:bodyDiv w:val="1"/>
      <w:marLeft w:val="0"/>
      <w:marRight w:val="0"/>
      <w:marTop w:val="0"/>
      <w:marBottom w:val="0"/>
      <w:divBdr>
        <w:top w:val="none" w:sz="0" w:space="0" w:color="auto"/>
        <w:left w:val="none" w:sz="0" w:space="0" w:color="auto"/>
        <w:bottom w:val="none" w:sz="0" w:space="0" w:color="auto"/>
        <w:right w:val="none" w:sz="0" w:space="0" w:color="auto"/>
      </w:divBdr>
    </w:div>
    <w:div w:id="1573202762">
      <w:bodyDiv w:val="1"/>
      <w:marLeft w:val="0"/>
      <w:marRight w:val="0"/>
      <w:marTop w:val="0"/>
      <w:marBottom w:val="0"/>
      <w:divBdr>
        <w:top w:val="none" w:sz="0" w:space="0" w:color="auto"/>
        <w:left w:val="none" w:sz="0" w:space="0" w:color="auto"/>
        <w:bottom w:val="none" w:sz="0" w:space="0" w:color="auto"/>
        <w:right w:val="none" w:sz="0" w:space="0" w:color="auto"/>
      </w:divBdr>
    </w:div>
    <w:div w:id="1576090158">
      <w:bodyDiv w:val="1"/>
      <w:marLeft w:val="0"/>
      <w:marRight w:val="0"/>
      <w:marTop w:val="0"/>
      <w:marBottom w:val="0"/>
      <w:divBdr>
        <w:top w:val="none" w:sz="0" w:space="0" w:color="auto"/>
        <w:left w:val="none" w:sz="0" w:space="0" w:color="auto"/>
        <w:bottom w:val="none" w:sz="0" w:space="0" w:color="auto"/>
        <w:right w:val="none" w:sz="0" w:space="0" w:color="auto"/>
      </w:divBdr>
    </w:div>
    <w:div w:id="1576550616">
      <w:bodyDiv w:val="1"/>
      <w:marLeft w:val="0"/>
      <w:marRight w:val="0"/>
      <w:marTop w:val="0"/>
      <w:marBottom w:val="0"/>
      <w:divBdr>
        <w:top w:val="none" w:sz="0" w:space="0" w:color="auto"/>
        <w:left w:val="none" w:sz="0" w:space="0" w:color="auto"/>
        <w:bottom w:val="none" w:sz="0" w:space="0" w:color="auto"/>
        <w:right w:val="none" w:sz="0" w:space="0" w:color="auto"/>
      </w:divBdr>
    </w:div>
    <w:div w:id="1578709351">
      <w:bodyDiv w:val="1"/>
      <w:marLeft w:val="0"/>
      <w:marRight w:val="0"/>
      <w:marTop w:val="0"/>
      <w:marBottom w:val="0"/>
      <w:divBdr>
        <w:top w:val="none" w:sz="0" w:space="0" w:color="auto"/>
        <w:left w:val="none" w:sz="0" w:space="0" w:color="auto"/>
        <w:bottom w:val="none" w:sz="0" w:space="0" w:color="auto"/>
        <w:right w:val="none" w:sz="0" w:space="0" w:color="auto"/>
      </w:divBdr>
    </w:div>
    <w:div w:id="1578972694">
      <w:bodyDiv w:val="1"/>
      <w:marLeft w:val="0"/>
      <w:marRight w:val="0"/>
      <w:marTop w:val="0"/>
      <w:marBottom w:val="0"/>
      <w:divBdr>
        <w:top w:val="none" w:sz="0" w:space="0" w:color="auto"/>
        <w:left w:val="none" w:sz="0" w:space="0" w:color="auto"/>
        <w:bottom w:val="none" w:sz="0" w:space="0" w:color="auto"/>
        <w:right w:val="none" w:sz="0" w:space="0" w:color="auto"/>
      </w:divBdr>
    </w:div>
    <w:div w:id="1580217404">
      <w:bodyDiv w:val="1"/>
      <w:marLeft w:val="0"/>
      <w:marRight w:val="0"/>
      <w:marTop w:val="0"/>
      <w:marBottom w:val="0"/>
      <w:divBdr>
        <w:top w:val="none" w:sz="0" w:space="0" w:color="auto"/>
        <w:left w:val="none" w:sz="0" w:space="0" w:color="auto"/>
        <w:bottom w:val="none" w:sz="0" w:space="0" w:color="auto"/>
        <w:right w:val="none" w:sz="0" w:space="0" w:color="auto"/>
      </w:divBdr>
      <w:divsChild>
        <w:div w:id="5475003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2519717">
      <w:bodyDiv w:val="1"/>
      <w:marLeft w:val="0"/>
      <w:marRight w:val="0"/>
      <w:marTop w:val="0"/>
      <w:marBottom w:val="0"/>
      <w:divBdr>
        <w:top w:val="none" w:sz="0" w:space="0" w:color="auto"/>
        <w:left w:val="none" w:sz="0" w:space="0" w:color="auto"/>
        <w:bottom w:val="none" w:sz="0" w:space="0" w:color="auto"/>
        <w:right w:val="none" w:sz="0" w:space="0" w:color="auto"/>
      </w:divBdr>
    </w:div>
    <w:div w:id="1583445896">
      <w:bodyDiv w:val="1"/>
      <w:marLeft w:val="0"/>
      <w:marRight w:val="0"/>
      <w:marTop w:val="0"/>
      <w:marBottom w:val="0"/>
      <w:divBdr>
        <w:top w:val="none" w:sz="0" w:space="0" w:color="auto"/>
        <w:left w:val="none" w:sz="0" w:space="0" w:color="auto"/>
        <w:bottom w:val="none" w:sz="0" w:space="0" w:color="auto"/>
        <w:right w:val="none" w:sz="0" w:space="0" w:color="auto"/>
      </w:divBdr>
    </w:div>
    <w:div w:id="1583880132">
      <w:bodyDiv w:val="1"/>
      <w:marLeft w:val="0"/>
      <w:marRight w:val="0"/>
      <w:marTop w:val="0"/>
      <w:marBottom w:val="0"/>
      <w:divBdr>
        <w:top w:val="none" w:sz="0" w:space="0" w:color="auto"/>
        <w:left w:val="none" w:sz="0" w:space="0" w:color="auto"/>
        <w:bottom w:val="none" w:sz="0" w:space="0" w:color="auto"/>
        <w:right w:val="none" w:sz="0" w:space="0" w:color="auto"/>
      </w:divBdr>
    </w:div>
    <w:div w:id="1583953002">
      <w:bodyDiv w:val="1"/>
      <w:marLeft w:val="0"/>
      <w:marRight w:val="0"/>
      <w:marTop w:val="0"/>
      <w:marBottom w:val="0"/>
      <w:divBdr>
        <w:top w:val="none" w:sz="0" w:space="0" w:color="auto"/>
        <w:left w:val="none" w:sz="0" w:space="0" w:color="auto"/>
        <w:bottom w:val="none" w:sz="0" w:space="0" w:color="auto"/>
        <w:right w:val="none" w:sz="0" w:space="0" w:color="auto"/>
      </w:divBdr>
    </w:div>
    <w:div w:id="1586187447">
      <w:bodyDiv w:val="1"/>
      <w:marLeft w:val="0"/>
      <w:marRight w:val="0"/>
      <w:marTop w:val="0"/>
      <w:marBottom w:val="0"/>
      <w:divBdr>
        <w:top w:val="none" w:sz="0" w:space="0" w:color="auto"/>
        <w:left w:val="none" w:sz="0" w:space="0" w:color="auto"/>
        <w:bottom w:val="none" w:sz="0" w:space="0" w:color="auto"/>
        <w:right w:val="none" w:sz="0" w:space="0" w:color="auto"/>
      </w:divBdr>
    </w:div>
    <w:div w:id="1591886749">
      <w:bodyDiv w:val="1"/>
      <w:marLeft w:val="0"/>
      <w:marRight w:val="0"/>
      <w:marTop w:val="0"/>
      <w:marBottom w:val="0"/>
      <w:divBdr>
        <w:top w:val="none" w:sz="0" w:space="0" w:color="auto"/>
        <w:left w:val="none" w:sz="0" w:space="0" w:color="auto"/>
        <w:bottom w:val="none" w:sz="0" w:space="0" w:color="auto"/>
        <w:right w:val="none" w:sz="0" w:space="0" w:color="auto"/>
      </w:divBdr>
    </w:div>
    <w:div w:id="1595166718">
      <w:bodyDiv w:val="1"/>
      <w:marLeft w:val="0"/>
      <w:marRight w:val="0"/>
      <w:marTop w:val="0"/>
      <w:marBottom w:val="0"/>
      <w:divBdr>
        <w:top w:val="none" w:sz="0" w:space="0" w:color="auto"/>
        <w:left w:val="none" w:sz="0" w:space="0" w:color="auto"/>
        <w:bottom w:val="none" w:sz="0" w:space="0" w:color="auto"/>
        <w:right w:val="none" w:sz="0" w:space="0" w:color="auto"/>
      </w:divBdr>
    </w:div>
    <w:div w:id="1598368411">
      <w:bodyDiv w:val="1"/>
      <w:marLeft w:val="0"/>
      <w:marRight w:val="0"/>
      <w:marTop w:val="0"/>
      <w:marBottom w:val="0"/>
      <w:divBdr>
        <w:top w:val="none" w:sz="0" w:space="0" w:color="auto"/>
        <w:left w:val="none" w:sz="0" w:space="0" w:color="auto"/>
        <w:bottom w:val="none" w:sz="0" w:space="0" w:color="auto"/>
        <w:right w:val="none" w:sz="0" w:space="0" w:color="auto"/>
      </w:divBdr>
    </w:div>
    <w:div w:id="1599437661">
      <w:bodyDiv w:val="1"/>
      <w:marLeft w:val="0"/>
      <w:marRight w:val="0"/>
      <w:marTop w:val="0"/>
      <w:marBottom w:val="0"/>
      <w:divBdr>
        <w:top w:val="none" w:sz="0" w:space="0" w:color="auto"/>
        <w:left w:val="none" w:sz="0" w:space="0" w:color="auto"/>
        <w:bottom w:val="none" w:sz="0" w:space="0" w:color="auto"/>
        <w:right w:val="none" w:sz="0" w:space="0" w:color="auto"/>
      </w:divBdr>
    </w:div>
    <w:div w:id="1600866430">
      <w:bodyDiv w:val="1"/>
      <w:marLeft w:val="0"/>
      <w:marRight w:val="0"/>
      <w:marTop w:val="0"/>
      <w:marBottom w:val="0"/>
      <w:divBdr>
        <w:top w:val="none" w:sz="0" w:space="0" w:color="auto"/>
        <w:left w:val="none" w:sz="0" w:space="0" w:color="auto"/>
        <w:bottom w:val="none" w:sz="0" w:space="0" w:color="auto"/>
        <w:right w:val="none" w:sz="0" w:space="0" w:color="auto"/>
      </w:divBdr>
    </w:div>
    <w:div w:id="1606108654">
      <w:bodyDiv w:val="1"/>
      <w:marLeft w:val="0"/>
      <w:marRight w:val="0"/>
      <w:marTop w:val="0"/>
      <w:marBottom w:val="0"/>
      <w:divBdr>
        <w:top w:val="none" w:sz="0" w:space="0" w:color="auto"/>
        <w:left w:val="none" w:sz="0" w:space="0" w:color="auto"/>
        <w:bottom w:val="none" w:sz="0" w:space="0" w:color="auto"/>
        <w:right w:val="none" w:sz="0" w:space="0" w:color="auto"/>
      </w:divBdr>
    </w:div>
    <w:div w:id="1607152644">
      <w:bodyDiv w:val="1"/>
      <w:marLeft w:val="0"/>
      <w:marRight w:val="0"/>
      <w:marTop w:val="0"/>
      <w:marBottom w:val="0"/>
      <w:divBdr>
        <w:top w:val="none" w:sz="0" w:space="0" w:color="auto"/>
        <w:left w:val="none" w:sz="0" w:space="0" w:color="auto"/>
        <w:bottom w:val="none" w:sz="0" w:space="0" w:color="auto"/>
        <w:right w:val="none" w:sz="0" w:space="0" w:color="auto"/>
      </w:divBdr>
    </w:div>
    <w:div w:id="1608006103">
      <w:bodyDiv w:val="1"/>
      <w:marLeft w:val="0"/>
      <w:marRight w:val="0"/>
      <w:marTop w:val="0"/>
      <w:marBottom w:val="0"/>
      <w:divBdr>
        <w:top w:val="none" w:sz="0" w:space="0" w:color="auto"/>
        <w:left w:val="none" w:sz="0" w:space="0" w:color="auto"/>
        <w:bottom w:val="none" w:sz="0" w:space="0" w:color="auto"/>
        <w:right w:val="none" w:sz="0" w:space="0" w:color="auto"/>
      </w:divBdr>
    </w:div>
    <w:div w:id="1618367711">
      <w:bodyDiv w:val="1"/>
      <w:marLeft w:val="0"/>
      <w:marRight w:val="0"/>
      <w:marTop w:val="0"/>
      <w:marBottom w:val="0"/>
      <w:divBdr>
        <w:top w:val="none" w:sz="0" w:space="0" w:color="auto"/>
        <w:left w:val="none" w:sz="0" w:space="0" w:color="auto"/>
        <w:bottom w:val="none" w:sz="0" w:space="0" w:color="auto"/>
        <w:right w:val="none" w:sz="0" w:space="0" w:color="auto"/>
      </w:divBdr>
    </w:div>
    <w:div w:id="1618758918">
      <w:bodyDiv w:val="1"/>
      <w:marLeft w:val="0"/>
      <w:marRight w:val="0"/>
      <w:marTop w:val="0"/>
      <w:marBottom w:val="0"/>
      <w:divBdr>
        <w:top w:val="none" w:sz="0" w:space="0" w:color="auto"/>
        <w:left w:val="none" w:sz="0" w:space="0" w:color="auto"/>
        <w:bottom w:val="none" w:sz="0" w:space="0" w:color="auto"/>
        <w:right w:val="none" w:sz="0" w:space="0" w:color="auto"/>
      </w:divBdr>
    </w:div>
    <w:div w:id="1621838636">
      <w:bodyDiv w:val="1"/>
      <w:marLeft w:val="0"/>
      <w:marRight w:val="0"/>
      <w:marTop w:val="0"/>
      <w:marBottom w:val="0"/>
      <w:divBdr>
        <w:top w:val="none" w:sz="0" w:space="0" w:color="auto"/>
        <w:left w:val="none" w:sz="0" w:space="0" w:color="auto"/>
        <w:bottom w:val="none" w:sz="0" w:space="0" w:color="auto"/>
        <w:right w:val="none" w:sz="0" w:space="0" w:color="auto"/>
      </w:divBdr>
      <w:divsChild>
        <w:div w:id="1062405878">
          <w:blockQuote w:val="1"/>
          <w:marLeft w:val="720"/>
          <w:marRight w:val="720"/>
          <w:marTop w:val="100"/>
          <w:marBottom w:val="100"/>
          <w:divBdr>
            <w:top w:val="none" w:sz="0" w:space="0" w:color="auto"/>
            <w:left w:val="none" w:sz="0" w:space="0" w:color="auto"/>
            <w:bottom w:val="none" w:sz="0" w:space="0" w:color="auto"/>
            <w:right w:val="none" w:sz="0" w:space="0" w:color="auto"/>
          </w:divBdr>
        </w:div>
        <w:div w:id="3076321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1842337">
      <w:bodyDiv w:val="1"/>
      <w:marLeft w:val="0"/>
      <w:marRight w:val="0"/>
      <w:marTop w:val="0"/>
      <w:marBottom w:val="0"/>
      <w:divBdr>
        <w:top w:val="none" w:sz="0" w:space="0" w:color="auto"/>
        <w:left w:val="none" w:sz="0" w:space="0" w:color="auto"/>
        <w:bottom w:val="none" w:sz="0" w:space="0" w:color="auto"/>
        <w:right w:val="none" w:sz="0" w:space="0" w:color="auto"/>
      </w:divBdr>
    </w:div>
    <w:div w:id="1622373922">
      <w:bodyDiv w:val="1"/>
      <w:marLeft w:val="0"/>
      <w:marRight w:val="0"/>
      <w:marTop w:val="0"/>
      <w:marBottom w:val="0"/>
      <w:divBdr>
        <w:top w:val="none" w:sz="0" w:space="0" w:color="auto"/>
        <w:left w:val="none" w:sz="0" w:space="0" w:color="auto"/>
        <w:bottom w:val="none" w:sz="0" w:space="0" w:color="auto"/>
        <w:right w:val="none" w:sz="0" w:space="0" w:color="auto"/>
      </w:divBdr>
    </w:div>
    <w:div w:id="1630354653">
      <w:bodyDiv w:val="1"/>
      <w:marLeft w:val="0"/>
      <w:marRight w:val="0"/>
      <w:marTop w:val="0"/>
      <w:marBottom w:val="0"/>
      <w:divBdr>
        <w:top w:val="none" w:sz="0" w:space="0" w:color="auto"/>
        <w:left w:val="none" w:sz="0" w:space="0" w:color="auto"/>
        <w:bottom w:val="none" w:sz="0" w:space="0" w:color="auto"/>
        <w:right w:val="none" w:sz="0" w:space="0" w:color="auto"/>
      </w:divBdr>
    </w:div>
    <w:div w:id="1631086581">
      <w:bodyDiv w:val="1"/>
      <w:marLeft w:val="0"/>
      <w:marRight w:val="0"/>
      <w:marTop w:val="0"/>
      <w:marBottom w:val="0"/>
      <w:divBdr>
        <w:top w:val="none" w:sz="0" w:space="0" w:color="auto"/>
        <w:left w:val="none" w:sz="0" w:space="0" w:color="auto"/>
        <w:bottom w:val="none" w:sz="0" w:space="0" w:color="auto"/>
        <w:right w:val="none" w:sz="0" w:space="0" w:color="auto"/>
      </w:divBdr>
    </w:div>
    <w:div w:id="1648902457">
      <w:bodyDiv w:val="1"/>
      <w:marLeft w:val="0"/>
      <w:marRight w:val="0"/>
      <w:marTop w:val="0"/>
      <w:marBottom w:val="0"/>
      <w:divBdr>
        <w:top w:val="none" w:sz="0" w:space="0" w:color="auto"/>
        <w:left w:val="none" w:sz="0" w:space="0" w:color="auto"/>
        <w:bottom w:val="none" w:sz="0" w:space="0" w:color="auto"/>
        <w:right w:val="none" w:sz="0" w:space="0" w:color="auto"/>
      </w:divBdr>
    </w:div>
    <w:div w:id="1650405377">
      <w:bodyDiv w:val="1"/>
      <w:marLeft w:val="0"/>
      <w:marRight w:val="0"/>
      <w:marTop w:val="0"/>
      <w:marBottom w:val="0"/>
      <w:divBdr>
        <w:top w:val="none" w:sz="0" w:space="0" w:color="auto"/>
        <w:left w:val="none" w:sz="0" w:space="0" w:color="auto"/>
        <w:bottom w:val="none" w:sz="0" w:space="0" w:color="auto"/>
        <w:right w:val="none" w:sz="0" w:space="0" w:color="auto"/>
      </w:divBdr>
    </w:div>
    <w:div w:id="1653483483">
      <w:bodyDiv w:val="1"/>
      <w:marLeft w:val="0"/>
      <w:marRight w:val="0"/>
      <w:marTop w:val="0"/>
      <w:marBottom w:val="0"/>
      <w:divBdr>
        <w:top w:val="none" w:sz="0" w:space="0" w:color="auto"/>
        <w:left w:val="none" w:sz="0" w:space="0" w:color="auto"/>
        <w:bottom w:val="none" w:sz="0" w:space="0" w:color="auto"/>
        <w:right w:val="none" w:sz="0" w:space="0" w:color="auto"/>
      </w:divBdr>
      <w:divsChild>
        <w:div w:id="13906097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4407339">
      <w:bodyDiv w:val="1"/>
      <w:marLeft w:val="0"/>
      <w:marRight w:val="0"/>
      <w:marTop w:val="0"/>
      <w:marBottom w:val="0"/>
      <w:divBdr>
        <w:top w:val="none" w:sz="0" w:space="0" w:color="auto"/>
        <w:left w:val="none" w:sz="0" w:space="0" w:color="auto"/>
        <w:bottom w:val="none" w:sz="0" w:space="0" w:color="auto"/>
        <w:right w:val="none" w:sz="0" w:space="0" w:color="auto"/>
      </w:divBdr>
    </w:div>
    <w:div w:id="1654991836">
      <w:bodyDiv w:val="1"/>
      <w:marLeft w:val="0"/>
      <w:marRight w:val="0"/>
      <w:marTop w:val="0"/>
      <w:marBottom w:val="0"/>
      <w:divBdr>
        <w:top w:val="none" w:sz="0" w:space="0" w:color="auto"/>
        <w:left w:val="none" w:sz="0" w:space="0" w:color="auto"/>
        <w:bottom w:val="none" w:sz="0" w:space="0" w:color="auto"/>
        <w:right w:val="none" w:sz="0" w:space="0" w:color="auto"/>
      </w:divBdr>
    </w:div>
    <w:div w:id="1658992720">
      <w:bodyDiv w:val="1"/>
      <w:marLeft w:val="0"/>
      <w:marRight w:val="0"/>
      <w:marTop w:val="0"/>
      <w:marBottom w:val="0"/>
      <w:divBdr>
        <w:top w:val="none" w:sz="0" w:space="0" w:color="auto"/>
        <w:left w:val="none" w:sz="0" w:space="0" w:color="auto"/>
        <w:bottom w:val="none" w:sz="0" w:space="0" w:color="auto"/>
        <w:right w:val="none" w:sz="0" w:space="0" w:color="auto"/>
      </w:divBdr>
    </w:div>
    <w:div w:id="1661230451">
      <w:bodyDiv w:val="1"/>
      <w:marLeft w:val="0"/>
      <w:marRight w:val="0"/>
      <w:marTop w:val="0"/>
      <w:marBottom w:val="0"/>
      <w:divBdr>
        <w:top w:val="none" w:sz="0" w:space="0" w:color="auto"/>
        <w:left w:val="none" w:sz="0" w:space="0" w:color="auto"/>
        <w:bottom w:val="none" w:sz="0" w:space="0" w:color="auto"/>
        <w:right w:val="none" w:sz="0" w:space="0" w:color="auto"/>
      </w:divBdr>
    </w:div>
    <w:div w:id="1661303246">
      <w:bodyDiv w:val="1"/>
      <w:marLeft w:val="0"/>
      <w:marRight w:val="0"/>
      <w:marTop w:val="0"/>
      <w:marBottom w:val="0"/>
      <w:divBdr>
        <w:top w:val="none" w:sz="0" w:space="0" w:color="auto"/>
        <w:left w:val="none" w:sz="0" w:space="0" w:color="auto"/>
        <w:bottom w:val="none" w:sz="0" w:space="0" w:color="auto"/>
        <w:right w:val="none" w:sz="0" w:space="0" w:color="auto"/>
      </w:divBdr>
    </w:div>
    <w:div w:id="1662389365">
      <w:bodyDiv w:val="1"/>
      <w:marLeft w:val="0"/>
      <w:marRight w:val="0"/>
      <w:marTop w:val="0"/>
      <w:marBottom w:val="0"/>
      <w:divBdr>
        <w:top w:val="none" w:sz="0" w:space="0" w:color="auto"/>
        <w:left w:val="none" w:sz="0" w:space="0" w:color="auto"/>
        <w:bottom w:val="none" w:sz="0" w:space="0" w:color="auto"/>
        <w:right w:val="none" w:sz="0" w:space="0" w:color="auto"/>
      </w:divBdr>
      <w:divsChild>
        <w:div w:id="9805752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2587985">
      <w:bodyDiv w:val="1"/>
      <w:marLeft w:val="0"/>
      <w:marRight w:val="0"/>
      <w:marTop w:val="0"/>
      <w:marBottom w:val="0"/>
      <w:divBdr>
        <w:top w:val="none" w:sz="0" w:space="0" w:color="auto"/>
        <w:left w:val="none" w:sz="0" w:space="0" w:color="auto"/>
        <w:bottom w:val="none" w:sz="0" w:space="0" w:color="auto"/>
        <w:right w:val="none" w:sz="0" w:space="0" w:color="auto"/>
      </w:divBdr>
      <w:divsChild>
        <w:div w:id="15985560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7706087">
      <w:bodyDiv w:val="1"/>
      <w:marLeft w:val="0"/>
      <w:marRight w:val="0"/>
      <w:marTop w:val="0"/>
      <w:marBottom w:val="0"/>
      <w:divBdr>
        <w:top w:val="none" w:sz="0" w:space="0" w:color="auto"/>
        <w:left w:val="none" w:sz="0" w:space="0" w:color="auto"/>
        <w:bottom w:val="none" w:sz="0" w:space="0" w:color="auto"/>
        <w:right w:val="none" w:sz="0" w:space="0" w:color="auto"/>
      </w:divBdr>
    </w:div>
    <w:div w:id="1677339147">
      <w:bodyDiv w:val="1"/>
      <w:marLeft w:val="0"/>
      <w:marRight w:val="0"/>
      <w:marTop w:val="0"/>
      <w:marBottom w:val="0"/>
      <w:divBdr>
        <w:top w:val="none" w:sz="0" w:space="0" w:color="auto"/>
        <w:left w:val="none" w:sz="0" w:space="0" w:color="auto"/>
        <w:bottom w:val="none" w:sz="0" w:space="0" w:color="auto"/>
        <w:right w:val="none" w:sz="0" w:space="0" w:color="auto"/>
      </w:divBdr>
    </w:div>
    <w:div w:id="1683506338">
      <w:bodyDiv w:val="1"/>
      <w:marLeft w:val="0"/>
      <w:marRight w:val="0"/>
      <w:marTop w:val="0"/>
      <w:marBottom w:val="0"/>
      <w:divBdr>
        <w:top w:val="none" w:sz="0" w:space="0" w:color="auto"/>
        <w:left w:val="none" w:sz="0" w:space="0" w:color="auto"/>
        <w:bottom w:val="none" w:sz="0" w:space="0" w:color="auto"/>
        <w:right w:val="none" w:sz="0" w:space="0" w:color="auto"/>
      </w:divBdr>
    </w:div>
    <w:div w:id="1686515566">
      <w:bodyDiv w:val="1"/>
      <w:marLeft w:val="0"/>
      <w:marRight w:val="0"/>
      <w:marTop w:val="0"/>
      <w:marBottom w:val="0"/>
      <w:divBdr>
        <w:top w:val="none" w:sz="0" w:space="0" w:color="auto"/>
        <w:left w:val="none" w:sz="0" w:space="0" w:color="auto"/>
        <w:bottom w:val="none" w:sz="0" w:space="0" w:color="auto"/>
        <w:right w:val="none" w:sz="0" w:space="0" w:color="auto"/>
      </w:divBdr>
    </w:div>
    <w:div w:id="1688290153">
      <w:bodyDiv w:val="1"/>
      <w:marLeft w:val="0"/>
      <w:marRight w:val="0"/>
      <w:marTop w:val="0"/>
      <w:marBottom w:val="0"/>
      <w:divBdr>
        <w:top w:val="none" w:sz="0" w:space="0" w:color="auto"/>
        <w:left w:val="none" w:sz="0" w:space="0" w:color="auto"/>
        <w:bottom w:val="none" w:sz="0" w:space="0" w:color="auto"/>
        <w:right w:val="none" w:sz="0" w:space="0" w:color="auto"/>
      </w:divBdr>
      <w:divsChild>
        <w:div w:id="1691953241">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30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9676270">
      <w:bodyDiv w:val="1"/>
      <w:marLeft w:val="0"/>
      <w:marRight w:val="0"/>
      <w:marTop w:val="0"/>
      <w:marBottom w:val="0"/>
      <w:divBdr>
        <w:top w:val="none" w:sz="0" w:space="0" w:color="auto"/>
        <w:left w:val="none" w:sz="0" w:space="0" w:color="auto"/>
        <w:bottom w:val="none" w:sz="0" w:space="0" w:color="auto"/>
        <w:right w:val="none" w:sz="0" w:space="0" w:color="auto"/>
      </w:divBdr>
    </w:div>
    <w:div w:id="1692031267">
      <w:bodyDiv w:val="1"/>
      <w:marLeft w:val="0"/>
      <w:marRight w:val="0"/>
      <w:marTop w:val="0"/>
      <w:marBottom w:val="0"/>
      <w:divBdr>
        <w:top w:val="none" w:sz="0" w:space="0" w:color="auto"/>
        <w:left w:val="none" w:sz="0" w:space="0" w:color="auto"/>
        <w:bottom w:val="none" w:sz="0" w:space="0" w:color="auto"/>
        <w:right w:val="none" w:sz="0" w:space="0" w:color="auto"/>
      </w:divBdr>
    </w:div>
    <w:div w:id="1693146298">
      <w:bodyDiv w:val="1"/>
      <w:marLeft w:val="0"/>
      <w:marRight w:val="0"/>
      <w:marTop w:val="0"/>
      <w:marBottom w:val="0"/>
      <w:divBdr>
        <w:top w:val="none" w:sz="0" w:space="0" w:color="auto"/>
        <w:left w:val="none" w:sz="0" w:space="0" w:color="auto"/>
        <w:bottom w:val="none" w:sz="0" w:space="0" w:color="auto"/>
        <w:right w:val="none" w:sz="0" w:space="0" w:color="auto"/>
      </w:divBdr>
    </w:div>
    <w:div w:id="1697463436">
      <w:bodyDiv w:val="1"/>
      <w:marLeft w:val="0"/>
      <w:marRight w:val="0"/>
      <w:marTop w:val="0"/>
      <w:marBottom w:val="0"/>
      <w:divBdr>
        <w:top w:val="none" w:sz="0" w:space="0" w:color="auto"/>
        <w:left w:val="none" w:sz="0" w:space="0" w:color="auto"/>
        <w:bottom w:val="none" w:sz="0" w:space="0" w:color="auto"/>
        <w:right w:val="none" w:sz="0" w:space="0" w:color="auto"/>
      </w:divBdr>
    </w:div>
    <w:div w:id="1697776545">
      <w:bodyDiv w:val="1"/>
      <w:marLeft w:val="0"/>
      <w:marRight w:val="0"/>
      <w:marTop w:val="0"/>
      <w:marBottom w:val="0"/>
      <w:divBdr>
        <w:top w:val="none" w:sz="0" w:space="0" w:color="auto"/>
        <w:left w:val="none" w:sz="0" w:space="0" w:color="auto"/>
        <w:bottom w:val="none" w:sz="0" w:space="0" w:color="auto"/>
        <w:right w:val="none" w:sz="0" w:space="0" w:color="auto"/>
      </w:divBdr>
    </w:div>
    <w:div w:id="1701005365">
      <w:bodyDiv w:val="1"/>
      <w:marLeft w:val="0"/>
      <w:marRight w:val="0"/>
      <w:marTop w:val="0"/>
      <w:marBottom w:val="0"/>
      <w:divBdr>
        <w:top w:val="none" w:sz="0" w:space="0" w:color="auto"/>
        <w:left w:val="none" w:sz="0" w:space="0" w:color="auto"/>
        <w:bottom w:val="none" w:sz="0" w:space="0" w:color="auto"/>
        <w:right w:val="none" w:sz="0" w:space="0" w:color="auto"/>
      </w:divBdr>
    </w:div>
    <w:div w:id="1704093931">
      <w:bodyDiv w:val="1"/>
      <w:marLeft w:val="0"/>
      <w:marRight w:val="0"/>
      <w:marTop w:val="0"/>
      <w:marBottom w:val="0"/>
      <w:divBdr>
        <w:top w:val="none" w:sz="0" w:space="0" w:color="auto"/>
        <w:left w:val="none" w:sz="0" w:space="0" w:color="auto"/>
        <w:bottom w:val="none" w:sz="0" w:space="0" w:color="auto"/>
        <w:right w:val="none" w:sz="0" w:space="0" w:color="auto"/>
      </w:divBdr>
    </w:div>
    <w:div w:id="1711147270">
      <w:bodyDiv w:val="1"/>
      <w:marLeft w:val="0"/>
      <w:marRight w:val="0"/>
      <w:marTop w:val="0"/>
      <w:marBottom w:val="0"/>
      <w:divBdr>
        <w:top w:val="none" w:sz="0" w:space="0" w:color="auto"/>
        <w:left w:val="none" w:sz="0" w:space="0" w:color="auto"/>
        <w:bottom w:val="none" w:sz="0" w:space="0" w:color="auto"/>
        <w:right w:val="none" w:sz="0" w:space="0" w:color="auto"/>
      </w:divBdr>
    </w:div>
    <w:div w:id="1713116800">
      <w:bodyDiv w:val="1"/>
      <w:marLeft w:val="0"/>
      <w:marRight w:val="0"/>
      <w:marTop w:val="0"/>
      <w:marBottom w:val="0"/>
      <w:divBdr>
        <w:top w:val="none" w:sz="0" w:space="0" w:color="auto"/>
        <w:left w:val="none" w:sz="0" w:space="0" w:color="auto"/>
        <w:bottom w:val="none" w:sz="0" w:space="0" w:color="auto"/>
        <w:right w:val="none" w:sz="0" w:space="0" w:color="auto"/>
      </w:divBdr>
      <w:divsChild>
        <w:div w:id="1264538452">
          <w:marLeft w:val="0"/>
          <w:marRight w:val="0"/>
          <w:marTop w:val="0"/>
          <w:marBottom w:val="0"/>
          <w:divBdr>
            <w:top w:val="none" w:sz="0" w:space="0" w:color="auto"/>
            <w:left w:val="none" w:sz="0" w:space="0" w:color="auto"/>
            <w:bottom w:val="none" w:sz="0" w:space="0" w:color="auto"/>
            <w:right w:val="none" w:sz="0" w:space="0" w:color="auto"/>
          </w:divBdr>
        </w:div>
      </w:divsChild>
    </w:div>
    <w:div w:id="1726753557">
      <w:bodyDiv w:val="1"/>
      <w:marLeft w:val="0"/>
      <w:marRight w:val="0"/>
      <w:marTop w:val="0"/>
      <w:marBottom w:val="0"/>
      <w:divBdr>
        <w:top w:val="none" w:sz="0" w:space="0" w:color="auto"/>
        <w:left w:val="none" w:sz="0" w:space="0" w:color="auto"/>
        <w:bottom w:val="none" w:sz="0" w:space="0" w:color="auto"/>
        <w:right w:val="none" w:sz="0" w:space="0" w:color="auto"/>
      </w:divBdr>
    </w:div>
    <w:div w:id="1737438337">
      <w:bodyDiv w:val="1"/>
      <w:marLeft w:val="0"/>
      <w:marRight w:val="0"/>
      <w:marTop w:val="0"/>
      <w:marBottom w:val="0"/>
      <w:divBdr>
        <w:top w:val="none" w:sz="0" w:space="0" w:color="auto"/>
        <w:left w:val="none" w:sz="0" w:space="0" w:color="auto"/>
        <w:bottom w:val="none" w:sz="0" w:space="0" w:color="auto"/>
        <w:right w:val="none" w:sz="0" w:space="0" w:color="auto"/>
      </w:divBdr>
    </w:div>
    <w:div w:id="1737703903">
      <w:bodyDiv w:val="1"/>
      <w:marLeft w:val="0"/>
      <w:marRight w:val="0"/>
      <w:marTop w:val="0"/>
      <w:marBottom w:val="0"/>
      <w:divBdr>
        <w:top w:val="none" w:sz="0" w:space="0" w:color="auto"/>
        <w:left w:val="none" w:sz="0" w:space="0" w:color="auto"/>
        <w:bottom w:val="none" w:sz="0" w:space="0" w:color="auto"/>
        <w:right w:val="none" w:sz="0" w:space="0" w:color="auto"/>
      </w:divBdr>
    </w:div>
    <w:div w:id="1739134165">
      <w:bodyDiv w:val="1"/>
      <w:marLeft w:val="0"/>
      <w:marRight w:val="0"/>
      <w:marTop w:val="0"/>
      <w:marBottom w:val="0"/>
      <w:divBdr>
        <w:top w:val="none" w:sz="0" w:space="0" w:color="auto"/>
        <w:left w:val="none" w:sz="0" w:space="0" w:color="auto"/>
        <w:bottom w:val="none" w:sz="0" w:space="0" w:color="auto"/>
        <w:right w:val="none" w:sz="0" w:space="0" w:color="auto"/>
      </w:divBdr>
    </w:div>
    <w:div w:id="1743484745">
      <w:bodyDiv w:val="1"/>
      <w:marLeft w:val="0"/>
      <w:marRight w:val="0"/>
      <w:marTop w:val="0"/>
      <w:marBottom w:val="0"/>
      <w:divBdr>
        <w:top w:val="none" w:sz="0" w:space="0" w:color="auto"/>
        <w:left w:val="none" w:sz="0" w:space="0" w:color="auto"/>
        <w:bottom w:val="none" w:sz="0" w:space="0" w:color="auto"/>
        <w:right w:val="none" w:sz="0" w:space="0" w:color="auto"/>
      </w:divBdr>
      <w:divsChild>
        <w:div w:id="1996715206">
          <w:marLeft w:val="0"/>
          <w:marRight w:val="0"/>
          <w:marTop w:val="0"/>
          <w:marBottom w:val="0"/>
          <w:divBdr>
            <w:top w:val="none" w:sz="0" w:space="0" w:color="auto"/>
            <w:left w:val="none" w:sz="0" w:space="0" w:color="auto"/>
            <w:bottom w:val="none" w:sz="0" w:space="0" w:color="auto"/>
            <w:right w:val="none" w:sz="0" w:space="0" w:color="auto"/>
          </w:divBdr>
        </w:div>
      </w:divsChild>
    </w:div>
    <w:div w:id="1744836504">
      <w:bodyDiv w:val="1"/>
      <w:marLeft w:val="0"/>
      <w:marRight w:val="0"/>
      <w:marTop w:val="0"/>
      <w:marBottom w:val="0"/>
      <w:divBdr>
        <w:top w:val="none" w:sz="0" w:space="0" w:color="auto"/>
        <w:left w:val="none" w:sz="0" w:space="0" w:color="auto"/>
        <w:bottom w:val="none" w:sz="0" w:space="0" w:color="auto"/>
        <w:right w:val="none" w:sz="0" w:space="0" w:color="auto"/>
      </w:divBdr>
    </w:div>
    <w:div w:id="1744839036">
      <w:bodyDiv w:val="1"/>
      <w:marLeft w:val="0"/>
      <w:marRight w:val="0"/>
      <w:marTop w:val="0"/>
      <w:marBottom w:val="0"/>
      <w:divBdr>
        <w:top w:val="none" w:sz="0" w:space="0" w:color="auto"/>
        <w:left w:val="none" w:sz="0" w:space="0" w:color="auto"/>
        <w:bottom w:val="none" w:sz="0" w:space="0" w:color="auto"/>
        <w:right w:val="none" w:sz="0" w:space="0" w:color="auto"/>
      </w:divBdr>
    </w:div>
    <w:div w:id="1746563280">
      <w:bodyDiv w:val="1"/>
      <w:marLeft w:val="0"/>
      <w:marRight w:val="0"/>
      <w:marTop w:val="0"/>
      <w:marBottom w:val="0"/>
      <w:divBdr>
        <w:top w:val="none" w:sz="0" w:space="0" w:color="auto"/>
        <w:left w:val="none" w:sz="0" w:space="0" w:color="auto"/>
        <w:bottom w:val="none" w:sz="0" w:space="0" w:color="auto"/>
        <w:right w:val="none" w:sz="0" w:space="0" w:color="auto"/>
      </w:divBdr>
    </w:div>
    <w:div w:id="1747146524">
      <w:bodyDiv w:val="1"/>
      <w:marLeft w:val="0"/>
      <w:marRight w:val="0"/>
      <w:marTop w:val="0"/>
      <w:marBottom w:val="0"/>
      <w:divBdr>
        <w:top w:val="none" w:sz="0" w:space="0" w:color="auto"/>
        <w:left w:val="none" w:sz="0" w:space="0" w:color="auto"/>
        <w:bottom w:val="none" w:sz="0" w:space="0" w:color="auto"/>
        <w:right w:val="none" w:sz="0" w:space="0" w:color="auto"/>
      </w:divBdr>
    </w:div>
    <w:div w:id="1750081510">
      <w:bodyDiv w:val="1"/>
      <w:marLeft w:val="0"/>
      <w:marRight w:val="0"/>
      <w:marTop w:val="0"/>
      <w:marBottom w:val="0"/>
      <w:divBdr>
        <w:top w:val="none" w:sz="0" w:space="0" w:color="auto"/>
        <w:left w:val="none" w:sz="0" w:space="0" w:color="auto"/>
        <w:bottom w:val="none" w:sz="0" w:space="0" w:color="auto"/>
        <w:right w:val="none" w:sz="0" w:space="0" w:color="auto"/>
      </w:divBdr>
    </w:div>
    <w:div w:id="1750885707">
      <w:bodyDiv w:val="1"/>
      <w:marLeft w:val="0"/>
      <w:marRight w:val="0"/>
      <w:marTop w:val="0"/>
      <w:marBottom w:val="0"/>
      <w:divBdr>
        <w:top w:val="none" w:sz="0" w:space="0" w:color="auto"/>
        <w:left w:val="none" w:sz="0" w:space="0" w:color="auto"/>
        <w:bottom w:val="none" w:sz="0" w:space="0" w:color="auto"/>
        <w:right w:val="none" w:sz="0" w:space="0" w:color="auto"/>
      </w:divBdr>
    </w:div>
    <w:div w:id="1752703545">
      <w:bodyDiv w:val="1"/>
      <w:marLeft w:val="0"/>
      <w:marRight w:val="0"/>
      <w:marTop w:val="0"/>
      <w:marBottom w:val="0"/>
      <w:divBdr>
        <w:top w:val="none" w:sz="0" w:space="0" w:color="auto"/>
        <w:left w:val="none" w:sz="0" w:space="0" w:color="auto"/>
        <w:bottom w:val="none" w:sz="0" w:space="0" w:color="auto"/>
        <w:right w:val="none" w:sz="0" w:space="0" w:color="auto"/>
      </w:divBdr>
      <w:divsChild>
        <w:div w:id="778568089">
          <w:marLeft w:val="0"/>
          <w:marRight w:val="0"/>
          <w:marTop w:val="0"/>
          <w:marBottom w:val="0"/>
          <w:divBdr>
            <w:top w:val="none" w:sz="0" w:space="0" w:color="auto"/>
            <w:left w:val="none" w:sz="0" w:space="0" w:color="auto"/>
            <w:bottom w:val="none" w:sz="0" w:space="0" w:color="auto"/>
            <w:right w:val="none" w:sz="0" w:space="0" w:color="auto"/>
          </w:divBdr>
        </w:div>
        <w:div w:id="1575435783">
          <w:marLeft w:val="0"/>
          <w:marRight w:val="0"/>
          <w:marTop w:val="0"/>
          <w:marBottom w:val="0"/>
          <w:divBdr>
            <w:top w:val="none" w:sz="0" w:space="0" w:color="auto"/>
            <w:left w:val="none" w:sz="0" w:space="0" w:color="auto"/>
            <w:bottom w:val="none" w:sz="0" w:space="0" w:color="auto"/>
            <w:right w:val="none" w:sz="0" w:space="0" w:color="auto"/>
          </w:divBdr>
        </w:div>
        <w:div w:id="704134657">
          <w:marLeft w:val="0"/>
          <w:marRight w:val="0"/>
          <w:marTop w:val="0"/>
          <w:marBottom w:val="0"/>
          <w:divBdr>
            <w:top w:val="none" w:sz="0" w:space="0" w:color="auto"/>
            <w:left w:val="none" w:sz="0" w:space="0" w:color="auto"/>
            <w:bottom w:val="none" w:sz="0" w:space="0" w:color="auto"/>
            <w:right w:val="none" w:sz="0" w:space="0" w:color="auto"/>
          </w:divBdr>
        </w:div>
        <w:div w:id="1402752274">
          <w:marLeft w:val="0"/>
          <w:marRight w:val="0"/>
          <w:marTop w:val="0"/>
          <w:marBottom w:val="0"/>
          <w:divBdr>
            <w:top w:val="none" w:sz="0" w:space="0" w:color="auto"/>
            <w:left w:val="none" w:sz="0" w:space="0" w:color="auto"/>
            <w:bottom w:val="none" w:sz="0" w:space="0" w:color="auto"/>
            <w:right w:val="none" w:sz="0" w:space="0" w:color="auto"/>
          </w:divBdr>
        </w:div>
        <w:div w:id="1039628077">
          <w:marLeft w:val="0"/>
          <w:marRight w:val="0"/>
          <w:marTop w:val="0"/>
          <w:marBottom w:val="0"/>
          <w:divBdr>
            <w:top w:val="none" w:sz="0" w:space="0" w:color="auto"/>
            <w:left w:val="none" w:sz="0" w:space="0" w:color="auto"/>
            <w:bottom w:val="none" w:sz="0" w:space="0" w:color="auto"/>
            <w:right w:val="none" w:sz="0" w:space="0" w:color="auto"/>
          </w:divBdr>
        </w:div>
        <w:div w:id="891235589">
          <w:marLeft w:val="0"/>
          <w:marRight w:val="0"/>
          <w:marTop w:val="0"/>
          <w:marBottom w:val="0"/>
          <w:divBdr>
            <w:top w:val="none" w:sz="0" w:space="0" w:color="auto"/>
            <w:left w:val="none" w:sz="0" w:space="0" w:color="auto"/>
            <w:bottom w:val="none" w:sz="0" w:space="0" w:color="auto"/>
            <w:right w:val="none" w:sz="0" w:space="0" w:color="auto"/>
          </w:divBdr>
        </w:div>
        <w:div w:id="940457108">
          <w:marLeft w:val="0"/>
          <w:marRight w:val="0"/>
          <w:marTop w:val="0"/>
          <w:marBottom w:val="0"/>
          <w:divBdr>
            <w:top w:val="none" w:sz="0" w:space="0" w:color="auto"/>
            <w:left w:val="none" w:sz="0" w:space="0" w:color="auto"/>
            <w:bottom w:val="none" w:sz="0" w:space="0" w:color="auto"/>
            <w:right w:val="none" w:sz="0" w:space="0" w:color="auto"/>
          </w:divBdr>
        </w:div>
        <w:div w:id="215048728">
          <w:marLeft w:val="0"/>
          <w:marRight w:val="0"/>
          <w:marTop w:val="0"/>
          <w:marBottom w:val="0"/>
          <w:divBdr>
            <w:top w:val="none" w:sz="0" w:space="0" w:color="auto"/>
            <w:left w:val="none" w:sz="0" w:space="0" w:color="auto"/>
            <w:bottom w:val="none" w:sz="0" w:space="0" w:color="auto"/>
            <w:right w:val="none" w:sz="0" w:space="0" w:color="auto"/>
          </w:divBdr>
        </w:div>
      </w:divsChild>
    </w:div>
    <w:div w:id="1753621317">
      <w:bodyDiv w:val="1"/>
      <w:marLeft w:val="0"/>
      <w:marRight w:val="0"/>
      <w:marTop w:val="0"/>
      <w:marBottom w:val="0"/>
      <w:divBdr>
        <w:top w:val="none" w:sz="0" w:space="0" w:color="auto"/>
        <w:left w:val="none" w:sz="0" w:space="0" w:color="auto"/>
        <w:bottom w:val="none" w:sz="0" w:space="0" w:color="auto"/>
        <w:right w:val="none" w:sz="0" w:space="0" w:color="auto"/>
      </w:divBdr>
      <w:divsChild>
        <w:div w:id="20509111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5325078">
      <w:bodyDiv w:val="1"/>
      <w:marLeft w:val="0"/>
      <w:marRight w:val="0"/>
      <w:marTop w:val="0"/>
      <w:marBottom w:val="0"/>
      <w:divBdr>
        <w:top w:val="none" w:sz="0" w:space="0" w:color="auto"/>
        <w:left w:val="none" w:sz="0" w:space="0" w:color="auto"/>
        <w:bottom w:val="none" w:sz="0" w:space="0" w:color="auto"/>
        <w:right w:val="none" w:sz="0" w:space="0" w:color="auto"/>
      </w:divBdr>
      <w:divsChild>
        <w:div w:id="725030487">
          <w:blockQuote w:val="1"/>
          <w:marLeft w:val="720"/>
          <w:marRight w:val="720"/>
          <w:marTop w:val="100"/>
          <w:marBottom w:val="100"/>
          <w:divBdr>
            <w:top w:val="none" w:sz="0" w:space="0" w:color="auto"/>
            <w:left w:val="none" w:sz="0" w:space="0" w:color="auto"/>
            <w:bottom w:val="none" w:sz="0" w:space="0" w:color="auto"/>
            <w:right w:val="none" w:sz="0" w:space="0" w:color="auto"/>
          </w:divBdr>
        </w:div>
        <w:div w:id="593588644">
          <w:blockQuote w:val="1"/>
          <w:marLeft w:val="720"/>
          <w:marRight w:val="720"/>
          <w:marTop w:val="100"/>
          <w:marBottom w:val="100"/>
          <w:divBdr>
            <w:top w:val="none" w:sz="0" w:space="0" w:color="auto"/>
            <w:left w:val="none" w:sz="0" w:space="0" w:color="auto"/>
            <w:bottom w:val="none" w:sz="0" w:space="0" w:color="auto"/>
            <w:right w:val="none" w:sz="0" w:space="0" w:color="auto"/>
          </w:divBdr>
        </w:div>
        <w:div w:id="9508668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7676318">
      <w:bodyDiv w:val="1"/>
      <w:marLeft w:val="0"/>
      <w:marRight w:val="0"/>
      <w:marTop w:val="0"/>
      <w:marBottom w:val="0"/>
      <w:divBdr>
        <w:top w:val="none" w:sz="0" w:space="0" w:color="auto"/>
        <w:left w:val="none" w:sz="0" w:space="0" w:color="auto"/>
        <w:bottom w:val="none" w:sz="0" w:space="0" w:color="auto"/>
        <w:right w:val="none" w:sz="0" w:space="0" w:color="auto"/>
      </w:divBdr>
    </w:div>
    <w:div w:id="1765030860">
      <w:bodyDiv w:val="1"/>
      <w:marLeft w:val="0"/>
      <w:marRight w:val="0"/>
      <w:marTop w:val="0"/>
      <w:marBottom w:val="0"/>
      <w:divBdr>
        <w:top w:val="none" w:sz="0" w:space="0" w:color="auto"/>
        <w:left w:val="none" w:sz="0" w:space="0" w:color="auto"/>
        <w:bottom w:val="none" w:sz="0" w:space="0" w:color="auto"/>
        <w:right w:val="none" w:sz="0" w:space="0" w:color="auto"/>
      </w:divBdr>
      <w:divsChild>
        <w:div w:id="9366427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8843980">
      <w:bodyDiv w:val="1"/>
      <w:marLeft w:val="0"/>
      <w:marRight w:val="0"/>
      <w:marTop w:val="0"/>
      <w:marBottom w:val="0"/>
      <w:divBdr>
        <w:top w:val="none" w:sz="0" w:space="0" w:color="auto"/>
        <w:left w:val="none" w:sz="0" w:space="0" w:color="auto"/>
        <w:bottom w:val="none" w:sz="0" w:space="0" w:color="auto"/>
        <w:right w:val="none" w:sz="0" w:space="0" w:color="auto"/>
      </w:divBdr>
    </w:div>
    <w:div w:id="1772387100">
      <w:bodyDiv w:val="1"/>
      <w:marLeft w:val="0"/>
      <w:marRight w:val="0"/>
      <w:marTop w:val="0"/>
      <w:marBottom w:val="0"/>
      <w:divBdr>
        <w:top w:val="none" w:sz="0" w:space="0" w:color="auto"/>
        <w:left w:val="none" w:sz="0" w:space="0" w:color="auto"/>
        <w:bottom w:val="none" w:sz="0" w:space="0" w:color="auto"/>
        <w:right w:val="none" w:sz="0" w:space="0" w:color="auto"/>
      </w:divBdr>
      <w:divsChild>
        <w:div w:id="2534387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5009636">
      <w:bodyDiv w:val="1"/>
      <w:marLeft w:val="0"/>
      <w:marRight w:val="0"/>
      <w:marTop w:val="0"/>
      <w:marBottom w:val="0"/>
      <w:divBdr>
        <w:top w:val="none" w:sz="0" w:space="0" w:color="auto"/>
        <w:left w:val="none" w:sz="0" w:space="0" w:color="auto"/>
        <w:bottom w:val="none" w:sz="0" w:space="0" w:color="auto"/>
        <w:right w:val="none" w:sz="0" w:space="0" w:color="auto"/>
      </w:divBdr>
    </w:div>
    <w:div w:id="1776092944">
      <w:bodyDiv w:val="1"/>
      <w:marLeft w:val="0"/>
      <w:marRight w:val="0"/>
      <w:marTop w:val="0"/>
      <w:marBottom w:val="0"/>
      <w:divBdr>
        <w:top w:val="none" w:sz="0" w:space="0" w:color="auto"/>
        <w:left w:val="none" w:sz="0" w:space="0" w:color="auto"/>
        <w:bottom w:val="none" w:sz="0" w:space="0" w:color="auto"/>
        <w:right w:val="none" w:sz="0" w:space="0" w:color="auto"/>
      </w:divBdr>
    </w:div>
    <w:div w:id="1776436331">
      <w:bodyDiv w:val="1"/>
      <w:marLeft w:val="0"/>
      <w:marRight w:val="0"/>
      <w:marTop w:val="0"/>
      <w:marBottom w:val="0"/>
      <w:divBdr>
        <w:top w:val="none" w:sz="0" w:space="0" w:color="auto"/>
        <w:left w:val="none" w:sz="0" w:space="0" w:color="auto"/>
        <w:bottom w:val="none" w:sz="0" w:space="0" w:color="auto"/>
        <w:right w:val="none" w:sz="0" w:space="0" w:color="auto"/>
      </w:divBdr>
    </w:div>
    <w:div w:id="1776897576">
      <w:bodyDiv w:val="1"/>
      <w:marLeft w:val="0"/>
      <w:marRight w:val="0"/>
      <w:marTop w:val="0"/>
      <w:marBottom w:val="0"/>
      <w:divBdr>
        <w:top w:val="none" w:sz="0" w:space="0" w:color="auto"/>
        <w:left w:val="none" w:sz="0" w:space="0" w:color="auto"/>
        <w:bottom w:val="none" w:sz="0" w:space="0" w:color="auto"/>
        <w:right w:val="none" w:sz="0" w:space="0" w:color="auto"/>
      </w:divBdr>
    </w:div>
    <w:div w:id="1778940122">
      <w:bodyDiv w:val="1"/>
      <w:marLeft w:val="0"/>
      <w:marRight w:val="0"/>
      <w:marTop w:val="0"/>
      <w:marBottom w:val="0"/>
      <w:divBdr>
        <w:top w:val="none" w:sz="0" w:space="0" w:color="auto"/>
        <w:left w:val="none" w:sz="0" w:space="0" w:color="auto"/>
        <w:bottom w:val="none" w:sz="0" w:space="0" w:color="auto"/>
        <w:right w:val="none" w:sz="0" w:space="0" w:color="auto"/>
      </w:divBdr>
    </w:div>
    <w:div w:id="1782676957">
      <w:bodyDiv w:val="1"/>
      <w:marLeft w:val="0"/>
      <w:marRight w:val="0"/>
      <w:marTop w:val="0"/>
      <w:marBottom w:val="0"/>
      <w:divBdr>
        <w:top w:val="none" w:sz="0" w:space="0" w:color="auto"/>
        <w:left w:val="none" w:sz="0" w:space="0" w:color="auto"/>
        <w:bottom w:val="none" w:sz="0" w:space="0" w:color="auto"/>
        <w:right w:val="none" w:sz="0" w:space="0" w:color="auto"/>
      </w:divBdr>
    </w:div>
    <w:div w:id="1784500280">
      <w:bodyDiv w:val="1"/>
      <w:marLeft w:val="0"/>
      <w:marRight w:val="0"/>
      <w:marTop w:val="0"/>
      <w:marBottom w:val="0"/>
      <w:divBdr>
        <w:top w:val="none" w:sz="0" w:space="0" w:color="auto"/>
        <w:left w:val="none" w:sz="0" w:space="0" w:color="auto"/>
        <w:bottom w:val="none" w:sz="0" w:space="0" w:color="auto"/>
        <w:right w:val="none" w:sz="0" w:space="0" w:color="auto"/>
      </w:divBdr>
    </w:div>
    <w:div w:id="1786725699">
      <w:bodyDiv w:val="1"/>
      <w:marLeft w:val="0"/>
      <w:marRight w:val="0"/>
      <w:marTop w:val="0"/>
      <w:marBottom w:val="0"/>
      <w:divBdr>
        <w:top w:val="none" w:sz="0" w:space="0" w:color="auto"/>
        <w:left w:val="none" w:sz="0" w:space="0" w:color="auto"/>
        <w:bottom w:val="none" w:sz="0" w:space="0" w:color="auto"/>
        <w:right w:val="none" w:sz="0" w:space="0" w:color="auto"/>
      </w:divBdr>
    </w:div>
    <w:div w:id="1803573247">
      <w:bodyDiv w:val="1"/>
      <w:marLeft w:val="0"/>
      <w:marRight w:val="0"/>
      <w:marTop w:val="0"/>
      <w:marBottom w:val="0"/>
      <w:divBdr>
        <w:top w:val="none" w:sz="0" w:space="0" w:color="auto"/>
        <w:left w:val="none" w:sz="0" w:space="0" w:color="auto"/>
        <w:bottom w:val="none" w:sz="0" w:space="0" w:color="auto"/>
        <w:right w:val="none" w:sz="0" w:space="0" w:color="auto"/>
      </w:divBdr>
    </w:div>
    <w:div w:id="1805810154">
      <w:bodyDiv w:val="1"/>
      <w:marLeft w:val="0"/>
      <w:marRight w:val="0"/>
      <w:marTop w:val="0"/>
      <w:marBottom w:val="0"/>
      <w:divBdr>
        <w:top w:val="none" w:sz="0" w:space="0" w:color="auto"/>
        <w:left w:val="none" w:sz="0" w:space="0" w:color="auto"/>
        <w:bottom w:val="none" w:sz="0" w:space="0" w:color="auto"/>
        <w:right w:val="none" w:sz="0" w:space="0" w:color="auto"/>
      </w:divBdr>
    </w:div>
    <w:div w:id="1809199447">
      <w:bodyDiv w:val="1"/>
      <w:marLeft w:val="0"/>
      <w:marRight w:val="0"/>
      <w:marTop w:val="0"/>
      <w:marBottom w:val="0"/>
      <w:divBdr>
        <w:top w:val="none" w:sz="0" w:space="0" w:color="auto"/>
        <w:left w:val="none" w:sz="0" w:space="0" w:color="auto"/>
        <w:bottom w:val="none" w:sz="0" w:space="0" w:color="auto"/>
        <w:right w:val="none" w:sz="0" w:space="0" w:color="auto"/>
      </w:divBdr>
    </w:div>
    <w:div w:id="1809784132">
      <w:bodyDiv w:val="1"/>
      <w:marLeft w:val="0"/>
      <w:marRight w:val="0"/>
      <w:marTop w:val="0"/>
      <w:marBottom w:val="0"/>
      <w:divBdr>
        <w:top w:val="none" w:sz="0" w:space="0" w:color="auto"/>
        <w:left w:val="none" w:sz="0" w:space="0" w:color="auto"/>
        <w:bottom w:val="none" w:sz="0" w:space="0" w:color="auto"/>
        <w:right w:val="none" w:sz="0" w:space="0" w:color="auto"/>
      </w:divBdr>
    </w:div>
    <w:div w:id="1813867604">
      <w:bodyDiv w:val="1"/>
      <w:marLeft w:val="0"/>
      <w:marRight w:val="0"/>
      <w:marTop w:val="0"/>
      <w:marBottom w:val="0"/>
      <w:divBdr>
        <w:top w:val="none" w:sz="0" w:space="0" w:color="auto"/>
        <w:left w:val="none" w:sz="0" w:space="0" w:color="auto"/>
        <w:bottom w:val="none" w:sz="0" w:space="0" w:color="auto"/>
        <w:right w:val="none" w:sz="0" w:space="0" w:color="auto"/>
      </w:divBdr>
    </w:div>
    <w:div w:id="1813983323">
      <w:bodyDiv w:val="1"/>
      <w:marLeft w:val="0"/>
      <w:marRight w:val="0"/>
      <w:marTop w:val="0"/>
      <w:marBottom w:val="0"/>
      <w:divBdr>
        <w:top w:val="none" w:sz="0" w:space="0" w:color="auto"/>
        <w:left w:val="none" w:sz="0" w:space="0" w:color="auto"/>
        <w:bottom w:val="none" w:sz="0" w:space="0" w:color="auto"/>
        <w:right w:val="none" w:sz="0" w:space="0" w:color="auto"/>
      </w:divBdr>
      <w:divsChild>
        <w:div w:id="3248686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4521928">
      <w:bodyDiv w:val="1"/>
      <w:marLeft w:val="0"/>
      <w:marRight w:val="0"/>
      <w:marTop w:val="0"/>
      <w:marBottom w:val="0"/>
      <w:divBdr>
        <w:top w:val="none" w:sz="0" w:space="0" w:color="auto"/>
        <w:left w:val="none" w:sz="0" w:space="0" w:color="auto"/>
        <w:bottom w:val="none" w:sz="0" w:space="0" w:color="auto"/>
        <w:right w:val="none" w:sz="0" w:space="0" w:color="auto"/>
      </w:divBdr>
      <w:divsChild>
        <w:div w:id="2091342403">
          <w:blockQuote w:val="1"/>
          <w:marLeft w:val="720"/>
          <w:marRight w:val="720"/>
          <w:marTop w:val="100"/>
          <w:marBottom w:val="100"/>
          <w:divBdr>
            <w:top w:val="none" w:sz="0" w:space="0" w:color="auto"/>
            <w:left w:val="none" w:sz="0" w:space="0" w:color="auto"/>
            <w:bottom w:val="none" w:sz="0" w:space="0" w:color="auto"/>
            <w:right w:val="none" w:sz="0" w:space="0" w:color="auto"/>
          </w:divBdr>
        </w:div>
        <w:div w:id="1551452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80827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3081391">
      <w:bodyDiv w:val="1"/>
      <w:marLeft w:val="0"/>
      <w:marRight w:val="0"/>
      <w:marTop w:val="0"/>
      <w:marBottom w:val="0"/>
      <w:divBdr>
        <w:top w:val="none" w:sz="0" w:space="0" w:color="auto"/>
        <w:left w:val="none" w:sz="0" w:space="0" w:color="auto"/>
        <w:bottom w:val="none" w:sz="0" w:space="0" w:color="auto"/>
        <w:right w:val="none" w:sz="0" w:space="0" w:color="auto"/>
      </w:divBdr>
    </w:div>
    <w:div w:id="1827431917">
      <w:bodyDiv w:val="1"/>
      <w:marLeft w:val="0"/>
      <w:marRight w:val="0"/>
      <w:marTop w:val="0"/>
      <w:marBottom w:val="0"/>
      <w:divBdr>
        <w:top w:val="none" w:sz="0" w:space="0" w:color="auto"/>
        <w:left w:val="none" w:sz="0" w:space="0" w:color="auto"/>
        <w:bottom w:val="none" w:sz="0" w:space="0" w:color="auto"/>
        <w:right w:val="none" w:sz="0" w:space="0" w:color="auto"/>
      </w:divBdr>
      <w:divsChild>
        <w:div w:id="10789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0914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7938097">
      <w:bodyDiv w:val="1"/>
      <w:marLeft w:val="0"/>
      <w:marRight w:val="0"/>
      <w:marTop w:val="0"/>
      <w:marBottom w:val="0"/>
      <w:divBdr>
        <w:top w:val="none" w:sz="0" w:space="0" w:color="auto"/>
        <w:left w:val="none" w:sz="0" w:space="0" w:color="auto"/>
        <w:bottom w:val="none" w:sz="0" w:space="0" w:color="auto"/>
        <w:right w:val="none" w:sz="0" w:space="0" w:color="auto"/>
      </w:divBdr>
    </w:div>
    <w:div w:id="1830630107">
      <w:bodyDiv w:val="1"/>
      <w:marLeft w:val="0"/>
      <w:marRight w:val="0"/>
      <w:marTop w:val="0"/>
      <w:marBottom w:val="0"/>
      <w:divBdr>
        <w:top w:val="none" w:sz="0" w:space="0" w:color="auto"/>
        <w:left w:val="none" w:sz="0" w:space="0" w:color="auto"/>
        <w:bottom w:val="none" w:sz="0" w:space="0" w:color="auto"/>
        <w:right w:val="none" w:sz="0" w:space="0" w:color="auto"/>
      </w:divBdr>
    </w:div>
    <w:div w:id="1830898000">
      <w:bodyDiv w:val="1"/>
      <w:marLeft w:val="0"/>
      <w:marRight w:val="0"/>
      <w:marTop w:val="0"/>
      <w:marBottom w:val="0"/>
      <w:divBdr>
        <w:top w:val="none" w:sz="0" w:space="0" w:color="auto"/>
        <w:left w:val="none" w:sz="0" w:space="0" w:color="auto"/>
        <w:bottom w:val="none" w:sz="0" w:space="0" w:color="auto"/>
        <w:right w:val="none" w:sz="0" w:space="0" w:color="auto"/>
      </w:divBdr>
    </w:div>
    <w:div w:id="1831142137">
      <w:bodyDiv w:val="1"/>
      <w:marLeft w:val="0"/>
      <w:marRight w:val="0"/>
      <w:marTop w:val="0"/>
      <w:marBottom w:val="0"/>
      <w:divBdr>
        <w:top w:val="none" w:sz="0" w:space="0" w:color="auto"/>
        <w:left w:val="none" w:sz="0" w:space="0" w:color="auto"/>
        <w:bottom w:val="none" w:sz="0" w:space="0" w:color="auto"/>
        <w:right w:val="none" w:sz="0" w:space="0" w:color="auto"/>
      </w:divBdr>
    </w:div>
    <w:div w:id="1839423980">
      <w:bodyDiv w:val="1"/>
      <w:marLeft w:val="0"/>
      <w:marRight w:val="0"/>
      <w:marTop w:val="0"/>
      <w:marBottom w:val="0"/>
      <w:divBdr>
        <w:top w:val="none" w:sz="0" w:space="0" w:color="auto"/>
        <w:left w:val="none" w:sz="0" w:space="0" w:color="auto"/>
        <w:bottom w:val="none" w:sz="0" w:space="0" w:color="auto"/>
        <w:right w:val="none" w:sz="0" w:space="0" w:color="auto"/>
      </w:divBdr>
    </w:div>
    <w:div w:id="1843201968">
      <w:bodyDiv w:val="1"/>
      <w:marLeft w:val="0"/>
      <w:marRight w:val="0"/>
      <w:marTop w:val="0"/>
      <w:marBottom w:val="0"/>
      <w:divBdr>
        <w:top w:val="none" w:sz="0" w:space="0" w:color="auto"/>
        <w:left w:val="none" w:sz="0" w:space="0" w:color="auto"/>
        <w:bottom w:val="none" w:sz="0" w:space="0" w:color="auto"/>
        <w:right w:val="none" w:sz="0" w:space="0" w:color="auto"/>
      </w:divBdr>
    </w:div>
    <w:div w:id="1844279006">
      <w:bodyDiv w:val="1"/>
      <w:marLeft w:val="0"/>
      <w:marRight w:val="0"/>
      <w:marTop w:val="0"/>
      <w:marBottom w:val="0"/>
      <w:divBdr>
        <w:top w:val="none" w:sz="0" w:space="0" w:color="auto"/>
        <w:left w:val="none" w:sz="0" w:space="0" w:color="auto"/>
        <w:bottom w:val="none" w:sz="0" w:space="0" w:color="auto"/>
        <w:right w:val="none" w:sz="0" w:space="0" w:color="auto"/>
      </w:divBdr>
    </w:div>
    <w:div w:id="1854147056">
      <w:bodyDiv w:val="1"/>
      <w:marLeft w:val="0"/>
      <w:marRight w:val="0"/>
      <w:marTop w:val="0"/>
      <w:marBottom w:val="0"/>
      <w:divBdr>
        <w:top w:val="none" w:sz="0" w:space="0" w:color="auto"/>
        <w:left w:val="none" w:sz="0" w:space="0" w:color="auto"/>
        <w:bottom w:val="none" w:sz="0" w:space="0" w:color="auto"/>
        <w:right w:val="none" w:sz="0" w:space="0" w:color="auto"/>
      </w:divBdr>
      <w:divsChild>
        <w:div w:id="348530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043748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2487339">
          <w:blockQuote w:val="1"/>
          <w:marLeft w:val="720"/>
          <w:marRight w:val="720"/>
          <w:marTop w:val="100"/>
          <w:marBottom w:val="100"/>
          <w:divBdr>
            <w:top w:val="none" w:sz="0" w:space="0" w:color="auto"/>
            <w:left w:val="none" w:sz="0" w:space="0" w:color="auto"/>
            <w:bottom w:val="none" w:sz="0" w:space="0" w:color="auto"/>
            <w:right w:val="none" w:sz="0" w:space="0" w:color="auto"/>
          </w:divBdr>
        </w:div>
        <w:div w:id="940601890">
          <w:blockQuote w:val="1"/>
          <w:marLeft w:val="720"/>
          <w:marRight w:val="720"/>
          <w:marTop w:val="100"/>
          <w:marBottom w:val="100"/>
          <w:divBdr>
            <w:top w:val="none" w:sz="0" w:space="0" w:color="auto"/>
            <w:left w:val="none" w:sz="0" w:space="0" w:color="auto"/>
            <w:bottom w:val="none" w:sz="0" w:space="0" w:color="auto"/>
            <w:right w:val="none" w:sz="0" w:space="0" w:color="auto"/>
          </w:divBdr>
        </w:div>
        <w:div w:id="646976727">
          <w:blockQuote w:val="1"/>
          <w:marLeft w:val="720"/>
          <w:marRight w:val="720"/>
          <w:marTop w:val="100"/>
          <w:marBottom w:val="100"/>
          <w:divBdr>
            <w:top w:val="none" w:sz="0" w:space="0" w:color="auto"/>
            <w:left w:val="none" w:sz="0" w:space="0" w:color="auto"/>
            <w:bottom w:val="none" w:sz="0" w:space="0" w:color="auto"/>
            <w:right w:val="none" w:sz="0" w:space="0" w:color="auto"/>
          </w:divBdr>
        </w:div>
        <w:div w:id="451482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5610153">
      <w:bodyDiv w:val="1"/>
      <w:marLeft w:val="0"/>
      <w:marRight w:val="0"/>
      <w:marTop w:val="0"/>
      <w:marBottom w:val="0"/>
      <w:divBdr>
        <w:top w:val="none" w:sz="0" w:space="0" w:color="auto"/>
        <w:left w:val="none" w:sz="0" w:space="0" w:color="auto"/>
        <w:bottom w:val="none" w:sz="0" w:space="0" w:color="auto"/>
        <w:right w:val="none" w:sz="0" w:space="0" w:color="auto"/>
      </w:divBdr>
      <w:divsChild>
        <w:div w:id="2022392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8159151">
      <w:bodyDiv w:val="1"/>
      <w:marLeft w:val="0"/>
      <w:marRight w:val="0"/>
      <w:marTop w:val="0"/>
      <w:marBottom w:val="0"/>
      <w:divBdr>
        <w:top w:val="none" w:sz="0" w:space="0" w:color="auto"/>
        <w:left w:val="none" w:sz="0" w:space="0" w:color="auto"/>
        <w:bottom w:val="none" w:sz="0" w:space="0" w:color="auto"/>
        <w:right w:val="none" w:sz="0" w:space="0" w:color="auto"/>
      </w:divBdr>
    </w:div>
    <w:div w:id="1863473543">
      <w:bodyDiv w:val="1"/>
      <w:marLeft w:val="0"/>
      <w:marRight w:val="0"/>
      <w:marTop w:val="0"/>
      <w:marBottom w:val="0"/>
      <w:divBdr>
        <w:top w:val="none" w:sz="0" w:space="0" w:color="auto"/>
        <w:left w:val="none" w:sz="0" w:space="0" w:color="auto"/>
        <w:bottom w:val="none" w:sz="0" w:space="0" w:color="auto"/>
        <w:right w:val="none" w:sz="0" w:space="0" w:color="auto"/>
      </w:divBdr>
      <w:divsChild>
        <w:div w:id="361985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4540324">
      <w:bodyDiv w:val="1"/>
      <w:marLeft w:val="0"/>
      <w:marRight w:val="0"/>
      <w:marTop w:val="0"/>
      <w:marBottom w:val="0"/>
      <w:divBdr>
        <w:top w:val="none" w:sz="0" w:space="0" w:color="auto"/>
        <w:left w:val="none" w:sz="0" w:space="0" w:color="auto"/>
        <w:bottom w:val="none" w:sz="0" w:space="0" w:color="auto"/>
        <w:right w:val="none" w:sz="0" w:space="0" w:color="auto"/>
      </w:divBdr>
      <w:divsChild>
        <w:div w:id="9875129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6720878">
      <w:bodyDiv w:val="1"/>
      <w:marLeft w:val="0"/>
      <w:marRight w:val="0"/>
      <w:marTop w:val="0"/>
      <w:marBottom w:val="0"/>
      <w:divBdr>
        <w:top w:val="none" w:sz="0" w:space="0" w:color="auto"/>
        <w:left w:val="none" w:sz="0" w:space="0" w:color="auto"/>
        <w:bottom w:val="none" w:sz="0" w:space="0" w:color="auto"/>
        <w:right w:val="none" w:sz="0" w:space="0" w:color="auto"/>
      </w:divBdr>
    </w:div>
    <w:div w:id="1888564240">
      <w:bodyDiv w:val="1"/>
      <w:marLeft w:val="0"/>
      <w:marRight w:val="0"/>
      <w:marTop w:val="0"/>
      <w:marBottom w:val="0"/>
      <w:divBdr>
        <w:top w:val="none" w:sz="0" w:space="0" w:color="auto"/>
        <w:left w:val="none" w:sz="0" w:space="0" w:color="auto"/>
        <w:bottom w:val="none" w:sz="0" w:space="0" w:color="auto"/>
        <w:right w:val="none" w:sz="0" w:space="0" w:color="auto"/>
      </w:divBdr>
    </w:div>
    <w:div w:id="1894075045">
      <w:bodyDiv w:val="1"/>
      <w:marLeft w:val="0"/>
      <w:marRight w:val="0"/>
      <w:marTop w:val="0"/>
      <w:marBottom w:val="0"/>
      <w:divBdr>
        <w:top w:val="none" w:sz="0" w:space="0" w:color="auto"/>
        <w:left w:val="none" w:sz="0" w:space="0" w:color="auto"/>
        <w:bottom w:val="none" w:sz="0" w:space="0" w:color="auto"/>
        <w:right w:val="none" w:sz="0" w:space="0" w:color="auto"/>
      </w:divBdr>
      <w:divsChild>
        <w:div w:id="760762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6740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4845536">
      <w:bodyDiv w:val="1"/>
      <w:marLeft w:val="0"/>
      <w:marRight w:val="0"/>
      <w:marTop w:val="0"/>
      <w:marBottom w:val="0"/>
      <w:divBdr>
        <w:top w:val="none" w:sz="0" w:space="0" w:color="auto"/>
        <w:left w:val="none" w:sz="0" w:space="0" w:color="auto"/>
        <w:bottom w:val="none" w:sz="0" w:space="0" w:color="auto"/>
        <w:right w:val="none" w:sz="0" w:space="0" w:color="auto"/>
      </w:divBdr>
    </w:div>
    <w:div w:id="1901134144">
      <w:bodyDiv w:val="1"/>
      <w:marLeft w:val="0"/>
      <w:marRight w:val="0"/>
      <w:marTop w:val="0"/>
      <w:marBottom w:val="0"/>
      <w:divBdr>
        <w:top w:val="none" w:sz="0" w:space="0" w:color="auto"/>
        <w:left w:val="none" w:sz="0" w:space="0" w:color="auto"/>
        <w:bottom w:val="none" w:sz="0" w:space="0" w:color="auto"/>
        <w:right w:val="none" w:sz="0" w:space="0" w:color="auto"/>
      </w:divBdr>
    </w:div>
    <w:div w:id="1902130286">
      <w:bodyDiv w:val="1"/>
      <w:marLeft w:val="0"/>
      <w:marRight w:val="0"/>
      <w:marTop w:val="0"/>
      <w:marBottom w:val="0"/>
      <w:divBdr>
        <w:top w:val="none" w:sz="0" w:space="0" w:color="auto"/>
        <w:left w:val="none" w:sz="0" w:space="0" w:color="auto"/>
        <w:bottom w:val="none" w:sz="0" w:space="0" w:color="auto"/>
        <w:right w:val="none" w:sz="0" w:space="0" w:color="auto"/>
      </w:divBdr>
    </w:div>
    <w:div w:id="1905333885">
      <w:bodyDiv w:val="1"/>
      <w:marLeft w:val="0"/>
      <w:marRight w:val="0"/>
      <w:marTop w:val="0"/>
      <w:marBottom w:val="0"/>
      <w:divBdr>
        <w:top w:val="none" w:sz="0" w:space="0" w:color="auto"/>
        <w:left w:val="none" w:sz="0" w:space="0" w:color="auto"/>
        <w:bottom w:val="none" w:sz="0" w:space="0" w:color="auto"/>
        <w:right w:val="none" w:sz="0" w:space="0" w:color="auto"/>
      </w:divBdr>
    </w:div>
    <w:div w:id="1912543914">
      <w:bodyDiv w:val="1"/>
      <w:marLeft w:val="0"/>
      <w:marRight w:val="0"/>
      <w:marTop w:val="0"/>
      <w:marBottom w:val="0"/>
      <w:divBdr>
        <w:top w:val="none" w:sz="0" w:space="0" w:color="auto"/>
        <w:left w:val="none" w:sz="0" w:space="0" w:color="auto"/>
        <w:bottom w:val="none" w:sz="0" w:space="0" w:color="auto"/>
        <w:right w:val="none" w:sz="0" w:space="0" w:color="auto"/>
      </w:divBdr>
      <w:divsChild>
        <w:div w:id="10867266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062816">
      <w:bodyDiv w:val="1"/>
      <w:marLeft w:val="0"/>
      <w:marRight w:val="0"/>
      <w:marTop w:val="0"/>
      <w:marBottom w:val="0"/>
      <w:divBdr>
        <w:top w:val="none" w:sz="0" w:space="0" w:color="auto"/>
        <w:left w:val="none" w:sz="0" w:space="0" w:color="auto"/>
        <w:bottom w:val="none" w:sz="0" w:space="0" w:color="auto"/>
        <w:right w:val="none" w:sz="0" w:space="0" w:color="auto"/>
      </w:divBdr>
    </w:div>
    <w:div w:id="1932934345">
      <w:bodyDiv w:val="1"/>
      <w:marLeft w:val="0"/>
      <w:marRight w:val="0"/>
      <w:marTop w:val="0"/>
      <w:marBottom w:val="0"/>
      <w:divBdr>
        <w:top w:val="none" w:sz="0" w:space="0" w:color="auto"/>
        <w:left w:val="none" w:sz="0" w:space="0" w:color="auto"/>
        <w:bottom w:val="none" w:sz="0" w:space="0" w:color="auto"/>
        <w:right w:val="none" w:sz="0" w:space="0" w:color="auto"/>
      </w:divBdr>
    </w:div>
    <w:div w:id="1938638359">
      <w:bodyDiv w:val="1"/>
      <w:marLeft w:val="0"/>
      <w:marRight w:val="0"/>
      <w:marTop w:val="0"/>
      <w:marBottom w:val="0"/>
      <w:divBdr>
        <w:top w:val="none" w:sz="0" w:space="0" w:color="auto"/>
        <w:left w:val="none" w:sz="0" w:space="0" w:color="auto"/>
        <w:bottom w:val="none" w:sz="0" w:space="0" w:color="auto"/>
        <w:right w:val="none" w:sz="0" w:space="0" w:color="auto"/>
      </w:divBdr>
    </w:div>
    <w:div w:id="1939292517">
      <w:bodyDiv w:val="1"/>
      <w:marLeft w:val="0"/>
      <w:marRight w:val="0"/>
      <w:marTop w:val="0"/>
      <w:marBottom w:val="0"/>
      <w:divBdr>
        <w:top w:val="none" w:sz="0" w:space="0" w:color="auto"/>
        <w:left w:val="none" w:sz="0" w:space="0" w:color="auto"/>
        <w:bottom w:val="none" w:sz="0" w:space="0" w:color="auto"/>
        <w:right w:val="none" w:sz="0" w:space="0" w:color="auto"/>
      </w:divBdr>
    </w:div>
    <w:div w:id="1946108831">
      <w:bodyDiv w:val="1"/>
      <w:marLeft w:val="0"/>
      <w:marRight w:val="0"/>
      <w:marTop w:val="0"/>
      <w:marBottom w:val="0"/>
      <w:divBdr>
        <w:top w:val="none" w:sz="0" w:space="0" w:color="auto"/>
        <w:left w:val="none" w:sz="0" w:space="0" w:color="auto"/>
        <w:bottom w:val="none" w:sz="0" w:space="0" w:color="auto"/>
        <w:right w:val="none" w:sz="0" w:space="0" w:color="auto"/>
      </w:divBdr>
      <w:divsChild>
        <w:div w:id="8227406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8274357">
      <w:bodyDiv w:val="1"/>
      <w:marLeft w:val="0"/>
      <w:marRight w:val="0"/>
      <w:marTop w:val="0"/>
      <w:marBottom w:val="0"/>
      <w:divBdr>
        <w:top w:val="none" w:sz="0" w:space="0" w:color="auto"/>
        <w:left w:val="none" w:sz="0" w:space="0" w:color="auto"/>
        <w:bottom w:val="none" w:sz="0" w:space="0" w:color="auto"/>
        <w:right w:val="none" w:sz="0" w:space="0" w:color="auto"/>
      </w:divBdr>
    </w:div>
    <w:div w:id="1963804872">
      <w:bodyDiv w:val="1"/>
      <w:marLeft w:val="0"/>
      <w:marRight w:val="0"/>
      <w:marTop w:val="0"/>
      <w:marBottom w:val="0"/>
      <w:divBdr>
        <w:top w:val="none" w:sz="0" w:space="0" w:color="auto"/>
        <w:left w:val="none" w:sz="0" w:space="0" w:color="auto"/>
        <w:bottom w:val="none" w:sz="0" w:space="0" w:color="auto"/>
        <w:right w:val="none" w:sz="0" w:space="0" w:color="auto"/>
      </w:divBdr>
    </w:div>
    <w:div w:id="1969164418">
      <w:bodyDiv w:val="1"/>
      <w:marLeft w:val="0"/>
      <w:marRight w:val="0"/>
      <w:marTop w:val="0"/>
      <w:marBottom w:val="0"/>
      <w:divBdr>
        <w:top w:val="none" w:sz="0" w:space="0" w:color="auto"/>
        <w:left w:val="none" w:sz="0" w:space="0" w:color="auto"/>
        <w:bottom w:val="none" w:sz="0" w:space="0" w:color="auto"/>
        <w:right w:val="none" w:sz="0" w:space="0" w:color="auto"/>
      </w:divBdr>
    </w:div>
    <w:div w:id="1971980596">
      <w:bodyDiv w:val="1"/>
      <w:marLeft w:val="0"/>
      <w:marRight w:val="0"/>
      <w:marTop w:val="0"/>
      <w:marBottom w:val="0"/>
      <w:divBdr>
        <w:top w:val="none" w:sz="0" w:space="0" w:color="auto"/>
        <w:left w:val="none" w:sz="0" w:space="0" w:color="auto"/>
        <w:bottom w:val="none" w:sz="0" w:space="0" w:color="auto"/>
        <w:right w:val="none" w:sz="0" w:space="0" w:color="auto"/>
      </w:divBdr>
      <w:divsChild>
        <w:div w:id="1322582285">
          <w:blockQuote w:val="1"/>
          <w:marLeft w:val="720"/>
          <w:marRight w:val="720"/>
          <w:marTop w:val="100"/>
          <w:marBottom w:val="100"/>
          <w:divBdr>
            <w:top w:val="none" w:sz="0" w:space="0" w:color="auto"/>
            <w:left w:val="none" w:sz="0" w:space="0" w:color="auto"/>
            <w:bottom w:val="none" w:sz="0" w:space="0" w:color="auto"/>
            <w:right w:val="none" w:sz="0" w:space="0" w:color="auto"/>
          </w:divBdr>
        </w:div>
        <w:div w:id="1274634465">
          <w:blockQuote w:val="1"/>
          <w:marLeft w:val="720"/>
          <w:marRight w:val="720"/>
          <w:marTop w:val="100"/>
          <w:marBottom w:val="100"/>
          <w:divBdr>
            <w:top w:val="none" w:sz="0" w:space="0" w:color="auto"/>
            <w:left w:val="none" w:sz="0" w:space="0" w:color="auto"/>
            <w:bottom w:val="none" w:sz="0" w:space="0" w:color="auto"/>
            <w:right w:val="none" w:sz="0" w:space="0" w:color="auto"/>
          </w:divBdr>
        </w:div>
        <w:div w:id="723523816">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77613">
          <w:blockQuote w:val="1"/>
          <w:marLeft w:val="720"/>
          <w:marRight w:val="720"/>
          <w:marTop w:val="100"/>
          <w:marBottom w:val="100"/>
          <w:divBdr>
            <w:top w:val="none" w:sz="0" w:space="0" w:color="auto"/>
            <w:left w:val="none" w:sz="0" w:space="0" w:color="auto"/>
            <w:bottom w:val="none" w:sz="0" w:space="0" w:color="auto"/>
            <w:right w:val="none" w:sz="0" w:space="0" w:color="auto"/>
          </w:divBdr>
        </w:div>
        <w:div w:id="4740254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3837779">
          <w:blockQuote w:val="1"/>
          <w:marLeft w:val="720"/>
          <w:marRight w:val="720"/>
          <w:marTop w:val="100"/>
          <w:marBottom w:val="100"/>
          <w:divBdr>
            <w:top w:val="none" w:sz="0" w:space="0" w:color="auto"/>
            <w:left w:val="none" w:sz="0" w:space="0" w:color="auto"/>
            <w:bottom w:val="none" w:sz="0" w:space="0" w:color="auto"/>
            <w:right w:val="none" w:sz="0" w:space="0" w:color="auto"/>
          </w:divBdr>
        </w:div>
        <w:div w:id="777720948">
          <w:blockQuote w:val="1"/>
          <w:marLeft w:val="720"/>
          <w:marRight w:val="720"/>
          <w:marTop w:val="100"/>
          <w:marBottom w:val="100"/>
          <w:divBdr>
            <w:top w:val="none" w:sz="0" w:space="0" w:color="auto"/>
            <w:left w:val="none" w:sz="0" w:space="0" w:color="auto"/>
            <w:bottom w:val="none" w:sz="0" w:space="0" w:color="auto"/>
            <w:right w:val="none" w:sz="0" w:space="0" w:color="auto"/>
          </w:divBdr>
        </w:div>
        <w:div w:id="8681780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2900345">
      <w:bodyDiv w:val="1"/>
      <w:marLeft w:val="0"/>
      <w:marRight w:val="0"/>
      <w:marTop w:val="0"/>
      <w:marBottom w:val="0"/>
      <w:divBdr>
        <w:top w:val="none" w:sz="0" w:space="0" w:color="auto"/>
        <w:left w:val="none" w:sz="0" w:space="0" w:color="auto"/>
        <w:bottom w:val="none" w:sz="0" w:space="0" w:color="auto"/>
        <w:right w:val="none" w:sz="0" w:space="0" w:color="auto"/>
      </w:divBdr>
      <w:divsChild>
        <w:div w:id="198665076">
          <w:marLeft w:val="0"/>
          <w:marRight w:val="0"/>
          <w:marTop w:val="0"/>
          <w:marBottom w:val="0"/>
          <w:divBdr>
            <w:top w:val="none" w:sz="0" w:space="0" w:color="auto"/>
            <w:left w:val="none" w:sz="0" w:space="0" w:color="auto"/>
            <w:bottom w:val="none" w:sz="0" w:space="0" w:color="auto"/>
            <w:right w:val="none" w:sz="0" w:space="0" w:color="auto"/>
          </w:divBdr>
        </w:div>
      </w:divsChild>
    </w:div>
    <w:div w:id="1977293456">
      <w:bodyDiv w:val="1"/>
      <w:marLeft w:val="0"/>
      <w:marRight w:val="0"/>
      <w:marTop w:val="0"/>
      <w:marBottom w:val="0"/>
      <w:divBdr>
        <w:top w:val="none" w:sz="0" w:space="0" w:color="auto"/>
        <w:left w:val="none" w:sz="0" w:space="0" w:color="auto"/>
        <w:bottom w:val="none" w:sz="0" w:space="0" w:color="auto"/>
        <w:right w:val="none" w:sz="0" w:space="0" w:color="auto"/>
      </w:divBdr>
    </w:div>
    <w:div w:id="1982728482">
      <w:bodyDiv w:val="1"/>
      <w:marLeft w:val="0"/>
      <w:marRight w:val="0"/>
      <w:marTop w:val="0"/>
      <w:marBottom w:val="0"/>
      <w:divBdr>
        <w:top w:val="none" w:sz="0" w:space="0" w:color="auto"/>
        <w:left w:val="none" w:sz="0" w:space="0" w:color="auto"/>
        <w:bottom w:val="none" w:sz="0" w:space="0" w:color="auto"/>
        <w:right w:val="none" w:sz="0" w:space="0" w:color="auto"/>
      </w:divBdr>
    </w:div>
    <w:div w:id="1988780553">
      <w:bodyDiv w:val="1"/>
      <w:marLeft w:val="0"/>
      <w:marRight w:val="0"/>
      <w:marTop w:val="0"/>
      <w:marBottom w:val="0"/>
      <w:divBdr>
        <w:top w:val="none" w:sz="0" w:space="0" w:color="auto"/>
        <w:left w:val="none" w:sz="0" w:space="0" w:color="auto"/>
        <w:bottom w:val="none" w:sz="0" w:space="0" w:color="auto"/>
        <w:right w:val="none" w:sz="0" w:space="0" w:color="auto"/>
      </w:divBdr>
    </w:div>
    <w:div w:id="1993440708">
      <w:bodyDiv w:val="1"/>
      <w:marLeft w:val="0"/>
      <w:marRight w:val="0"/>
      <w:marTop w:val="0"/>
      <w:marBottom w:val="0"/>
      <w:divBdr>
        <w:top w:val="none" w:sz="0" w:space="0" w:color="auto"/>
        <w:left w:val="none" w:sz="0" w:space="0" w:color="auto"/>
        <w:bottom w:val="none" w:sz="0" w:space="0" w:color="auto"/>
        <w:right w:val="none" w:sz="0" w:space="0" w:color="auto"/>
      </w:divBdr>
    </w:div>
    <w:div w:id="1997032306">
      <w:bodyDiv w:val="1"/>
      <w:marLeft w:val="0"/>
      <w:marRight w:val="0"/>
      <w:marTop w:val="0"/>
      <w:marBottom w:val="0"/>
      <w:divBdr>
        <w:top w:val="none" w:sz="0" w:space="0" w:color="auto"/>
        <w:left w:val="none" w:sz="0" w:space="0" w:color="auto"/>
        <w:bottom w:val="none" w:sz="0" w:space="0" w:color="auto"/>
        <w:right w:val="none" w:sz="0" w:space="0" w:color="auto"/>
      </w:divBdr>
    </w:div>
    <w:div w:id="2001342984">
      <w:bodyDiv w:val="1"/>
      <w:marLeft w:val="0"/>
      <w:marRight w:val="0"/>
      <w:marTop w:val="0"/>
      <w:marBottom w:val="0"/>
      <w:divBdr>
        <w:top w:val="none" w:sz="0" w:space="0" w:color="auto"/>
        <w:left w:val="none" w:sz="0" w:space="0" w:color="auto"/>
        <w:bottom w:val="none" w:sz="0" w:space="0" w:color="auto"/>
        <w:right w:val="none" w:sz="0" w:space="0" w:color="auto"/>
      </w:divBdr>
    </w:div>
    <w:div w:id="2001806460">
      <w:bodyDiv w:val="1"/>
      <w:marLeft w:val="0"/>
      <w:marRight w:val="0"/>
      <w:marTop w:val="0"/>
      <w:marBottom w:val="0"/>
      <w:divBdr>
        <w:top w:val="none" w:sz="0" w:space="0" w:color="auto"/>
        <w:left w:val="none" w:sz="0" w:space="0" w:color="auto"/>
        <w:bottom w:val="none" w:sz="0" w:space="0" w:color="auto"/>
        <w:right w:val="none" w:sz="0" w:space="0" w:color="auto"/>
      </w:divBdr>
    </w:div>
    <w:div w:id="2014450381">
      <w:bodyDiv w:val="1"/>
      <w:marLeft w:val="0"/>
      <w:marRight w:val="0"/>
      <w:marTop w:val="0"/>
      <w:marBottom w:val="0"/>
      <w:divBdr>
        <w:top w:val="none" w:sz="0" w:space="0" w:color="auto"/>
        <w:left w:val="none" w:sz="0" w:space="0" w:color="auto"/>
        <w:bottom w:val="none" w:sz="0" w:space="0" w:color="auto"/>
        <w:right w:val="none" w:sz="0" w:space="0" w:color="auto"/>
      </w:divBdr>
    </w:div>
    <w:div w:id="2019431038">
      <w:bodyDiv w:val="1"/>
      <w:marLeft w:val="0"/>
      <w:marRight w:val="0"/>
      <w:marTop w:val="0"/>
      <w:marBottom w:val="0"/>
      <w:divBdr>
        <w:top w:val="none" w:sz="0" w:space="0" w:color="auto"/>
        <w:left w:val="none" w:sz="0" w:space="0" w:color="auto"/>
        <w:bottom w:val="none" w:sz="0" w:space="0" w:color="auto"/>
        <w:right w:val="none" w:sz="0" w:space="0" w:color="auto"/>
      </w:divBdr>
    </w:div>
    <w:div w:id="2034457893">
      <w:bodyDiv w:val="1"/>
      <w:marLeft w:val="0"/>
      <w:marRight w:val="0"/>
      <w:marTop w:val="0"/>
      <w:marBottom w:val="0"/>
      <w:divBdr>
        <w:top w:val="none" w:sz="0" w:space="0" w:color="auto"/>
        <w:left w:val="none" w:sz="0" w:space="0" w:color="auto"/>
        <w:bottom w:val="none" w:sz="0" w:space="0" w:color="auto"/>
        <w:right w:val="none" w:sz="0" w:space="0" w:color="auto"/>
      </w:divBdr>
    </w:div>
    <w:div w:id="2041201421">
      <w:bodyDiv w:val="1"/>
      <w:marLeft w:val="0"/>
      <w:marRight w:val="0"/>
      <w:marTop w:val="0"/>
      <w:marBottom w:val="0"/>
      <w:divBdr>
        <w:top w:val="none" w:sz="0" w:space="0" w:color="auto"/>
        <w:left w:val="none" w:sz="0" w:space="0" w:color="auto"/>
        <w:bottom w:val="none" w:sz="0" w:space="0" w:color="auto"/>
        <w:right w:val="none" w:sz="0" w:space="0" w:color="auto"/>
      </w:divBdr>
    </w:div>
    <w:div w:id="2042895682">
      <w:bodyDiv w:val="1"/>
      <w:marLeft w:val="0"/>
      <w:marRight w:val="0"/>
      <w:marTop w:val="0"/>
      <w:marBottom w:val="0"/>
      <w:divBdr>
        <w:top w:val="none" w:sz="0" w:space="0" w:color="auto"/>
        <w:left w:val="none" w:sz="0" w:space="0" w:color="auto"/>
        <w:bottom w:val="none" w:sz="0" w:space="0" w:color="auto"/>
        <w:right w:val="none" w:sz="0" w:space="0" w:color="auto"/>
      </w:divBdr>
    </w:div>
    <w:div w:id="2048674206">
      <w:bodyDiv w:val="1"/>
      <w:marLeft w:val="0"/>
      <w:marRight w:val="0"/>
      <w:marTop w:val="0"/>
      <w:marBottom w:val="0"/>
      <w:divBdr>
        <w:top w:val="none" w:sz="0" w:space="0" w:color="auto"/>
        <w:left w:val="none" w:sz="0" w:space="0" w:color="auto"/>
        <w:bottom w:val="none" w:sz="0" w:space="0" w:color="auto"/>
        <w:right w:val="none" w:sz="0" w:space="0" w:color="auto"/>
      </w:divBdr>
    </w:div>
    <w:div w:id="2050303723">
      <w:bodyDiv w:val="1"/>
      <w:marLeft w:val="0"/>
      <w:marRight w:val="0"/>
      <w:marTop w:val="0"/>
      <w:marBottom w:val="0"/>
      <w:divBdr>
        <w:top w:val="none" w:sz="0" w:space="0" w:color="auto"/>
        <w:left w:val="none" w:sz="0" w:space="0" w:color="auto"/>
        <w:bottom w:val="none" w:sz="0" w:space="0" w:color="auto"/>
        <w:right w:val="none" w:sz="0" w:space="0" w:color="auto"/>
      </w:divBdr>
      <w:divsChild>
        <w:div w:id="1574467864">
          <w:marLeft w:val="0"/>
          <w:marRight w:val="0"/>
          <w:marTop w:val="0"/>
          <w:marBottom w:val="0"/>
          <w:divBdr>
            <w:top w:val="single" w:sz="2" w:space="0" w:color="auto"/>
            <w:left w:val="single" w:sz="2" w:space="0" w:color="auto"/>
            <w:bottom w:val="single" w:sz="2" w:space="0" w:color="auto"/>
            <w:right w:val="single" w:sz="2" w:space="0" w:color="auto"/>
          </w:divBdr>
          <w:divsChild>
            <w:div w:id="1789617745">
              <w:marLeft w:val="0"/>
              <w:marRight w:val="0"/>
              <w:marTop w:val="0"/>
              <w:marBottom w:val="0"/>
              <w:divBdr>
                <w:top w:val="single" w:sz="2" w:space="0" w:color="auto"/>
                <w:left w:val="single" w:sz="2" w:space="0" w:color="auto"/>
                <w:bottom w:val="single" w:sz="2" w:space="0" w:color="auto"/>
                <w:right w:val="single" w:sz="2" w:space="0" w:color="auto"/>
              </w:divBdr>
            </w:div>
          </w:divsChild>
        </w:div>
        <w:div w:id="1436746779">
          <w:marLeft w:val="0"/>
          <w:marRight w:val="0"/>
          <w:marTop w:val="0"/>
          <w:marBottom w:val="0"/>
          <w:divBdr>
            <w:top w:val="single" w:sz="2" w:space="0" w:color="auto"/>
            <w:left w:val="single" w:sz="2" w:space="0" w:color="auto"/>
            <w:bottom w:val="single" w:sz="2" w:space="0" w:color="auto"/>
            <w:right w:val="single" w:sz="2" w:space="0" w:color="auto"/>
          </w:divBdr>
          <w:divsChild>
            <w:div w:id="1859079778">
              <w:marLeft w:val="0"/>
              <w:marRight w:val="0"/>
              <w:marTop w:val="0"/>
              <w:marBottom w:val="0"/>
              <w:divBdr>
                <w:top w:val="single" w:sz="2" w:space="0" w:color="auto"/>
                <w:left w:val="single" w:sz="2" w:space="0" w:color="auto"/>
                <w:bottom w:val="single" w:sz="2" w:space="0" w:color="auto"/>
                <w:right w:val="single" w:sz="2" w:space="0" w:color="auto"/>
              </w:divBdr>
              <w:divsChild>
                <w:div w:id="1375155590">
                  <w:marLeft w:val="0"/>
                  <w:marRight w:val="0"/>
                  <w:marTop w:val="0"/>
                  <w:marBottom w:val="0"/>
                  <w:divBdr>
                    <w:top w:val="single" w:sz="2" w:space="0" w:color="auto"/>
                    <w:left w:val="single" w:sz="2" w:space="0" w:color="auto"/>
                    <w:bottom w:val="single" w:sz="2" w:space="0" w:color="auto"/>
                    <w:right w:val="single" w:sz="2" w:space="0" w:color="auto"/>
                  </w:divBdr>
                  <w:divsChild>
                    <w:div w:id="10104510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88696975">
              <w:marLeft w:val="0"/>
              <w:marRight w:val="0"/>
              <w:marTop w:val="0"/>
              <w:marBottom w:val="0"/>
              <w:divBdr>
                <w:top w:val="single" w:sz="2" w:space="0" w:color="auto"/>
                <w:left w:val="single" w:sz="2" w:space="0" w:color="auto"/>
                <w:bottom w:val="single" w:sz="2" w:space="0" w:color="auto"/>
                <w:right w:val="single" w:sz="2" w:space="0" w:color="auto"/>
              </w:divBdr>
              <w:divsChild>
                <w:div w:id="3239687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2051218800">
      <w:bodyDiv w:val="1"/>
      <w:marLeft w:val="0"/>
      <w:marRight w:val="0"/>
      <w:marTop w:val="0"/>
      <w:marBottom w:val="0"/>
      <w:divBdr>
        <w:top w:val="none" w:sz="0" w:space="0" w:color="auto"/>
        <w:left w:val="none" w:sz="0" w:space="0" w:color="auto"/>
        <w:bottom w:val="none" w:sz="0" w:space="0" w:color="auto"/>
        <w:right w:val="none" w:sz="0" w:space="0" w:color="auto"/>
      </w:divBdr>
      <w:divsChild>
        <w:div w:id="3402090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8814131">
      <w:bodyDiv w:val="1"/>
      <w:marLeft w:val="0"/>
      <w:marRight w:val="0"/>
      <w:marTop w:val="0"/>
      <w:marBottom w:val="0"/>
      <w:divBdr>
        <w:top w:val="none" w:sz="0" w:space="0" w:color="auto"/>
        <w:left w:val="none" w:sz="0" w:space="0" w:color="auto"/>
        <w:bottom w:val="none" w:sz="0" w:space="0" w:color="auto"/>
        <w:right w:val="none" w:sz="0" w:space="0" w:color="auto"/>
      </w:divBdr>
    </w:div>
    <w:div w:id="2060859284">
      <w:bodyDiv w:val="1"/>
      <w:marLeft w:val="0"/>
      <w:marRight w:val="0"/>
      <w:marTop w:val="0"/>
      <w:marBottom w:val="0"/>
      <w:divBdr>
        <w:top w:val="none" w:sz="0" w:space="0" w:color="auto"/>
        <w:left w:val="none" w:sz="0" w:space="0" w:color="auto"/>
        <w:bottom w:val="none" w:sz="0" w:space="0" w:color="auto"/>
        <w:right w:val="none" w:sz="0" w:space="0" w:color="auto"/>
      </w:divBdr>
    </w:div>
    <w:div w:id="2063360081">
      <w:bodyDiv w:val="1"/>
      <w:marLeft w:val="0"/>
      <w:marRight w:val="0"/>
      <w:marTop w:val="0"/>
      <w:marBottom w:val="0"/>
      <w:divBdr>
        <w:top w:val="none" w:sz="0" w:space="0" w:color="auto"/>
        <w:left w:val="none" w:sz="0" w:space="0" w:color="auto"/>
        <w:bottom w:val="none" w:sz="0" w:space="0" w:color="auto"/>
        <w:right w:val="none" w:sz="0" w:space="0" w:color="auto"/>
      </w:divBdr>
    </w:div>
    <w:div w:id="2067139410">
      <w:bodyDiv w:val="1"/>
      <w:marLeft w:val="0"/>
      <w:marRight w:val="0"/>
      <w:marTop w:val="0"/>
      <w:marBottom w:val="0"/>
      <w:divBdr>
        <w:top w:val="none" w:sz="0" w:space="0" w:color="auto"/>
        <w:left w:val="none" w:sz="0" w:space="0" w:color="auto"/>
        <w:bottom w:val="none" w:sz="0" w:space="0" w:color="auto"/>
        <w:right w:val="none" w:sz="0" w:space="0" w:color="auto"/>
      </w:divBdr>
      <w:divsChild>
        <w:div w:id="14656565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9064764">
      <w:bodyDiv w:val="1"/>
      <w:marLeft w:val="0"/>
      <w:marRight w:val="0"/>
      <w:marTop w:val="0"/>
      <w:marBottom w:val="0"/>
      <w:divBdr>
        <w:top w:val="none" w:sz="0" w:space="0" w:color="auto"/>
        <w:left w:val="none" w:sz="0" w:space="0" w:color="auto"/>
        <w:bottom w:val="none" w:sz="0" w:space="0" w:color="auto"/>
        <w:right w:val="none" w:sz="0" w:space="0" w:color="auto"/>
      </w:divBdr>
    </w:div>
    <w:div w:id="2070229539">
      <w:bodyDiv w:val="1"/>
      <w:marLeft w:val="0"/>
      <w:marRight w:val="0"/>
      <w:marTop w:val="0"/>
      <w:marBottom w:val="0"/>
      <w:divBdr>
        <w:top w:val="none" w:sz="0" w:space="0" w:color="auto"/>
        <w:left w:val="none" w:sz="0" w:space="0" w:color="auto"/>
        <w:bottom w:val="none" w:sz="0" w:space="0" w:color="auto"/>
        <w:right w:val="none" w:sz="0" w:space="0" w:color="auto"/>
      </w:divBdr>
    </w:div>
    <w:div w:id="2074160644">
      <w:bodyDiv w:val="1"/>
      <w:marLeft w:val="0"/>
      <w:marRight w:val="0"/>
      <w:marTop w:val="0"/>
      <w:marBottom w:val="0"/>
      <w:divBdr>
        <w:top w:val="none" w:sz="0" w:space="0" w:color="auto"/>
        <w:left w:val="none" w:sz="0" w:space="0" w:color="auto"/>
        <w:bottom w:val="none" w:sz="0" w:space="0" w:color="auto"/>
        <w:right w:val="none" w:sz="0" w:space="0" w:color="auto"/>
      </w:divBdr>
      <w:divsChild>
        <w:div w:id="17055191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8699030">
      <w:bodyDiv w:val="1"/>
      <w:marLeft w:val="0"/>
      <w:marRight w:val="0"/>
      <w:marTop w:val="0"/>
      <w:marBottom w:val="0"/>
      <w:divBdr>
        <w:top w:val="none" w:sz="0" w:space="0" w:color="auto"/>
        <w:left w:val="none" w:sz="0" w:space="0" w:color="auto"/>
        <w:bottom w:val="none" w:sz="0" w:space="0" w:color="auto"/>
        <w:right w:val="none" w:sz="0" w:space="0" w:color="auto"/>
      </w:divBdr>
      <w:divsChild>
        <w:div w:id="16732966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9551506">
      <w:bodyDiv w:val="1"/>
      <w:marLeft w:val="0"/>
      <w:marRight w:val="0"/>
      <w:marTop w:val="0"/>
      <w:marBottom w:val="0"/>
      <w:divBdr>
        <w:top w:val="none" w:sz="0" w:space="0" w:color="auto"/>
        <w:left w:val="none" w:sz="0" w:space="0" w:color="auto"/>
        <w:bottom w:val="none" w:sz="0" w:space="0" w:color="auto"/>
        <w:right w:val="none" w:sz="0" w:space="0" w:color="auto"/>
      </w:divBdr>
    </w:div>
    <w:div w:id="2082360290">
      <w:bodyDiv w:val="1"/>
      <w:marLeft w:val="0"/>
      <w:marRight w:val="0"/>
      <w:marTop w:val="0"/>
      <w:marBottom w:val="0"/>
      <w:divBdr>
        <w:top w:val="none" w:sz="0" w:space="0" w:color="auto"/>
        <w:left w:val="none" w:sz="0" w:space="0" w:color="auto"/>
        <w:bottom w:val="none" w:sz="0" w:space="0" w:color="auto"/>
        <w:right w:val="none" w:sz="0" w:space="0" w:color="auto"/>
      </w:divBdr>
    </w:div>
    <w:div w:id="2088574650">
      <w:bodyDiv w:val="1"/>
      <w:marLeft w:val="0"/>
      <w:marRight w:val="0"/>
      <w:marTop w:val="0"/>
      <w:marBottom w:val="0"/>
      <w:divBdr>
        <w:top w:val="none" w:sz="0" w:space="0" w:color="auto"/>
        <w:left w:val="none" w:sz="0" w:space="0" w:color="auto"/>
        <w:bottom w:val="none" w:sz="0" w:space="0" w:color="auto"/>
        <w:right w:val="none" w:sz="0" w:space="0" w:color="auto"/>
      </w:divBdr>
    </w:div>
    <w:div w:id="2089960329">
      <w:bodyDiv w:val="1"/>
      <w:marLeft w:val="0"/>
      <w:marRight w:val="0"/>
      <w:marTop w:val="0"/>
      <w:marBottom w:val="0"/>
      <w:divBdr>
        <w:top w:val="none" w:sz="0" w:space="0" w:color="auto"/>
        <w:left w:val="none" w:sz="0" w:space="0" w:color="auto"/>
        <w:bottom w:val="none" w:sz="0" w:space="0" w:color="auto"/>
        <w:right w:val="none" w:sz="0" w:space="0" w:color="auto"/>
      </w:divBdr>
      <w:divsChild>
        <w:div w:id="18010240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1810672">
      <w:bodyDiv w:val="1"/>
      <w:marLeft w:val="0"/>
      <w:marRight w:val="0"/>
      <w:marTop w:val="0"/>
      <w:marBottom w:val="0"/>
      <w:divBdr>
        <w:top w:val="none" w:sz="0" w:space="0" w:color="auto"/>
        <w:left w:val="none" w:sz="0" w:space="0" w:color="auto"/>
        <w:bottom w:val="none" w:sz="0" w:space="0" w:color="auto"/>
        <w:right w:val="none" w:sz="0" w:space="0" w:color="auto"/>
      </w:divBdr>
    </w:div>
    <w:div w:id="2101751621">
      <w:bodyDiv w:val="1"/>
      <w:marLeft w:val="0"/>
      <w:marRight w:val="0"/>
      <w:marTop w:val="0"/>
      <w:marBottom w:val="0"/>
      <w:divBdr>
        <w:top w:val="none" w:sz="0" w:space="0" w:color="auto"/>
        <w:left w:val="none" w:sz="0" w:space="0" w:color="auto"/>
        <w:bottom w:val="none" w:sz="0" w:space="0" w:color="auto"/>
        <w:right w:val="none" w:sz="0" w:space="0" w:color="auto"/>
      </w:divBdr>
    </w:div>
    <w:div w:id="2102406753">
      <w:bodyDiv w:val="1"/>
      <w:marLeft w:val="0"/>
      <w:marRight w:val="0"/>
      <w:marTop w:val="0"/>
      <w:marBottom w:val="0"/>
      <w:divBdr>
        <w:top w:val="none" w:sz="0" w:space="0" w:color="auto"/>
        <w:left w:val="none" w:sz="0" w:space="0" w:color="auto"/>
        <w:bottom w:val="none" w:sz="0" w:space="0" w:color="auto"/>
        <w:right w:val="none" w:sz="0" w:space="0" w:color="auto"/>
      </w:divBdr>
    </w:div>
    <w:div w:id="2102557144">
      <w:bodyDiv w:val="1"/>
      <w:marLeft w:val="0"/>
      <w:marRight w:val="0"/>
      <w:marTop w:val="0"/>
      <w:marBottom w:val="0"/>
      <w:divBdr>
        <w:top w:val="none" w:sz="0" w:space="0" w:color="auto"/>
        <w:left w:val="none" w:sz="0" w:space="0" w:color="auto"/>
        <w:bottom w:val="none" w:sz="0" w:space="0" w:color="auto"/>
        <w:right w:val="none" w:sz="0" w:space="0" w:color="auto"/>
      </w:divBdr>
      <w:divsChild>
        <w:div w:id="16681704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4302192">
      <w:bodyDiv w:val="1"/>
      <w:marLeft w:val="0"/>
      <w:marRight w:val="0"/>
      <w:marTop w:val="0"/>
      <w:marBottom w:val="0"/>
      <w:divBdr>
        <w:top w:val="none" w:sz="0" w:space="0" w:color="auto"/>
        <w:left w:val="none" w:sz="0" w:space="0" w:color="auto"/>
        <w:bottom w:val="none" w:sz="0" w:space="0" w:color="auto"/>
        <w:right w:val="none" w:sz="0" w:space="0" w:color="auto"/>
      </w:divBdr>
    </w:div>
    <w:div w:id="2106611308">
      <w:bodyDiv w:val="1"/>
      <w:marLeft w:val="0"/>
      <w:marRight w:val="0"/>
      <w:marTop w:val="0"/>
      <w:marBottom w:val="0"/>
      <w:divBdr>
        <w:top w:val="none" w:sz="0" w:space="0" w:color="auto"/>
        <w:left w:val="none" w:sz="0" w:space="0" w:color="auto"/>
        <w:bottom w:val="none" w:sz="0" w:space="0" w:color="auto"/>
        <w:right w:val="none" w:sz="0" w:space="0" w:color="auto"/>
      </w:divBdr>
    </w:div>
    <w:div w:id="2108963140">
      <w:bodyDiv w:val="1"/>
      <w:marLeft w:val="0"/>
      <w:marRight w:val="0"/>
      <w:marTop w:val="0"/>
      <w:marBottom w:val="0"/>
      <w:divBdr>
        <w:top w:val="none" w:sz="0" w:space="0" w:color="auto"/>
        <w:left w:val="none" w:sz="0" w:space="0" w:color="auto"/>
        <w:bottom w:val="none" w:sz="0" w:space="0" w:color="auto"/>
        <w:right w:val="none" w:sz="0" w:space="0" w:color="auto"/>
      </w:divBdr>
    </w:div>
    <w:div w:id="2109881869">
      <w:bodyDiv w:val="1"/>
      <w:marLeft w:val="0"/>
      <w:marRight w:val="0"/>
      <w:marTop w:val="0"/>
      <w:marBottom w:val="0"/>
      <w:divBdr>
        <w:top w:val="none" w:sz="0" w:space="0" w:color="auto"/>
        <w:left w:val="none" w:sz="0" w:space="0" w:color="auto"/>
        <w:bottom w:val="none" w:sz="0" w:space="0" w:color="auto"/>
        <w:right w:val="none" w:sz="0" w:space="0" w:color="auto"/>
      </w:divBdr>
    </w:div>
    <w:div w:id="2113501868">
      <w:bodyDiv w:val="1"/>
      <w:marLeft w:val="0"/>
      <w:marRight w:val="0"/>
      <w:marTop w:val="0"/>
      <w:marBottom w:val="0"/>
      <w:divBdr>
        <w:top w:val="none" w:sz="0" w:space="0" w:color="auto"/>
        <w:left w:val="none" w:sz="0" w:space="0" w:color="auto"/>
        <w:bottom w:val="none" w:sz="0" w:space="0" w:color="auto"/>
        <w:right w:val="none" w:sz="0" w:space="0" w:color="auto"/>
      </w:divBdr>
    </w:div>
    <w:div w:id="2114157068">
      <w:bodyDiv w:val="1"/>
      <w:marLeft w:val="0"/>
      <w:marRight w:val="0"/>
      <w:marTop w:val="0"/>
      <w:marBottom w:val="0"/>
      <w:divBdr>
        <w:top w:val="none" w:sz="0" w:space="0" w:color="auto"/>
        <w:left w:val="none" w:sz="0" w:space="0" w:color="auto"/>
        <w:bottom w:val="none" w:sz="0" w:space="0" w:color="auto"/>
        <w:right w:val="none" w:sz="0" w:space="0" w:color="auto"/>
      </w:divBdr>
    </w:div>
    <w:div w:id="2116825071">
      <w:bodyDiv w:val="1"/>
      <w:marLeft w:val="0"/>
      <w:marRight w:val="0"/>
      <w:marTop w:val="0"/>
      <w:marBottom w:val="0"/>
      <w:divBdr>
        <w:top w:val="none" w:sz="0" w:space="0" w:color="auto"/>
        <w:left w:val="none" w:sz="0" w:space="0" w:color="auto"/>
        <w:bottom w:val="none" w:sz="0" w:space="0" w:color="auto"/>
        <w:right w:val="none" w:sz="0" w:space="0" w:color="auto"/>
      </w:divBdr>
    </w:div>
    <w:div w:id="2117868283">
      <w:bodyDiv w:val="1"/>
      <w:marLeft w:val="0"/>
      <w:marRight w:val="0"/>
      <w:marTop w:val="0"/>
      <w:marBottom w:val="0"/>
      <w:divBdr>
        <w:top w:val="none" w:sz="0" w:space="0" w:color="auto"/>
        <w:left w:val="none" w:sz="0" w:space="0" w:color="auto"/>
        <w:bottom w:val="none" w:sz="0" w:space="0" w:color="auto"/>
        <w:right w:val="none" w:sz="0" w:space="0" w:color="auto"/>
      </w:divBdr>
    </w:div>
    <w:div w:id="2117870470">
      <w:bodyDiv w:val="1"/>
      <w:marLeft w:val="0"/>
      <w:marRight w:val="0"/>
      <w:marTop w:val="0"/>
      <w:marBottom w:val="0"/>
      <w:divBdr>
        <w:top w:val="none" w:sz="0" w:space="0" w:color="auto"/>
        <w:left w:val="none" w:sz="0" w:space="0" w:color="auto"/>
        <w:bottom w:val="none" w:sz="0" w:space="0" w:color="auto"/>
        <w:right w:val="none" w:sz="0" w:space="0" w:color="auto"/>
      </w:divBdr>
      <w:divsChild>
        <w:div w:id="1789738755">
          <w:marLeft w:val="0"/>
          <w:marRight w:val="0"/>
          <w:marTop w:val="0"/>
          <w:marBottom w:val="0"/>
          <w:divBdr>
            <w:top w:val="none" w:sz="0" w:space="0" w:color="auto"/>
            <w:left w:val="none" w:sz="0" w:space="0" w:color="auto"/>
            <w:bottom w:val="none" w:sz="0" w:space="0" w:color="auto"/>
            <w:right w:val="none" w:sz="0" w:space="0" w:color="auto"/>
          </w:divBdr>
        </w:div>
      </w:divsChild>
    </w:div>
    <w:div w:id="2118525598">
      <w:bodyDiv w:val="1"/>
      <w:marLeft w:val="0"/>
      <w:marRight w:val="0"/>
      <w:marTop w:val="0"/>
      <w:marBottom w:val="0"/>
      <w:divBdr>
        <w:top w:val="none" w:sz="0" w:space="0" w:color="auto"/>
        <w:left w:val="none" w:sz="0" w:space="0" w:color="auto"/>
        <w:bottom w:val="none" w:sz="0" w:space="0" w:color="auto"/>
        <w:right w:val="none" w:sz="0" w:space="0" w:color="auto"/>
      </w:divBdr>
    </w:div>
    <w:div w:id="2118987550">
      <w:bodyDiv w:val="1"/>
      <w:marLeft w:val="0"/>
      <w:marRight w:val="0"/>
      <w:marTop w:val="0"/>
      <w:marBottom w:val="0"/>
      <w:divBdr>
        <w:top w:val="none" w:sz="0" w:space="0" w:color="auto"/>
        <w:left w:val="none" w:sz="0" w:space="0" w:color="auto"/>
        <w:bottom w:val="none" w:sz="0" w:space="0" w:color="auto"/>
        <w:right w:val="none" w:sz="0" w:space="0" w:color="auto"/>
      </w:divBdr>
    </w:div>
    <w:div w:id="2121954559">
      <w:bodyDiv w:val="1"/>
      <w:marLeft w:val="0"/>
      <w:marRight w:val="0"/>
      <w:marTop w:val="0"/>
      <w:marBottom w:val="0"/>
      <w:divBdr>
        <w:top w:val="none" w:sz="0" w:space="0" w:color="auto"/>
        <w:left w:val="none" w:sz="0" w:space="0" w:color="auto"/>
        <w:bottom w:val="none" w:sz="0" w:space="0" w:color="auto"/>
        <w:right w:val="none" w:sz="0" w:space="0" w:color="auto"/>
      </w:divBdr>
    </w:div>
    <w:div w:id="2122990031">
      <w:bodyDiv w:val="1"/>
      <w:marLeft w:val="0"/>
      <w:marRight w:val="0"/>
      <w:marTop w:val="0"/>
      <w:marBottom w:val="0"/>
      <w:divBdr>
        <w:top w:val="none" w:sz="0" w:space="0" w:color="auto"/>
        <w:left w:val="none" w:sz="0" w:space="0" w:color="auto"/>
        <w:bottom w:val="none" w:sz="0" w:space="0" w:color="auto"/>
        <w:right w:val="none" w:sz="0" w:space="0" w:color="auto"/>
      </w:divBdr>
      <w:divsChild>
        <w:div w:id="16488210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6344574">
      <w:bodyDiv w:val="1"/>
      <w:marLeft w:val="0"/>
      <w:marRight w:val="0"/>
      <w:marTop w:val="0"/>
      <w:marBottom w:val="0"/>
      <w:divBdr>
        <w:top w:val="none" w:sz="0" w:space="0" w:color="auto"/>
        <w:left w:val="none" w:sz="0" w:space="0" w:color="auto"/>
        <w:bottom w:val="none" w:sz="0" w:space="0" w:color="auto"/>
        <w:right w:val="none" w:sz="0" w:space="0" w:color="auto"/>
      </w:divBdr>
      <w:divsChild>
        <w:div w:id="10082863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6652134">
      <w:bodyDiv w:val="1"/>
      <w:marLeft w:val="0"/>
      <w:marRight w:val="0"/>
      <w:marTop w:val="0"/>
      <w:marBottom w:val="0"/>
      <w:divBdr>
        <w:top w:val="none" w:sz="0" w:space="0" w:color="auto"/>
        <w:left w:val="none" w:sz="0" w:space="0" w:color="auto"/>
        <w:bottom w:val="none" w:sz="0" w:space="0" w:color="auto"/>
        <w:right w:val="none" w:sz="0" w:space="0" w:color="auto"/>
      </w:divBdr>
    </w:div>
    <w:div w:id="2127038256">
      <w:bodyDiv w:val="1"/>
      <w:marLeft w:val="0"/>
      <w:marRight w:val="0"/>
      <w:marTop w:val="0"/>
      <w:marBottom w:val="0"/>
      <w:divBdr>
        <w:top w:val="none" w:sz="0" w:space="0" w:color="auto"/>
        <w:left w:val="none" w:sz="0" w:space="0" w:color="auto"/>
        <w:bottom w:val="none" w:sz="0" w:space="0" w:color="auto"/>
        <w:right w:val="none" w:sz="0" w:space="0" w:color="auto"/>
      </w:divBdr>
    </w:div>
    <w:div w:id="2131781370">
      <w:bodyDiv w:val="1"/>
      <w:marLeft w:val="0"/>
      <w:marRight w:val="0"/>
      <w:marTop w:val="0"/>
      <w:marBottom w:val="0"/>
      <w:divBdr>
        <w:top w:val="none" w:sz="0" w:space="0" w:color="auto"/>
        <w:left w:val="none" w:sz="0" w:space="0" w:color="auto"/>
        <w:bottom w:val="none" w:sz="0" w:space="0" w:color="auto"/>
        <w:right w:val="none" w:sz="0" w:space="0" w:color="auto"/>
      </w:divBdr>
    </w:div>
    <w:div w:id="2137094324">
      <w:bodyDiv w:val="1"/>
      <w:marLeft w:val="0"/>
      <w:marRight w:val="0"/>
      <w:marTop w:val="0"/>
      <w:marBottom w:val="0"/>
      <w:divBdr>
        <w:top w:val="none" w:sz="0" w:space="0" w:color="auto"/>
        <w:left w:val="none" w:sz="0" w:space="0" w:color="auto"/>
        <w:bottom w:val="none" w:sz="0" w:space="0" w:color="auto"/>
        <w:right w:val="none" w:sz="0" w:space="0" w:color="auto"/>
      </w:divBdr>
      <w:divsChild>
        <w:div w:id="7123833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7677863">
      <w:bodyDiv w:val="1"/>
      <w:marLeft w:val="0"/>
      <w:marRight w:val="0"/>
      <w:marTop w:val="0"/>
      <w:marBottom w:val="0"/>
      <w:divBdr>
        <w:top w:val="none" w:sz="0" w:space="0" w:color="auto"/>
        <w:left w:val="none" w:sz="0" w:space="0" w:color="auto"/>
        <w:bottom w:val="none" w:sz="0" w:space="0" w:color="auto"/>
        <w:right w:val="none" w:sz="0" w:space="0" w:color="auto"/>
      </w:divBdr>
    </w:div>
    <w:div w:id="2138527478">
      <w:bodyDiv w:val="1"/>
      <w:marLeft w:val="0"/>
      <w:marRight w:val="0"/>
      <w:marTop w:val="0"/>
      <w:marBottom w:val="0"/>
      <w:divBdr>
        <w:top w:val="none" w:sz="0" w:space="0" w:color="auto"/>
        <w:left w:val="none" w:sz="0" w:space="0" w:color="auto"/>
        <w:bottom w:val="none" w:sz="0" w:space="0" w:color="auto"/>
        <w:right w:val="none" w:sz="0" w:space="0" w:color="auto"/>
      </w:divBdr>
    </w:div>
    <w:div w:id="2145075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header" Target="header1.xml"/><Relationship Id="rId10" Type="http://schemas.openxmlformats.org/officeDocument/2006/relationships/footer" Target="footer1.xml"/><Relationship Id="rId146" Type="http://schemas.openxmlformats.org/officeDocument/2006/relationships/image" Target="media/rId146.jpg"/><Relationship Id="rId21" Type="http://schemas.openxmlformats.org/officeDocument/2006/relationships/image" Target="media/rId21.jpg"/><Relationship Id="rId20" Type="http://schemas.openxmlformats.org/officeDocument/2006/relationships/image" Target="media/rId2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181</Pages>
  <Words>38122</Words>
  <Characters>217301</Characters>
  <Application>Microsoft Office Word</Application>
  <DocSecurity>0</DocSecurity>
  <Lines>1810</Lines>
  <Paragraphs>509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2026-06-09T01:41:39Z</dcterms:created>
  <dcterms:modified xsi:type="dcterms:W3CDTF">2026-06-09T01:41:39Z</dcterms:modified>
</cp:coreProperties>
</file>

<file path=docProps/custom.xml><?xml version="1.0" encoding="utf-8"?>
<Properties xmlns="http://schemas.openxmlformats.org/officeDocument/2006/custom-properties" xmlns:vt="http://schemas.openxmlformats.org/officeDocument/2006/docPropsVTypes"/>
</file>